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64" w:rsidRPr="00510B64" w:rsidRDefault="00510B64" w:rsidP="00510B64">
      <w:pPr>
        <w:pStyle w:val="Heading1"/>
      </w:pPr>
      <w:r w:rsidRPr="00510B64">
        <w:t>Benefit Comply, LLC</w:t>
      </w:r>
    </w:p>
    <w:p w:rsidR="00510B64" w:rsidRDefault="00362B9B" w:rsidP="00510B64">
      <w:pPr>
        <w:pStyle w:val="Heading2"/>
      </w:pPr>
      <w:r>
        <w:t>Health Reform Whitepaper</w:t>
      </w:r>
    </w:p>
    <w:p w:rsidR="00510B64" w:rsidRDefault="00510B64" w:rsidP="00510B64">
      <w:pPr>
        <w:pStyle w:val="Heading2"/>
      </w:pPr>
    </w:p>
    <w:p w:rsidR="00510B64" w:rsidRDefault="00510B64" w:rsidP="00510B64"/>
    <w:p w:rsidR="00510B64" w:rsidRDefault="00510B64" w:rsidP="00510B64"/>
    <w:p w:rsidR="00510B64" w:rsidRDefault="00510B64" w:rsidP="00510B64"/>
    <w:p w:rsidR="00510B64" w:rsidRPr="00510B64" w:rsidRDefault="00510B64" w:rsidP="00510B64"/>
    <w:p w:rsidR="00362B9B" w:rsidRDefault="00362B9B" w:rsidP="00510B64">
      <w:pPr>
        <w:pStyle w:val="Heading2"/>
        <w:rPr>
          <w:sz w:val="40"/>
          <w:szCs w:val="40"/>
        </w:rPr>
      </w:pPr>
    </w:p>
    <w:p w:rsidR="00362B9B" w:rsidRDefault="00362B9B" w:rsidP="00510B64">
      <w:pPr>
        <w:pStyle w:val="Heading2"/>
        <w:rPr>
          <w:sz w:val="40"/>
          <w:szCs w:val="40"/>
        </w:rPr>
      </w:pPr>
    </w:p>
    <w:p w:rsidR="00510B64" w:rsidRPr="00956301" w:rsidRDefault="00510B64" w:rsidP="00510B64">
      <w:pPr>
        <w:pStyle w:val="Heading2"/>
        <w:rPr>
          <w:sz w:val="44"/>
          <w:szCs w:val="44"/>
        </w:rPr>
      </w:pPr>
      <w:r w:rsidRPr="00956301">
        <w:rPr>
          <w:sz w:val="44"/>
          <w:szCs w:val="44"/>
        </w:rPr>
        <w:t xml:space="preserve">Health Reform Employer </w:t>
      </w:r>
      <w:r w:rsidR="00956301" w:rsidRPr="00956301">
        <w:rPr>
          <w:sz w:val="44"/>
          <w:szCs w:val="44"/>
        </w:rPr>
        <w:t xml:space="preserve">Coverage </w:t>
      </w:r>
      <w:r w:rsidRPr="00956301">
        <w:rPr>
          <w:sz w:val="44"/>
          <w:szCs w:val="44"/>
        </w:rPr>
        <w:t xml:space="preserve">Mandate and Penalties </w:t>
      </w:r>
    </w:p>
    <w:p w:rsidR="00362B9B" w:rsidRDefault="00510B64" w:rsidP="00510B64">
      <w:pPr>
        <w:pStyle w:val="Heading2"/>
      </w:pPr>
      <w:r>
        <w:t>April 2010</w:t>
      </w: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Pr="00362B9B" w:rsidRDefault="00362B9B" w:rsidP="00362B9B"/>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Pr="00362B9B" w:rsidRDefault="00362B9B" w:rsidP="00362B9B">
      <w:pPr>
        <w:pStyle w:val="Heading2"/>
        <w:spacing w:before="0"/>
        <w:jc w:val="right"/>
      </w:pPr>
      <w:r>
        <w:t xml:space="preserve">©2010 </w:t>
      </w:r>
      <w:r w:rsidRPr="00362B9B">
        <w:t>Benefit Comply, LLC</w:t>
      </w:r>
    </w:p>
    <w:p w:rsidR="00362B9B" w:rsidRDefault="00362B9B" w:rsidP="00362B9B">
      <w:pPr>
        <w:pStyle w:val="Heading2"/>
        <w:spacing w:before="0"/>
        <w:jc w:val="right"/>
        <w:rPr>
          <w:b w:val="0"/>
        </w:rPr>
      </w:pPr>
      <w:r w:rsidRPr="00362B9B">
        <w:rPr>
          <w:b w:val="0"/>
        </w:rPr>
        <w:t>www.benefitcomply.com</w:t>
      </w:r>
    </w:p>
    <w:p w:rsidR="00362B9B" w:rsidRDefault="00362B9B" w:rsidP="00362B9B">
      <w:pPr>
        <w:pStyle w:val="Heading2"/>
        <w:spacing w:before="0"/>
        <w:jc w:val="right"/>
        <w:rPr>
          <w:b w:val="0"/>
        </w:rPr>
      </w:pPr>
      <w:r w:rsidRPr="00362B9B">
        <w:rPr>
          <w:b w:val="0"/>
        </w:rPr>
        <w:t>info@benefitcomply.com</w:t>
      </w:r>
    </w:p>
    <w:p w:rsidR="00B6090B" w:rsidRPr="00486A01" w:rsidRDefault="00DD5F34" w:rsidP="00362B9B">
      <w:pPr>
        <w:pStyle w:val="Heading2"/>
        <w:spacing w:before="0"/>
      </w:pPr>
      <w:r w:rsidRPr="00510B64">
        <w:br w:type="page"/>
      </w:r>
      <w:r w:rsidR="00510B64">
        <w:lastRenderedPageBreak/>
        <w:t xml:space="preserve">Health Reform </w:t>
      </w:r>
      <w:r w:rsidRPr="00486A01">
        <w:t xml:space="preserve">Employer Coverage Mandate </w:t>
      </w:r>
      <w:r w:rsidR="00510B64">
        <w:t xml:space="preserve">and </w:t>
      </w:r>
      <w:r w:rsidRPr="00486A01">
        <w:t>Penalties</w:t>
      </w:r>
    </w:p>
    <w:p w:rsidR="00956301" w:rsidRDefault="00956301">
      <w:pPr>
        <w:rPr>
          <w:rFonts w:asciiTheme="minorHAnsi" w:hAnsiTheme="minorHAnsi"/>
          <w:i/>
        </w:rPr>
      </w:pPr>
    </w:p>
    <w:p w:rsidR="00C941AD" w:rsidRPr="00486A01" w:rsidRDefault="00705C79">
      <w:pPr>
        <w:rPr>
          <w:rFonts w:asciiTheme="minorHAnsi" w:hAnsiTheme="minorHAnsi"/>
          <w:i/>
        </w:rPr>
      </w:pPr>
      <w:r w:rsidRPr="00486A01">
        <w:rPr>
          <w:rFonts w:asciiTheme="minorHAnsi" w:hAnsiTheme="minorHAnsi"/>
          <w:i/>
        </w:rPr>
        <w:t xml:space="preserve">One of the key provisions of health reform </w:t>
      </w:r>
      <w:r w:rsidR="00BB43DA" w:rsidRPr="00486A01">
        <w:rPr>
          <w:rFonts w:asciiTheme="minorHAnsi" w:hAnsiTheme="minorHAnsi"/>
          <w:i/>
        </w:rPr>
        <w:t xml:space="preserve">legislation </w:t>
      </w:r>
      <w:r w:rsidR="001931BB" w:rsidRPr="00486A01">
        <w:rPr>
          <w:rFonts w:asciiTheme="minorHAnsi" w:hAnsiTheme="minorHAnsi"/>
          <w:i/>
        </w:rPr>
        <w:t>is the mandate</w:t>
      </w:r>
      <w:r w:rsidRPr="00486A01">
        <w:rPr>
          <w:rFonts w:asciiTheme="minorHAnsi" w:hAnsiTheme="minorHAnsi"/>
          <w:i/>
        </w:rPr>
        <w:t xml:space="preserve"> that employers </w:t>
      </w:r>
      <w:r w:rsidR="00BB43DA" w:rsidRPr="00486A01">
        <w:rPr>
          <w:rFonts w:asciiTheme="minorHAnsi" w:hAnsiTheme="minorHAnsi"/>
          <w:i/>
        </w:rPr>
        <w:t>offer qualifying coverage to their full-time employees o</w:t>
      </w:r>
      <w:r w:rsidR="00E55C59" w:rsidRPr="00486A01">
        <w:rPr>
          <w:rFonts w:asciiTheme="minorHAnsi" w:hAnsiTheme="minorHAnsi"/>
          <w:i/>
        </w:rPr>
        <w:t>r</w:t>
      </w:r>
      <w:r w:rsidR="00BB43DA" w:rsidRPr="00486A01">
        <w:rPr>
          <w:rFonts w:asciiTheme="minorHAnsi" w:hAnsiTheme="minorHAnsi"/>
          <w:i/>
        </w:rPr>
        <w:t xml:space="preserve"> face the possibilit</w:t>
      </w:r>
      <w:r w:rsidR="00DD5F34" w:rsidRPr="00486A01">
        <w:rPr>
          <w:rFonts w:asciiTheme="minorHAnsi" w:hAnsiTheme="minorHAnsi"/>
          <w:i/>
        </w:rPr>
        <w:t>y of paying a penalty.  There is currently tremendous</w:t>
      </w:r>
      <w:r w:rsidR="00BB43DA" w:rsidRPr="00486A01">
        <w:rPr>
          <w:rFonts w:asciiTheme="minorHAnsi" w:hAnsiTheme="minorHAnsi"/>
          <w:i/>
        </w:rPr>
        <w:t xml:space="preserve"> c</w:t>
      </w:r>
      <w:r w:rsidR="001931BB" w:rsidRPr="00486A01">
        <w:rPr>
          <w:rFonts w:asciiTheme="minorHAnsi" w:hAnsiTheme="minorHAnsi"/>
          <w:i/>
        </w:rPr>
        <w:t xml:space="preserve">onfusion about this requirement.  </w:t>
      </w:r>
      <w:r w:rsidR="00BB43DA" w:rsidRPr="00486A01">
        <w:rPr>
          <w:rFonts w:asciiTheme="minorHAnsi" w:hAnsiTheme="minorHAnsi"/>
          <w:i/>
        </w:rPr>
        <w:t>This summary attempts to clarify the details of this provision and provides examples as to how the rules will affect different employers.</w:t>
      </w:r>
    </w:p>
    <w:p w:rsidR="00103145" w:rsidRPr="00486A01" w:rsidRDefault="00103145">
      <w:pPr>
        <w:rPr>
          <w:rFonts w:asciiTheme="minorHAnsi" w:hAnsiTheme="minorHAnsi"/>
        </w:rPr>
      </w:pPr>
    </w:p>
    <w:p w:rsidR="00103145" w:rsidRPr="00486A01" w:rsidRDefault="00103145" w:rsidP="00510B64">
      <w:pPr>
        <w:pStyle w:val="Heading2"/>
      </w:pPr>
      <w:r w:rsidRPr="00486A01">
        <w:t>Overview</w:t>
      </w:r>
    </w:p>
    <w:p w:rsidR="00103145" w:rsidRPr="00486A01" w:rsidRDefault="0069644D">
      <w:pPr>
        <w:rPr>
          <w:rFonts w:asciiTheme="minorHAnsi" w:hAnsiTheme="minorHAnsi"/>
        </w:rPr>
      </w:pPr>
      <w:r w:rsidRPr="00486A01">
        <w:rPr>
          <w:rFonts w:asciiTheme="minorHAnsi" w:hAnsiTheme="minorHAnsi"/>
        </w:rPr>
        <w:t xml:space="preserve">Beginning </w:t>
      </w:r>
      <w:r w:rsidR="00E55C59" w:rsidRPr="00486A01">
        <w:rPr>
          <w:rFonts w:asciiTheme="minorHAnsi" w:hAnsiTheme="minorHAnsi"/>
        </w:rPr>
        <w:t>i</w:t>
      </w:r>
      <w:r w:rsidRPr="00486A01">
        <w:rPr>
          <w:rFonts w:asciiTheme="minorHAnsi" w:hAnsiTheme="minorHAnsi"/>
        </w:rPr>
        <w:t>n 2014 a</w:t>
      </w:r>
      <w:r w:rsidR="00103145" w:rsidRPr="00486A01">
        <w:rPr>
          <w:rFonts w:asciiTheme="minorHAnsi" w:hAnsiTheme="minorHAnsi"/>
        </w:rPr>
        <w:t>n “applicable large employer” will pay a penalty if at least one of its full-time employees purchases coverage th</w:t>
      </w:r>
      <w:r w:rsidR="00E55C59" w:rsidRPr="00486A01">
        <w:rPr>
          <w:rFonts w:asciiTheme="minorHAnsi" w:hAnsiTheme="minorHAnsi"/>
        </w:rPr>
        <w:t>r</w:t>
      </w:r>
      <w:r w:rsidR="00103145" w:rsidRPr="00486A01">
        <w:rPr>
          <w:rFonts w:asciiTheme="minorHAnsi" w:hAnsiTheme="minorHAnsi"/>
        </w:rPr>
        <w:t>ough an insurance exchange and qualifies for a premium tax cred</w:t>
      </w:r>
      <w:r w:rsidR="003963F0" w:rsidRPr="00486A01">
        <w:rPr>
          <w:rFonts w:asciiTheme="minorHAnsi" w:hAnsiTheme="minorHAnsi"/>
        </w:rPr>
        <w:t>it or cost sharing reduction</w:t>
      </w:r>
      <w:r w:rsidR="001931BB" w:rsidRPr="00486A01">
        <w:rPr>
          <w:rFonts w:asciiTheme="minorHAnsi" w:hAnsiTheme="minorHAnsi"/>
        </w:rPr>
        <w:t xml:space="preserve"> (referred to as a subsidy for the rest of this summary)</w:t>
      </w:r>
      <w:r w:rsidR="003963F0" w:rsidRPr="00486A01">
        <w:rPr>
          <w:rFonts w:asciiTheme="minorHAnsi" w:hAnsiTheme="minorHAnsi"/>
        </w:rPr>
        <w:t xml:space="preserve">.  </w:t>
      </w:r>
      <w:r w:rsidR="00103145" w:rsidRPr="00486A01">
        <w:rPr>
          <w:rFonts w:asciiTheme="minorHAnsi" w:hAnsiTheme="minorHAnsi"/>
        </w:rPr>
        <w:t>For an employee to qualify for subsidized coverage</w:t>
      </w:r>
      <w:r w:rsidR="00E55C59" w:rsidRPr="00486A01">
        <w:rPr>
          <w:rFonts w:asciiTheme="minorHAnsi" w:hAnsiTheme="minorHAnsi"/>
        </w:rPr>
        <w:t>,</w:t>
      </w:r>
      <w:r w:rsidR="00103145" w:rsidRPr="00486A01">
        <w:rPr>
          <w:rFonts w:asciiTheme="minorHAnsi" w:hAnsiTheme="minorHAnsi"/>
        </w:rPr>
        <w:t xml:space="preserve"> their </w:t>
      </w:r>
      <w:r w:rsidR="00F94EBB" w:rsidRPr="00486A01">
        <w:rPr>
          <w:rFonts w:asciiTheme="minorHAnsi" w:hAnsiTheme="minorHAnsi"/>
        </w:rPr>
        <w:t xml:space="preserve">household </w:t>
      </w:r>
      <w:r w:rsidR="00103145" w:rsidRPr="00486A01">
        <w:rPr>
          <w:rFonts w:asciiTheme="minorHAnsi" w:hAnsiTheme="minorHAnsi"/>
        </w:rPr>
        <w:t xml:space="preserve">income must be less than 400% of the federal poverty level </w:t>
      </w:r>
      <w:r w:rsidR="00F94EBB" w:rsidRPr="00486A01">
        <w:rPr>
          <w:rFonts w:asciiTheme="minorHAnsi" w:hAnsiTheme="minorHAnsi"/>
        </w:rPr>
        <w:t>(FPL)</w:t>
      </w:r>
      <w:r w:rsidR="00956301">
        <w:rPr>
          <w:rFonts w:asciiTheme="minorHAnsi" w:hAnsiTheme="minorHAnsi"/>
        </w:rPr>
        <w:t>,</w:t>
      </w:r>
      <w:r w:rsidR="00F94EBB" w:rsidRPr="00486A01">
        <w:rPr>
          <w:rFonts w:asciiTheme="minorHAnsi" w:hAnsiTheme="minorHAnsi"/>
        </w:rPr>
        <w:t xml:space="preserve"> </w:t>
      </w:r>
      <w:r w:rsidR="00103145" w:rsidRPr="00486A01">
        <w:rPr>
          <w:rFonts w:asciiTheme="minorHAnsi" w:hAnsiTheme="minorHAnsi"/>
        </w:rPr>
        <w:t>and the</w:t>
      </w:r>
      <w:r w:rsidR="00F94EBB" w:rsidRPr="00486A01">
        <w:rPr>
          <w:rFonts w:asciiTheme="minorHAnsi" w:hAnsiTheme="minorHAnsi"/>
        </w:rPr>
        <w:t>ir</w:t>
      </w:r>
      <w:r w:rsidR="003963F0" w:rsidRPr="00486A01">
        <w:rPr>
          <w:rFonts w:asciiTheme="minorHAnsi" w:hAnsiTheme="minorHAnsi"/>
        </w:rPr>
        <w:t xml:space="preserve"> employer must not offer “minimum essential coverage” or the coverage offered by the employer must be deemed “unaffordable”.  </w:t>
      </w:r>
      <w:r w:rsidR="00F94EBB" w:rsidRPr="00486A01">
        <w:rPr>
          <w:rFonts w:asciiTheme="minorHAnsi" w:hAnsiTheme="minorHAnsi"/>
        </w:rPr>
        <w:t xml:space="preserve">These criteria are explained in more detail below.  </w:t>
      </w:r>
      <w:r w:rsidR="003963F0" w:rsidRPr="00486A01">
        <w:rPr>
          <w:rFonts w:asciiTheme="minorHAnsi" w:hAnsiTheme="minorHAnsi"/>
        </w:rPr>
        <w:t xml:space="preserve">The penalty structure is </w:t>
      </w:r>
      <w:r w:rsidR="008F2654" w:rsidRPr="00486A01">
        <w:rPr>
          <w:rFonts w:asciiTheme="minorHAnsi" w:hAnsiTheme="minorHAnsi"/>
        </w:rPr>
        <w:t xml:space="preserve">significantly </w:t>
      </w:r>
      <w:r w:rsidR="003963F0" w:rsidRPr="00486A01">
        <w:rPr>
          <w:rFonts w:asciiTheme="minorHAnsi" w:hAnsiTheme="minorHAnsi"/>
        </w:rPr>
        <w:t>different for employers who do not offer coverage to all full-time employees tha</w:t>
      </w:r>
      <w:r w:rsidR="00E55C59" w:rsidRPr="00486A01">
        <w:rPr>
          <w:rFonts w:asciiTheme="minorHAnsi" w:hAnsiTheme="minorHAnsi"/>
        </w:rPr>
        <w:t>n</w:t>
      </w:r>
      <w:r w:rsidR="003963F0" w:rsidRPr="00486A01">
        <w:rPr>
          <w:rFonts w:asciiTheme="minorHAnsi" w:hAnsiTheme="minorHAnsi"/>
        </w:rPr>
        <w:t xml:space="preserve"> for those who offer coverage.</w:t>
      </w:r>
    </w:p>
    <w:p w:rsidR="00BB43DA" w:rsidRPr="00486A01" w:rsidRDefault="00BB43DA">
      <w:pPr>
        <w:rPr>
          <w:rFonts w:asciiTheme="minorHAnsi" w:hAnsiTheme="minorHAnsi"/>
        </w:rPr>
      </w:pPr>
    </w:p>
    <w:p w:rsidR="00BB43DA" w:rsidRPr="00486A01" w:rsidRDefault="00F94EBB" w:rsidP="00510B64">
      <w:pPr>
        <w:pStyle w:val="Heading2"/>
      </w:pPr>
      <w:r w:rsidRPr="00486A01">
        <w:t xml:space="preserve">Definition of </w:t>
      </w:r>
      <w:r w:rsidR="00536A10" w:rsidRPr="00486A01">
        <w:t xml:space="preserve">Applicable </w:t>
      </w:r>
      <w:r w:rsidR="00E03AED" w:rsidRPr="00486A01">
        <w:t xml:space="preserve">Large </w:t>
      </w:r>
      <w:r w:rsidR="00BB43DA" w:rsidRPr="00486A01">
        <w:t>Employer</w:t>
      </w:r>
    </w:p>
    <w:p w:rsidR="00E03AED" w:rsidRPr="00486A01" w:rsidRDefault="00BB43DA" w:rsidP="00E03AED">
      <w:pPr>
        <w:rPr>
          <w:rFonts w:asciiTheme="minorHAnsi" w:hAnsiTheme="minorHAnsi"/>
        </w:rPr>
      </w:pPr>
      <w:r w:rsidRPr="00486A01">
        <w:rPr>
          <w:rFonts w:asciiTheme="minorHAnsi" w:hAnsiTheme="minorHAnsi"/>
        </w:rPr>
        <w:t xml:space="preserve">To be subject </w:t>
      </w:r>
      <w:r w:rsidR="00E55C59" w:rsidRPr="00486A01">
        <w:rPr>
          <w:rFonts w:asciiTheme="minorHAnsi" w:hAnsiTheme="minorHAnsi"/>
        </w:rPr>
        <w:t xml:space="preserve">to </w:t>
      </w:r>
      <w:r w:rsidR="00E03AED" w:rsidRPr="00486A01">
        <w:rPr>
          <w:rFonts w:asciiTheme="minorHAnsi" w:hAnsiTheme="minorHAnsi"/>
        </w:rPr>
        <w:t>a penalty a</w:t>
      </w:r>
      <w:r w:rsidRPr="00486A01">
        <w:rPr>
          <w:rFonts w:asciiTheme="minorHAnsi" w:hAnsiTheme="minorHAnsi"/>
        </w:rPr>
        <w:t xml:space="preserve">n employer </w:t>
      </w:r>
      <w:r w:rsidR="00536A10" w:rsidRPr="00486A01">
        <w:rPr>
          <w:rFonts w:asciiTheme="minorHAnsi" w:hAnsiTheme="minorHAnsi"/>
        </w:rPr>
        <w:t xml:space="preserve">must </w:t>
      </w:r>
      <w:r w:rsidR="00F94EBB" w:rsidRPr="00486A01">
        <w:rPr>
          <w:rFonts w:asciiTheme="minorHAnsi" w:hAnsiTheme="minorHAnsi"/>
        </w:rPr>
        <w:t>have</w:t>
      </w:r>
      <w:r w:rsidRPr="00486A01">
        <w:rPr>
          <w:rFonts w:asciiTheme="minorHAnsi" w:hAnsiTheme="minorHAnsi"/>
        </w:rPr>
        <w:t xml:space="preserve"> </w:t>
      </w:r>
      <w:r w:rsidR="00110541" w:rsidRPr="00486A01">
        <w:rPr>
          <w:rFonts w:asciiTheme="minorHAnsi" w:hAnsiTheme="minorHAnsi"/>
        </w:rPr>
        <w:t>at least 50 full-time employee equivalents</w:t>
      </w:r>
      <w:r w:rsidRPr="00486A01">
        <w:rPr>
          <w:rFonts w:asciiTheme="minorHAnsi" w:hAnsiTheme="minorHAnsi"/>
        </w:rPr>
        <w:t xml:space="preserve"> during the preceding calendar year.</w:t>
      </w:r>
    </w:p>
    <w:p w:rsidR="00E03AED" w:rsidRPr="00486A01" w:rsidRDefault="00F94EBB" w:rsidP="00E03AED">
      <w:pPr>
        <w:numPr>
          <w:ilvl w:val="0"/>
          <w:numId w:val="3"/>
        </w:numPr>
        <w:rPr>
          <w:rFonts w:asciiTheme="minorHAnsi" w:hAnsiTheme="minorHAnsi"/>
        </w:rPr>
      </w:pPr>
      <w:r w:rsidRPr="00486A01">
        <w:rPr>
          <w:rFonts w:asciiTheme="minorHAnsi" w:hAnsiTheme="minorHAnsi"/>
        </w:rPr>
        <w:t>Full-time employees</w:t>
      </w:r>
      <w:r w:rsidR="00BB43DA" w:rsidRPr="00486A01">
        <w:rPr>
          <w:rFonts w:asciiTheme="minorHAnsi" w:hAnsiTheme="minorHAnsi"/>
        </w:rPr>
        <w:t xml:space="preserve"> are defined as those working 30 or more hours per week.</w:t>
      </w:r>
    </w:p>
    <w:p w:rsidR="00110541" w:rsidRPr="00486A01" w:rsidRDefault="00103145" w:rsidP="00110541">
      <w:pPr>
        <w:numPr>
          <w:ilvl w:val="0"/>
          <w:numId w:val="3"/>
        </w:numPr>
        <w:rPr>
          <w:rFonts w:asciiTheme="minorHAnsi" w:hAnsiTheme="minorHAnsi"/>
        </w:rPr>
      </w:pPr>
      <w:r w:rsidRPr="00486A01">
        <w:rPr>
          <w:rFonts w:asciiTheme="minorHAnsi" w:hAnsiTheme="minorHAnsi"/>
        </w:rPr>
        <w:t>P</w:t>
      </w:r>
      <w:r w:rsidR="00110541" w:rsidRPr="00486A01">
        <w:rPr>
          <w:rFonts w:asciiTheme="minorHAnsi" w:hAnsiTheme="minorHAnsi"/>
        </w:rPr>
        <w:t xml:space="preserve">art-time employees are included </w:t>
      </w:r>
      <w:r w:rsidRPr="00486A01">
        <w:rPr>
          <w:rFonts w:asciiTheme="minorHAnsi" w:hAnsiTheme="minorHAnsi"/>
        </w:rPr>
        <w:t>on a pro-rated basi</w:t>
      </w:r>
      <w:r w:rsidR="003963F0" w:rsidRPr="00486A01">
        <w:rPr>
          <w:rFonts w:asciiTheme="minorHAnsi" w:hAnsiTheme="minorHAnsi"/>
        </w:rPr>
        <w:t>s</w:t>
      </w:r>
      <w:r w:rsidRPr="00486A01">
        <w:rPr>
          <w:rFonts w:asciiTheme="minorHAnsi" w:hAnsiTheme="minorHAnsi"/>
        </w:rPr>
        <w:t xml:space="preserve"> </w:t>
      </w:r>
      <w:r w:rsidR="00110541" w:rsidRPr="00486A01">
        <w:rPr>
          <w:rFonts w:asciiTheme="minorHAnsi" w:hAnsiTheme="minorHAnsi"/>
        </w:rPr>
        <w:t xml:space="preserve">in the calculation </w:t>
      </w:r>
      <w:r w:rsidRPr="00486A01">
        <w:rPr>
          <w:rFonts w:asciiTheme="minorHAnsi" w:hAnsiTheme="minorHAnsi"/>
        </w:rPr>
        <w:t xml:space="preserve">to determine if an </w:t>
      </w:r>
      <w:r w:rsidR="00110541" w:rsidRPr="00486A01">
        <w:rPr>
          <w:rFonts w:asciiTheme="minorHAnsi" w:hAnsiTheme="minorHAnsi"/>
        </w:rPr>
        <w:t>employer</w:t>
      </w:r>
      <w:r w:rsidR="00536A10" w:rsidRPr="00486A01">
        <w:rPr>
          <w:rFonts w:asciiTheme="minorHAnsi" w:hAnsiTheme="minorHAnsi"/>
        </w:rPr>
        <w:t xml:space="preserve"> </w:t>
      </w:r>
      <w:r w:rsidR="00F94EBB" w:rsidRPr="00486A01">
        <w:rPr>
          <w:rFonts w:asciiTheme="minorHAnsi" w:hAnsiTheme="minorHAnsi"/>
        </w:rPr>
        <w:t xml:space="preserve">is an </w:t>
      </w:r>
      <w:r w:rsidRPr="00486A01">
        <w:rPr>
          <w:rFonts w:asciiTheme="minorHAnsi" w:hAnsiTheme="minorHAnsi"/>
        </w:rPr>
        <w:t xml:space="preserve">applicable large employer. </w:t>
      </w:r>
    </w:p>
    <w:p w:rsidR="00E03AED" w:rsidRPr="00486A01" w:rsidRDefault="00BB43DA" w:rsidP="00E03AED">
      <w:pPr>
        <w:numPr>
          <w:ilvl w:val="0"/>
          <w:numId w:val="3"/>
        </w:numPr>
        <w:rPr>
          <w:rFonts w:asciiTheme="minorHAnsi" w:hAnsiTheme="minorHAnsi"/>
        </w:rPr>
      </w:pPr>
      <w:r w:rsidRPr="00486A01">
        <w:rPr>
          <w:rFonts w:asciiTheme="minorHAnsi" w:hAnsiTheme="minorHAnsi"/>
        </w:rPr>
        <w:t>The number of full-time employees excludes</w:t>
      </w:r>
      <w:r w:rsidR="00E03AED" w:rsidRPr="00486A01">
        <w:rPr>
          <w:rFonts w:asciiTheme="minorHAnsi" w:hAnsiTheme="minorHAnsi"/>
        </w:rPr>
        <w:t xml:space="preserve"> </w:t>
      </w:r>
      <w:r w:rsidRPr="00486A01">
        <w:rPr>
          <w:rFonts w:asciiTheme="minorHAnsi" w:hAnsiTheme="minorHAnsi"/>
        </w:rPr>
        <w:t>seasonal employees who</w:t>
      </w:r>
      <w:r w:rsidR="00E03AED" w:rsidRPr="00486A01">
        <w:rPr>
          <w:rFonts w:asciiTheme="minorHAnsi" w:hAnsiTheme="minorHAnsi"/>
        </w:rPr>
        <w:t xml:space="preserve"> </w:t>
      </w:r>
      <w:r w:rsidRPr="00486A01">
        <w:rPr>
          <w:rFonts w:asciiTheme="minorHAnsi" w:hAnsiTheme="minorHAnsi"/>
        </w:rPr>
        <w:t>work for less than 120 days during the year.</w:t>
      </w:r>
    </w:p>
    <w:p w:rsidR="00110541" w:rsidRPr="00486A01" w:rsidRDefault="00110541" w:rsidP="00BB43DA">
      <w:pPr>
        <w:rPr>
          <w:rFonts w:asciiTheme="minorHAnsi" w:hAnsiTheme="minorHAnsi"/>
        </w:rPr>
      </w:pPr>
    </w:p>
    <w:p w:rsidR="00BB43DA" w:rsidRPr="00486A01" w:rsidRDefault="00536A10" w:rsidP="00BB43DA">
      <w:pPr>
        <w:rPr>
          <w:rFonts w:asciiTheme="minorHAnsi" w:hAnsiTheme="minorHAnsi"/>
        </w:rPr>
      </w:pPr>
      <w:r w:rsidRPr="00486A01">
        <w:rPr>
          <w:rFonts w:asciiTheme="minorHAnsi" w:hAnsiTheme="minorHAnsi"/>
        </w:rPr>
        <w:t xml:space="preserve">Note: </w:t>
      </w:r>
      <w:r w:rsidR="00F94EBB" w:rsidRPr="00486A01">
        <w:rPr>
          <w:rFonts w:asciiTheme="minorHAnsi" w:hAnsiTheme="minorHAnsi"/>
        </w:rPr>
        <w:t>While p</w:t>
      </w:r>
      <w:r w:rsidR="00E03AED" w:rsidRPr="00486A01">
        <w:rPr>
          <w:rFonts w:asciiTheme="minorHAnsi" w:hAnsiTheme="minorHAnsi"/>
        </w:rPr>
        <w:t>art-time employees are used to determine if an employer meets the 50 employee threshold</w:t>
      </w:r>
      <w:r w:rsidR="00110541" w:rsidRPr="00486A01">
        <w:rPr>
          <w:rFonts w:asciiTheme="minorHAnsi" w:hAnsiTheme="minorHAnsi"/>
        </w:rPr>
        <w:t>,</w:t>
      </w:r>
      <w:r w:rsidR="00F94EBB" w:rsidRPr="00486A01">
        <w:rPr>
          <w:rFonts w:asciiTheme="minorHAnsi" w:hAnsiTheme="minorHAnsi"/>
        </w:rPr>
        <w:t xml:space="preserve"> </w:t>
      </w:r>
      <w:r w:rsidR="001931BB" w:rsidRPr="00486A01">
        <w:rPr>
          <w:rFonts w:asciiTheme="minorHAnsi" w:hAnsiTheme="minorHAnsi"/>
        </w:rPr>
        <w:t xml:space="preserve">an employer </w:t>
      </w:r>
      <w:r w:rsidR="00F94EBB" w:rsidRPr="00486A01">
        <w:rPr>
          <w:rFonts w:asciiTheme="minorHAnsi" w:hAnsiTheme="minorHAnsi"/>
        </w:rPr>
        <w:t xml:space="preserve">is not required to </w:t>
      </w:r>
      <w:r w:rsidR="001931BB" w:rsidRPr="00486A01">
        <w:rPr>
          <w:rFonts w:asciiTheme="minorHAnsi" w:hAnsiTheme="minorHAnsi"/>
        </w:rPr>
        <w:t>provide</w:t>
      </w:r>
      <w:r w:rsidRPr="00486A01">
        <w:rPr>
          <w:rFonts w:asciiTheme="minorHAnsi" w:hAnsiTheme="minorHAnsi"/>
        </w:rPr>
        <w:t xml:space="preserve"> coverage to </w:t>
      </w:r>
      <w:r w:rsidR="00E03AED" w:rsidRPr="00486A01">
        <w:rPr>
          <w:rFonts w:asciiTheme="minorHAnsi" w:hAnsiTheme="minorHAnsi"/>
        </w:rPr>
        <w:t>part-time employees.</w:t>
      </w:r>
    </w:p>
    <w:p w:rsidR="00103145" w:rsidRPr="00486A01" w:rsidRDefault="00103145" w:rsidP="00BB43DA">
      <w:pPr>
        <w:rPr>
          <w:rFonts w:asciiTheme="minorHAnsi" w:hAnsiTheme="minorHAnsi"/>
        </w:rPr>
      </w:pPr>
    </w:p>
    <w:p w:rsidR="00103145" w:rsidRPr="00486A01" w:rsidRDefault="003963F0" w:rsidP="00510B64">
      <w:pPr>
        <w:pStyle w:val="Heading2"/>
      </w:pPr>
      <w:r w:rsidRPr="00486A01">
        <w:t>Mini</w:t>
      </w:r>
      <w:r w:rsidR="00F94EBB" w:rsidRPr="00486A01">
        <w:t>m</w:t>
      </w:r>
      <w:r w:rsidRPr="00486A01">
        <w:t>um Essential Coverage</w:t>
      </w:r>
    </w:p>
    <w:p w:rsidR="003963F0" w:rsidRPr="00486A01" w:rsidRDefault="003963F0" w:rsidP="003963F0">
      <w:pPr>
        <w:rPr>
          <w:rFonts w:asciiTheme="minorHAnsi" w:hAnsiTheme="minorHAnsi"/>
        </w:rPr>
      </w:pPr>
      <w:r w:rsidRPr="00486A01">
        <w:rPr>
          <w:rFonts w:asciiTheme="minorHAnsi" w:hAnsiTheme="minorHAnsi"/>
        </w:rPr>
        <w:t xml:space="preserve">The details of exactly what constitutes minimum essential coverage </w:t>
      </w:r>
      <w:r w:rsidR="008F2654" w:rsidRPr="00486A01">
        <w:rPr>
          <w:rFonts w:asciiTheme="minorHAnsi" w:hAnsiTheme="minorHAnsi"/>
        </w:rPr>
        <w:t xml:space="preserve">will </w:t>
      </w:r>
      <w:r w:rsidRPr="00486A01">
        <w:rPr>
          <w:rFonts w:asciiTheme="minorHAnsi" w:hAnsiTheme="minorHAnsi"/>
        </w:rPr>
        <w:t xml:space="preserve">be addressed in regulatory guidance, but </w:t>
      </w:r>
      <w:r w:rsidR="00F94EBB" w:rsidRPr="00486A01">
        <w:rPr>
          <w:rFonts w:asciiTheme="minorHAnsi" w:hAnsiTheme="minorHAnsi"/>
        </w:rPr>
        <w:t xml:space="preserve">the plan </w:t>
      </w:r>
      <w:r w:rsidRPr="00486A01">
        <w:rPr>
          <w:rFonts w:asciiTheme="minorHAnsi" w:hAnsiTheme="minorHAnsi"/>
        </w:rPr>
        <w:t>must include at least the following general categories</w:t>
      </w:r>
      <w:r w:rsidR="00F94EBB" w:rsidRPr="00486A01">
        <w:rPr>
          <w:rFonts w:asciiTheme="minorHAnsi" w:hAnsiTheme="minorHAnsi"/>
        </w:rPr>
        <w:t xml:space="preserve"> of coverage</w:t>
      </w:r>
      <w:r w:rsidR="00E55C59" w:rsidRPr="00486A01">
        <w:rPr>
          <w:rFonts w:asciiTheme="minorHAnsi" w:hAnsiTheme="minorHAnsi"/>
        </w:rPr>
        <w:t>:</w:t>
      </w:r>
    </w:p>
    <w:p w:rsidR="003963F0" w:rsidRPr="00486A01" w:rsidRDefault="003963F0" w:rsidP="008F2654">
      <w:pPr>
        <w:numPr>
          <w:ilvl w:val="0"/>
          <w:numId w:val="4"/>
        </w:numPr>
        <w:rPr>
          <w:rFonts w:asciiTheme="minorHAnsi" w:hAnsiTheme="minorHAnsi"/>
        </w:rPr>
      </w:pPr>
      <w:r w:rsidRPr="00486A01">
        <w:rPr>
          <w:rFonts w:asciiTheme="minorHAnsi" w:hAnsiTheme="minorHAnsi"/>
        </w:rPr>
        <w:t>ambulatory patient services</w:t>
      </w:r>
    </w:p>
    <w:p w:rsidR="003963F0" w:rsidRPr="00486A01" w:rsidRDefault="003963F0" w:rsidP="008F2654">
      <w:pPr>
        <w:numPr>
          <w:ilvl w:val="0"/>
          <w:numId w:val="4"/>
        </w:numPr>
        <w:rPr>
          <w:rFonts w:asciiTheme="minorHAnsi" w:hAnsiTheme="minorHAnsi"/>
        </w:rPr>
      </w:pPr>
      <w:r w:rsidRPr="00486A01">
        <w:rPr>
          <w:rFonts w:asciiTheme="minorHAnsi" w:hAnsiTheme="minorHAnsi"/>
        </w:rPr>
        <w:t>hospitalization</w:t>
      </w:r>
      <w:r w:rsidR="008F2654" w:rsidRPr="00486A01">
        <w:rPr>
          <w:rFonts w:asciiTheme="minorHAnsi" w:hAnsiTheme="minorHAnsi"/>
        </w:rPr>
        <w:t xml:space="preserve"> and emergency services</w:t>
      </w:r>
    </w:p>
    <w:p w:rsidR="003963F0" w:rsidRPr="00486A01" w:rsidRDefault="003963F0" w:rsidP="008F2654">
      <w:pPr>
        <w:numPr>
          <w:ilvl w:val="0"/>
          <w:numId w:val="4"/>
        </w:numPr>
        <w:rPr>
          <w:rFonts w:asciiTheme="minorHAnsi" w:hAnsiTheme="minorHAnsi"/>
        </w:rPr>
      </w:pPr>
      <w:r w:rsidRPr="00486A01">
        <w:rPr>
          <w:rFonts w:asciiTheme="minorHAnsi" w:hAnsiTheme="minorHAnsi"/>
        </w:rPr>
        <w:t>maternity and newborn care</w:t>
      </w:r>
    </w:p>
    <w:p w:rsidR="003963F0" w:rsidRPr="00486A01" w:rsidRDefault="003963F0" w:rsidP="008F2654">
      <w:pPr>
        <w:numPr>
          <w:ilvl w:val="0"/>
          <w:numId w:val="4"/>
        </w:numPr>
        <w:rPr>
          <w:rFonts w:asciiTheme="minorHAnsi" w:hAnsiTheme="minorHAnsi"/>
        </w:rPr>
      </w:pPr>
      <w:r w:rsidRPr="00486A01">
        <w:rPr>
          <w:rFonts w:asciiTheme="minorHAnsi" w:hAnsiTheme="minorHAnsi"/>
        </w:rPr>
        <w:t>mental health and s</w:t>
      </w:r>
      <w:r w:rsidR="008F2654" w:rsidRPr="00486A01">
        <w:rPr>
          <w:rFonts w:asciiTheme="minorHAnsi" w:hAnsiTheme="minorHAnsi"/>
        </w:rPr>
        <w:t>ubstance use disorder services</w:t>
      </w:r>
    </w:p>
    <w:p w:rsidR="003963F0" w:rsidRPr="00956301" w:rsidRDefault="003963F0" w:rsidP="008F2654">
      <w:pPr>
        <w:numPr>
          <w:ilvl w:val="0"/>
          <w:numId w:val="4"/>
        </w:numPr>
        <w:rPr>
          <w:rFonts w:asciiTheme="minorHAnsi" w:hAnsiTheme="minorHAnsi"/>
        </w:rPr>
      </w:pPr>
      <w:r w:rsidRPr="00956301">
        <w:rPr>
          <w:rFonts w:asciiTheme="minorHAnsi" w:hAnsiTheme="minorHAnsi"/>
        </w:rPr>
        <w:t>prescription drugs</w:t>
      </w:r>
      <w:r w:rsidR="00956301" w:rsidRPr="00956301">
        <w:rPr>
          <w:rFonts w:asciiTheme="minorHAnsi" w:hAnsiTheme="minorHAnsi"/>
        </w:rPr>
        <w:t xml:space="preserve">, </w:t>
      </w:r>
      <w:r w:rsidRPr="00956301">
        <w:rPr>
          <w:rFonts w:asciiTheme="minorHAnsi" w:hAnsiTheme="minorHAnsi"/>
        </w:rPr>
        <w:t xml:space="preserve">laboratory </w:t>
      </w:r>
      <w:r w:rsidR="008F2654" w:rsidRPr="00956301">
        <w:rPr>
          <w:rFonts w:asciiTheme="minorHAnsi" w:hAnsiTheme="minorHAnsi"/>
        </w:rPr>
        <w:t>and rehabilitative</w:t>
      </w:r>
      <w:r w:rsidR="00956301">
        <w:rPr>
          <w:rFonts w:asciiTheme="minorHAnsi" w:hAnsiTheme="minorHAnsi"/>
        </w:rPr>
        <w:t xml:space="preserve"> services</w:t>
      </w:r>
    </w:p>
    <w:p w:rsidR="001931BB" w:rsidRPr="00486A01" w:rsidRDefault="001931BB" w:rsidP="008F2654">
      <w:pPr>
        <w:numPr>
          <w:ilvl w:val="0"/>
          <w:numId w:val="4"/>
        </w:numPr>
        <w:rPr>
          <w:rFonts w:asciiTheme="minorHAnsi" w:hAnsiTheme="minorHAnsi"/>
        </w:rPr>
      </w:pPr>
      <w:r w:rsidRPr="00486A01">
        <w:rPr>
          <w:rFonts w:asciiTheme="minorHAnsi" w:hAnsiTheme="minorHAnsi"/>
        </w:rPr>
        <w:t xml:space="preserve">preventive, </w:t>
      </w:r>
      <w:r w:rsidR="003963F0" w:rsidRPr="00486A01">
        <w:rPr>
          <w:rFonts w:asciiTheme="minorHAnsi" w:hAnsiTheme="minorHAnsi"/>
        </w:rPr>
        <w:t>wellness services and chronic disease management</w:t>
      </w:r>
    </w:p>
    <w:p w:rsidR="003963F0" w:rsidRPr="00486A01" w:rsidRDefault="003963F0" w:rsidP="008F2654">
      <w:pPr>
        <w:numPr>
          <w:ilvl w:val="0"/>
          <w:numId w:val="4"/>
        </w:numPr>
        <w:rPr>
          <w:rFonts w:asciiTheme="minorHAnsi" w:hAnsiTheme="minorHAnsi"/>
        </w:rPr>
      </w:pPr>
      <w:r w:rsidRPr="00486A01">
        <w:rPr>
          <w:rFonts w:asciiTheme="minorHAnsi" w:hAnsiTheme="minorHAnsi"/>
        </w:rPr>
        <w:t xml:space="preserve">pediatric services, including oral and vision care. </w:t>
      </w:r>
    </w:p>
    <w:p w:rsidR="003963F0" w:rsidRPr="00486A01" w:rsidRDefault="003963F0" w:rsidP="00BB43DA">
      <w:pPr>
        <w:rPr>
          <w:rFonts w:asciiTheme="minorHAnsi" w:hAnsiTheme="minorHAnsi"/>
        </w:rPr>
      </w:pPr>
    </w:p>
    <w:p w:rsidR="00BB43DA" w:rsidRPr="00486A01" w:rsidRDefault="008F2654" w:rsidP="00BB43DA">
      <w:pPr>
        <w:rPr>
          <w:rFonts w:asciiTheme="minorHAnsi" w:hAnsiTheme="minorHAnsi"/>
        </w:rPr>
      </w:pPr>
      <w:r w:rsidRPr="00486A01">
        <w:rPr>
          <w:rFonts w:asciiTheme="minorHAnsi" w:hAnsiTheme="minorHAnsi"/>
        </w:rPr>
        <w:t>It is anticipated that most current employer sponsore</w:t>
      </w:r>
      <w:r w:rsidR="00F94EBB" w:rsidRPr="00486A01">
        <w:rPr>
          <w:rFonts w:asciiTheme="minorHAnsi" w:hAnsiTheme="minorHAnsi"/>
        </w:rPr>
        <w:t xml:space="preserve">d health plans will qualify as </w:t>
      </w:r>
      <w:r w:rsidRPr="00486A01">
        <w:rPr>
          <w:rFonts w:asciiTheme="minorHAnsi" w:hAnsiTheme="minorHAnsi"/>
        </w:rPr>
        <w:t xml:space="preserve">minimum essential coverage.  </w:t>
      </w:r>
    </w:p>
    <w:p w:rsidR="00BB43DA" w:rsidRPr="00486A01" w:rsidRDefault="00BB43DA">
      <w:pPr>
        <w:rPr>
          <w:rFonts w:asciiTheme="minorHAnsi" w:hAnsiTheme="minorHAnsi"/>
        </w:rPr>
      </w:pPr>
    </w:p>
    <w:p w:rsidR="00BB43DA" w:rsidRPr="00486A01" w:rsidRDefault="008F2654" w:rsidP="00510B64">
      <w:pPr>
        <w:pStyle w:val="Heading2"/>
      </w:pPr>
      <w:r w:rsidRPr="00486A01">
        <w:t>Employee Qualification for Subsidies</w:t>
      </w:r>
    </w:p>
    <w:p w:rsidR="003269FC" w:rsidRPr="00486A01" w:rsidRDefault="008F2654" w:rsidP="003269FC">
      <w:pPr>
        <w:rPr>
          <w:rFonts w:asciiTheme="minorHAnsi" w:hAnsiTheme="minorHAnsi"/>
        </w:rPr>
      </w:pPr>
      <w:r w:rsidRPr="00486A01">
        <w:rPr>
          <w:rFonts w:asciiTheme="minorHAnsi" w:hAnsiTheme="minorHAnsi"/>
        </w:rPr>
        <w:t xml:space="preserve">As stated in the overview, a penalty will only apply to an employer if at least one full-time employee qualifies </w:t>
      </w:r>
      <w:r w:rsidR="003269FC" w:rsidRPr="00486A01">
        <w:rPr>
          <w:rFonts w:asciiTheme="minorHAnsi" w:hAnsiTheme="minorHAnsi"/>
        </w:rPr>
        <w:t xml:space="preserve">for </w:t>
      </w:r>
      <w:r w:rsidR="00F94EBB" w:rsidRPr="00486A01">
        <w:rPr>
          <w:rFonts w:asciiTheme="minorHAnsi" w:hAnsiTheme="minorHAnsi"/>
        </w:rPr>
        <w:t>subsidized coverage</w:t>
      </w:r>
      <w:r w:rsidR="003269FC" w:rsidRPr="00486A01">
        <w:rPr>
          <w:rFonts w:asciiTheme="minorHAnsi" w:hAnsiTheme="minorHAnsi"/>
        </w:rPr>
        <w:t xml:space="preserve"> and purchases coverage through the exchange.  </w:t>
      </w:r>
      <w:r w:rsidR="00D75F1E" w:rsidRPr="00486A01">
        <w:rPr>
          <w:rFonts w:asciiTheme="minorHAnsi" w:hAnsiTheme="minorHAnsi"/>
        </w:rPr>
        <w:t>I</w:t>
      </w:r>
      <w:r w:rsidR="003269FC" w:rsidRPr="00486A01">
        <w:rPr>
          <w:rFonts w:asciiTheme="minorHAnsi" w:hAnsiTheme="minorHAnsi"/>
        </w:rPr>
        <w:t xml:space="preserve">ndividuals with an income between 138% and 400% of the federal poverty level (FPL) can </w:t>
      </w:r>
      <w:r w:rsidR="00D75F1E" w:rsidRPr="00486A01">
        <w:rPr>
          <w:rFonts w:asciiTheme="minorHAnsi" w:hAnsiTheme="minorHAnsi"/>
        </w:rPr>
        <w:t>qualify for subsidized coverage through an exchange.</w:t>
      </w:r>
      <w:r w:rsidR="00F94EBB" w:rsidRPr="00486A01">
        <w:rPr>
          <w:rFonts w:asciiTheme="minorHAnsi" w:hAnsiTheme="minorHAnsi"/>
        </w:rPr>
        <w:t xml:space="preserve"> </w:t>
      </w:r>
      <w:r w:rsidR="00D75F1E" w:rsidRPr="00486A01">
        <w:rPr>
          <w:rFonts w:asciiTheme="minorHAnsi" w:hAnsiTheme="minorHAnsi"/>
        </w:rPr>
        <w:t xml:space="preserve"> Those with incomes less than 138% of FPL </w:t>
      </w:r>
      <w:r w:rsidR="00F94EBB" w:rsidRPr="00486A01">
        <w:rPr>
          <w:rFonts w:asciiTheme="minorHAnsi" w:hAnsiTheme="minorHAnsi"/>
        </w:rPr>
        <w:t xml:space="preserve">will </w:t>
      </w:r>
      <w:r w:rsidR="00D75F1E" w:rsidRPr="00486A01">
        <w:rPr>
          <w:rFonts w:asciiTheme="minorHAnsi" w:hAnsiTheme="minorHAnsi"/>
        </w:rPr>
        <w:t>qualify for expanded Medicaid coverage.</w:t>
      </w:r>
    </w:p>
    <w:p w:rsidR="003269FC" w:rsidRPr="00486A01" w:rsidRDefault="003269FC">
      <w:pPr>
        <w:rPr>
          <w:rFonts w:asciiTheme="minorHAnsi" w:hAnsiTheme="minorHAnsi"/>
        </w:rPr>
      </w:pPr>
    </w:p>
    <w:p w:rsidR="00BB43DA" w:rsidRPr="00486A01" w:rsidRDefault="003269FC">
      <w:pPr>
        <w:rPr>
          <w:rFonts w:asciiTheme="minorHAnsi" w:hAnsiTheme="minorHAnsi"/>
        </w:rPr>
      </w:pPr>
      <w:r w:rsidRPr="00486A01">
        <w:rPr>
          <w:rFonts w:asciiTheme="minorHAnsi" w:hAnsiTheme="minorHAnsi"/>
        </w:rPr>
        <w:t>For a full-time</w:t>
      </w:r>
      <w:r w:rsidR="008F2654" w:rsidRPr="00486A01">
        <w:rPr>
          <w:rFonts w:asciiTheme="minorHAnsi" w:hAnsiTheme="minorHAnsi"/>
        </w:rPr>
        <w:t xml:space="preserve"> employee </w:t>
      </w:r>
      <w:r w:rsidRPr="00486A01">
        <w:rPr>
          <w:rFonts w:asciiTheme="minorHAnsi" w:hAnsiTheme="minorHAnsi"/>
        </w:rPr>
        <w:t xml:space="preserve">who meets the income qualifications </w:t>
      </w:r>
      <w:r w:rsidR="008F2654" w:rsidRPr="00486A01">
        <w:rPr>
          <w:rFonts w:asciiTheme="minorHAnsi" w:hAnsiTheme="minorHAnsi"/>
        </w:rPr>
        <w:t>to qualify for subsidized coverage</w:t>
      </w:r>
      <w:r w:rsidR="00E55C59" w:rsidRPr="00486A01">
        <w:rPr>
          <w:rFonts w:asciiTheme="minorHAnsi" w:hAnsiTheme="minorHAnsi"/>
        </w:rPr>
        <w:t>,</w:t>
      </w:r>
      <w:r w:rsidR="008F2654" w:rsidRPr="00486A01">
        <w:rPr>
          <w:rFonts w:asciiTheme="minorHAnsi" w:hAnsiTheme="minorHAnsi"/>
        </w:rPr>
        <w:t xml:space="preserve"> one of the following situations must exist:</w:t>
      </w:r>
    </w:p>
    <w:p w:rsidR="003269FC" w:rsidRPr="00486A01" w:rsidRDefault="00D75F1E" w:rsidP="008F2654">
      <w:pPr>
        <w:numPr>
          <w:ilvl w:val="0"/>
          <w:numId w:val="5"/>
        </w:numPr>
        <w:rPr>
          <w:rFonts w:asciiTheme="minorHAnsi" w:hAnsiTheme="minorHAnsi"/>
        </w:rPr>
      </w:pPr>
      <w:r w:rsidRPr="00486A01">
        <w:rPr>
          <w:rFonts w:asciiTheme="minorHAnsi" w:hAnsiTheme="minorHAnsi"/>
        </w:rPr>
        <w:t>The</w:t>
      </w:r>
      <w:r w:rsidR="00F94EBB" w:rsidRPr="00486A01">
        <w:rPr>
          <w:rFonts w:asciiTheme="minorHAnsi" w:hAnsiTheme="minorHAnsi"/>
        </w:rPr>
        <w:t>ir</w:t>
      </w:r>
      <w:r w:rsidRPr="00486A01">
        <w:rPr>
          <w:rFonts w:asciiTheme="minorHAnsi" w:hAnsiTheme="minorHAnsi"/>
        </w:rPr>
        <w:t xml:space="preserve"> employer</w:t>
      </w:r>
      <w:r w:rsidR="003269FC" w:rsidRPr="00486A01">
        <w:rPr>
          <w:rFonts w:asciiTheme="minorHAnsi" w:hAnsiTheme="minorHAnsi"/>
        </w:rPr>
        <w:t xml:space="preserve"> does not offer minimum essential coverage</w:t>
      </w:r>
      <w:r w:rsidR="008F2654" w:rsidRPr="00486A01">
        <w:rPr>
          <w:rFonts w:asciiTheme="minorHAnsi" w:hAnsiTheme="minorHAnsi"/>
        </w:rPr>
        <w:t xml:space="preserve"> </w:t>
      </w:r>
    </w:p>
    <w:p w:rsidR="00C941AD" w:rsidRPr="00486A01" w:rsidRDefault="003269FC" w:rsidP="008F2654">
      <w:pPr>
        <w:numPr>
          <w:ilvl w:val="0"/>
          <w:numId w:val="5"/>
        </w:numPr>
        <w:rPr>
          <w:rFonts w:asciiTheme="minorHAnsi" w:hAnsiTheme="minorHAnsi"/>
        </w:rPr>
      </w:pPr>
      <w:r w:rsidRPr="00486A01">
        <w:rPr>
          <w:rFonts w:asciiTheme="minorHAnsi" w:hAnsiTheme="minorHAnsi"/>
        </w:rPr>
        <w:t>The</w:t>
      </w:r>
      <w:r w:rsidR="00F94EBB" w:rsidRPr="00486A01">
        <w:rPr>
          <w:rFonts w:asciiTheme="minorHAnsi" w:hAnsiTheme="minorHAnsi"/>
        </w:rPr>
        <w:t>ir</w:t>
      </w:r>
      <w:r w:rsidRPr="00486A01">
        <w:rPr>
          <w:rFonts w:asciiTheme="minorHAnsi" w:hAnsiTheme="minorHAnsi"/>
        </w:rPr>
        <w:t xml:space="preserve"> employer’s </w:t>
      </w:r>
      <w:r w:rsidR="008F2654" w:rsidRPr="00486A01">
        <w:rPr>
          <w:rFonts w:asciiTheme="minorHAnsi" w:hAnsiTheme="minorHAnsi"/>
        </w:rPr>
        <w:t>plan pays for less than 60%</w:t>
      </w:r>
      <w:r w:rsidRPr="00486A01">
        <w:rPr>
          <w:rFonts w:asciiTheme="minorHAnsi" w:hAnsiTheme="minorHAnsi"/>
        </w:rPr>
        <w:t xml:space="preserve"> </w:t>
      </w:r>
      <w:r w:rsidR="008F2654" w:rsidRPr="00486A01">
        <w:rPr>
          <w:rFonts w:asciiTheme="minorHAnsi" w:hAnsiTheme="minorHAnsi"/>
        </w:rPr>
        <w:t xml:space="preserve">of </w:t>
      </w:r>
      <w:r w:rsidR="00D75F1E" w:rsidRPr="00486A01">
        <w:rPr>
          <w:rFonts w:asciiTheme="minorHAnsi" w:hAnsiTheme="minorHAnsi"/>
        </w:rPr>
        <w:t xml:space="preserve">plan total </w:t>
      </w:r>
      <w:r w:rsidR="008F2654" w:rsidRPr="00486A01">
        <w:rPr>
          <w:rFonts w:asciiTheme="minorHAnsi" w:hAnsiTheme="minorHAnsi"/>
        </w:rPr>
        <w:t>covered health care</w:t>
      </w:r>
      <w:r w:rsidRPr="00486A01">
        <w:rPr>
          <w:rFonts w:asciiTheme="minorHAnsi" w:hAnsiTheme="minorHAnsi"/>
        </w:rPr>
        <w:t xml:space="preserve"> expenses</w:t>
      </w:r>
    </w:p>
    <w:p w:rsidR="00D75F1E" w:rsidRPr="00486A01" w:rsidRDefault="00D75F1E" w:rsidP="008F2654">
      <w:pPr>
        <w:numPr>
          <w:ilvl w:val="0"/>
          <w:numId w:val="5"/>
        </w:numPr>
        <w:rPr>
          <w:rFonts w:asciiTheme="minorHAnsi" w:hAnsiTheme="minorHAnsi"/>
        </w:rPr>
      </w:pPr>
      <w:r w:rsidRPr="00486A01">
        <w:rPr>
          <w:rFonts w:asciiTheme="minorHAnsi" w:hAnsiTheme="minorHAnsi"/>
        </w:rPr>
        <w:t>The</w:t>
      </w:r>
      <w:r w:rsidR="00F94EBB" w:rsidRPr="00486A01">
        <w:rPr>
          <w:rFonts w:asciiTheme="minorHAnsi" w:hAnsiTheme="minorHAnsi"/>
        </w:rPr>
        <w:t>ir</w:t>
      </w:r>
      <w:r w:rsidRPr="00486A01">
        <w:rPr>
          <w:rFonts w:asciiTheme="minorHAnsi" w:hAnsiTheme="minorHAnsi"/>
        </w:rPr>
        <w:t xml:space="preserve"> employer offers full-time employees minimum essential coverage but the required employee contribution exceeds 9.5% of their household income</w:t>
      </w:r>
    </w:p>
    <w:p w:rsidR="00D75F1E" w:rsidRPr="00486A01" w:rsidRDefault="00D75F1E" w:rsidP="00D75F1E">
      <w:pPr>
        <w:rPr>
          <w:rFonts w:asciiTheme="minorHAnsi" w:hAnsiTheme="minorHAnsi"/>
        </w:rPr>
      </w:pPr>
    </w:p>
    <w:p w:rsidR="00D75F1E" w:rsidRPr="00486A01" w:rsidRDefault="00D75F1E" w:rsidP="00510B64">
      <w:pPr>
        <w:pStyle w:val="Heading2"/>
      </w:pPr>
      <w:r w:rsidRPr="00486A01">
        <w:t>Employer Penalties</w:t>
      </w:r>
    </w:p>
    <w:p w:rsidR="00D75F1E" w:rsidRPr="00486A01" w:rsidRDefault="00D75F1E" w:rsidP="00D75F1E">
      <w:pPr>
        <w:rPr>
          <w:rFonts w:asciiTheme="minorHAnsi" w:hAnsiTheme="minorHAnsi"/>
        </w:rPr>
      </w:pPr>
      <w:r w:rsidRPr="00486A01">
        <w:rPr>
          <w:rFonts w:asciiTheme="minorHAnsi" w:hAnsiTheme="minorHAnsi"/>
        </w:rPr>
        <w:t xml:space="preserve">The employer penalty is determined by a formula that is different </w:t>
      </w:r>
      <w:r w:rsidR="00F94EBB" w:rsidRPr="00486A01">
        <w:rPr>
          <w:rFonts w:asciiTheme="minorHAnsi" w:hAnsiTheme="minorHAnsi"/>
        </w:rPr>
        <w:t xml:space="preserve">for </w:t>
      </w:r>
      <w:r w:rsidRPr="00486A01">
        <w:rPr>
          <w:rFonts w:asciiTheme="minorHAnsi" w:hAnsiTheme="minorHAnsi"/>
        </w:rPr>
        <w:t>employer</w:t>
      </w:r>
      <w:r w:rsidR="00F94EBB" w:rsidRPr="00486A01">
        <w:rPr>
          <w:rFonts w:asciiTheme="minorHAnsi" w:hAnsiTheme="minorHAnsi"/>
        </w:rPr>
        <w:t>s who offer</w:t>
      </w:r>
      <w:r w:rsidRPr="00486A01">
        <w:rPr>
          <w:rFonts w:asciiTheme="minorHAnsi" w:hAnsiTheme="minorHAnsi"/>
        </w:rPr>
        <w:t xml:space="preserve"> minimum essential cove</w:t>
      </w:r>
      <w:r w:rsidR="00F94EBB" w:rsidRPr="00486A01">
        <w:rPr>
          <w:rFonts w:asciiTheme="minorHAnsi" w:hAnsiTheme="minorHAnsi"/>
        </w:rPr>
        <w:t>rage to all full-time employees from the penalty that applies to employers who do not offer coverage.</w:t>
      </w:r>
    </w:p>
    <w:p w:rsidR="001871D3" w:rsidRPr="00486A01" w:rsidRDefault="001871D3" w:rsidP="00D75F1E">
      <w:pPr>
        <w:rPr>
          <w:rFonts w:asciiTheme="minorHAnsi" w:hAnsiTheme="minorHAnsi"/>
        </w:rPr>
      </w:pPr>
    </w:p>
    <w:p w:rsidR="001871D3" w:rsidRPr="00486A01" w:rsidRDefault="001871D3" w:rsidP="001871D3">
      <w:pPr>
        <w:rPr>
          <w:rFonts w:asciiTheme="minorHAnsi" w:hAnsiTheme="minorHAnsi"/>
        </w:rPr>
      </w:pPr>
      <w:r w:rsidRPr="00486A01">
        <w:rPr>
          <w:rFonts w:asciiTheme="minorHAnsi" w:hAnsiTheme="minorHAnsi"/>
        </w:rPr>
        <w:t>Employer penalty notes:</w:t>
      </w:r>
    </w:p>
    <w:p w:rsidR="001871D3" w:rsidRPr="00486A01" w:rsidRDefault="001871D3" w:rsidP="001871D3">
      <w:pPr>
        <w:numPr>
          <w:ilvl w:val="0"/>
          <w:numId w:val="6"/>
        </w:numPr>
        <w:rPr>
          <w:rFonts w:asciiTheme="minorHAnsi" w:hAnsiTheme="minorHAnsi"/>
        </w:rPr>
      </w:pPr>
      <w:r w:rsidRPr="00486A01">
        <w:rPr>
          <w:rFonts w:asciiTheme="minorHAnsi" w:hAnsiTheme="minorHAnsi"/>
        </w:rPr>
        <w:t xml:space="preserve">The penalty for an employer offering coverage to all full-time employees is based only on the number of employees who actually purchase subsidized coverage through an exchange. </w:t>
      </w:r>
    </w:p>
    <w:p w:rsidR="001871D3" w:rsidRPr="00486A01" w:rsidRDefault="001871D3" w:rsidP="001871D3">
      <w:pPr>
        <w:numPr>
          <w:ilvl w:val="0"/>
          <w:numId w:val="6"/>
        </w:numPr>
        <w:rPr>
          <w:rFonts w:asciiTheme="minorHAnsi" w:hAnsiTheme="minorHAnsi"/>
        </w:rPr>
      </w:pPr>
      <w:r w:rsidRPr="00486A01">
        <w:rPr>
          <w:rFonts w:asciiTheme="minorHAnsi" w:hAnsiTheme="minorHAnsi"/>
        </w:rPr>
        <w:t>The penalty for employers who do not offer coverage is based on all full-time employees (not counting the first 30).</w:t>
      </w:r>
    </w:p>
    <w:p w:rsidR="001871D3" w:rsidRPr="00486A01" w:rsidRDefault="001871D3" w:rsidP="001871D3">
      <w:pPr>
        <w:numPr>
          <w:ilvl w:val="0"/>
          <w:numId w:val="6"/>
        </w:numPr>
        <w:rPr>
          <w:rFonts w:asciiTheme="minorHAnsi" w:hAnsiTheme="minorHAnsi"/>
        </w:rPr>
      </w:pPr>
      <w:r w:rsidRPr="00486A01">
        <w:rPr>
          <w:rFonts w:asciiTheme="minorHAnsi" w:hAnsiTheme="minorHAnsi"/>
        </w:rPr>
        <w:t>Penalties are calculated on a monthly basis</w:t>
      </w:r>
    </w:p>
    <w:p w:rsidR="001871D3" w:rsidRPr="00486A01" w:rsidRDefault="001871D3" w:rsidP="001871D3">
      <w:pPr>
        <w:numPr>
          <w:ilvl w:val="0"/>
          <w:numId w:val="6"/>
        </w:numPr>
        <w:rPr>
          <w:rFonts w:asciiTheme="minorHAnsi" w:hAnsiTheme="minorHAnsi"/>
        </w:rPr>
      </w:pPr>
      <w:r w:rsidRPr="00486A01">
        <w:rPr>
          <w:rFonts w:asciiTheme="minorHAnsi" w:hAnsiTheme="minorHAnsi"/>
        </w:rPr>
        <w:t>The exchange is responsible for certifying if an employee is eligible for subsidized coverage</w:t>
      </w:r>
    </w:p>
    <w:p w:rsidR="001871D3" w:rsidRPr="00486A01" w:rsidRDefault="001871D3" w:rsidP="001871D3">
      <w:pPr>
        <w:numPr>
          <w:ilvl w:val="0"/>
          <w:numId w:val="6"/>
        </w:numPr>
        <w:rPr>
          <w:rFonts w:asciiTheme="minorHAnsi" w:hAnsiTheme="minorHAnsi"/>
        </w:rPr>
      </w:pPr>
      <w:r w:rsidRPr="00486A01">
        <w:rPr>
          <w:rFonts w:asciiTheme="minorHAnsi" w:hAnsiTheme="minorHAnsi"/>
        </w:rPr>
        <w:t>After 2014 penalties are indexed to inflation</w:t>
      </w:r>
    </w:p>
    <w:p w:rsidR="00D75F1E" w:rsidRPr="00486A01" w:rsidRDefault="00D75F1E" w:rsidP="00D75F1E">
      <w:pPr>
        <w:rPr>
          <w:rFonts w:asciiTheme="minorHAnsi" w:hAnsiTheme="minorHAnsi"/>
        </w:rPr>
      </w:pPr>
    </w:p>
    <w:p w:rsidR="00D75F1E" w:rsidRPr="00486A01" w:rsidRDefault="00D75F1E" w:rsidP="00445069">
      <w:pPr>
        <w:pStyle w:val="Heading3"/>
      </w:pPr>
      <w:r w:rsidRPr="00486A01">
        <w:t xml:space="preserve">Employers who offer minimum essential </w:t>
      </w:r>
      <w:r w:rsidRPr="00445069">
        <w:t>coverage</w:t>
      </w:r>
      <w:r w:rsidRPr="00486A01">
        <w:t xml:space="preserve"> to all full-time employees</w:t>
      </w:r>
    </w:p>
    <w:p w:rsidR="00D75F1E" w:rsidRPr="00486A01" w:rsidRDefault="00D75F1E" w:rsidP="00D75F1E">
      <w:pPr>
        <w:rPr>
          <w:rFonts w:asciiTheme="minorHAnsi" w:hAnsiTheme="minorHAnsi"/>
        </w:rPr>
      </w:pPr>
      <w:r w:rsidRPr="00486A01">
        <w:rPr>
          <w:rFonts w:asciiTheme="minorHAnsi" w:hAnsiTheme="minorHAnsi"/>
        </w:rPr>
        <w:t xml:space="preserve">The employer will pay a penalty of $250 per month ($3000 per year) for each employee who </w:t>
      </w:r>
      <w:r w:rsidR="001871D3" w:rsidRPr="00486A01">
        <w:rPr>
          <w:rFonts w:asciiTheme="minorHAnsi" w:hAnsiTheme="minorHAnsi"/>
        </w:rPr>
        <w:t xml:space="preserve">actually </w:t>
      </w:r>
      <w:r w:rsidRPr="00486A01">
        <w:rPr>
          <w:rFonts w:asciiTheme="minorHAnsi" w:hAnsiTheme="minorHAnsi"/>
        </w:rPr>
        <w:t>purchases coverage through an exchange and is certified by the exchange as qualifying for subsidized coverage.</w:t>
      </w:r>
    </w:p>
    <w:p w:rsidR="00D75F1E" w:rsidRPr="00486A01" w:rsidRDefault="00D75F1E" w:rsidP="00D75F1E">
      <w:pPr>
        <w:rPr>
          <w:rFonts w:asciiTheme="minorHAnsi" w:hAnsiTheme="minorHAnsi"/>
        </w:rPr>
      </w:pPr>
    </w:p>
    <w:p w:rsidR="00D75F1E" w:rsidRPr="00486A01" w:rsidRDefault="00D75F1E" w:rsidP="00D75F1E">
      <w:pPr>
        <w:rPr>
          <w:rFonts w:asciiTheme="minorHAnsi" w:hAnsiTheme="minorHAnsi"/>
          <w:u w:val="single"/>
        </w:rPr>
      </w:pPr>
      <w:r w:rsidRPr="00486A01">
        <w:rPr>
          <w:rFonts w:asciiTheme="minorHAnsi" w:hAnsiTheme="minorHAnsi"/>
          <w:u w:val="single"/>
        </w:rPr>
        <w:t>Employer</w:t>
      </w:r>
      <w:r w:rsidR="003D0B22" w:rsidRPr="00486A01">
        <w:rPr>
          <w:rFonts w:asciiTheme="minorHAnsi" w:hAnsiTheme="minorHAnsi"/>
          <w:u w:val="single"/>
        </w:rPr>
        <w:t>s</w:t>
      </w:r>
      <w:r w:rsidRPr="00486A01">
        <w:rPr>
          <w:rFonts w:asciiTheme="minorHAnsi" w:hAnsiTheme="minorHAnsi"/>
          <w:u w:val="single"/>
        </w:rPr>
        <w:t xml:space="preserve"> who do not offer minimum essential coverage to all full-time employees</w:t>
      </w:r>
    </w:p>
    <w:p w:rsidR="00D75F1E" w:rsidRPr="00486A01" w:rsidRDefault="00D75F1E" w:rsidP="00D75F1E">
      <w:pPr>
        <w:rPr>
          <w:rFonts w:asciiTheme="minorHAnsi" w:hAnsiTheme="minorHAnsi"/>
        </w:rPr>
      </w:pPr>
      <w:r w:rsidRPr="00486A01">
        <w:rPr>
          <w:rFonts w:asciiTheme="minorHAnsi" w:hAnsiTheme="minorHAnsi"/>
        </w:rPr>
        <w:t>If at least one employee purchases coverage through an exchange and is certified by the exchange as qualifying for subsidized coverage</w:t>
      </w:r>
      <w:r w:rsidR="003D0B22" w:rsidRPr="00486A01">
        <w:rPr>
          <w:rFonts w:asciiTheme="minorHAnsi" w:hAnsiTheme="minorHAnsi"/>
        </w:rPr>
        <w:t>,</w:t>
      </w:r>
      <w:r w:rsidRPr="00486A01">
        <w:rPr>
          <w:rFonts w:asciiTheme="minorHAnsi" w:hAnsiTheme="minorHAnsi"/>
        </w:rPr>
        <w:t xml:space="preserve"> the employer will pay a penalty of $166.67 per month ($2000 per year) times </w:t>
      </w:r>
      <w:r w:rsidRPr="00486A01">
        <w:rPr>
          <w:rFonts w:asciiTheme="minorHAnsi" w:hAnsiTheme="minorHAnsi"/>
          <w:u w:val="single"/>
        </w:rPr>
        <w:t>the total number of full-time employee</w:t>
      </w:r>
      <w:r w:rsidR="003D0B22" w:rsidRPr="00486A01">
        <w:rPr>
          <w:rFonts w:asciiTheme="minorHAnsi" w:hAnsiTheme="minorHAnsi"/>
          <w:u w:val="single"/>
        </w:rPr>
        <w:t>s</w:t>
      </w:r>
      <w:r w:rsidRPr="00486A01">
        <w:rPr>
          <w:rFonts w:asciiTheme="minorHAnsi" w:hAnsiTheme="minorHAnsi"/>
        </w:rPr>
        <w:t xml:space="preserve"> (not including the first 30 employees).</w:t>
      </w:r>
    </w:p>
    <w:p w:rsidR="00C941AD" w:rsidRPr="00486A01" w:rsidRDefault="00C941AD">
      <w:pPr>
        <w:rPr>
          <w:rFonts w:asciiTheme="minorHAnsi" w:hAnsiTheme="minorHAnsi"/>
        </w:rPr>
      </w:pPr>
    </w:p>
    <w:p w:rsidR="00DD5F34" w:rsidRPr="00362B9B" w:rsidRDefault="00106156" w:rsidP="00362B9B">
      <w:pPr>
        <w:pStyle w:val="Heading2"/>
      </w:pPr>
      <w:r w:rsidRPr="00510B64">
        <w:t>Examples</w:t>
      </w:r>
    </w:p>
    <w:p w:rsidR="00106156" w:rsidRPr="00486A01" w:rsidRDefault="001871D3" w:rsidP="00106156">
      <w:pPr>
        <w:rPr>
          <w:rFonts w:asciiTheme="minorHAnsi" w:hAnsiTheme="minorHAnsi" w:cs="Arial"/>
          <w:bCs/>
          <w:szCs w:val="20"/>
        </w:rPr>
      </w:pPr>
      <w:r w:rsidRPr="00486A01">
        <w:rPr>
          <w:rFonts w:asciiTheme="minorHAnsi" w:hAnsiTheme="minorHAnsi" w:cs="Arial"/>
          <w:bCs/>
          <w:szCs w:val="20"/>
          <w:u w:val="single"/>
        </w:rPr>
        <w:t>Example</w:t>
      </w:r>
      <w:r w:rsidR="00106156" w:rsidRPr="00486A01">
        <w:rPr>
          <w:rFonts w:asciiTheme="minorHAnsi" w:hAnsiTheme="minorHAnsi" w:cs="Arial"/>
          <w:bCs/>
          <w:szCs w:val="20"/>
          <w:u w:val="single"/>
        </w:rPr>
        <w:t xml:space="preserve"> 1</w:t>
      </w:r>
      <w:r w:rsidR="00106156" w:rsidRPr="00486A01">
        <w:rPr>
          <w:rFonts w:asciiTheme="minorHAnsi" w:hAnsiTheme="minorHAnsi" w:cs="Arial"/>
          <w:bCs/>
          <w:szCs w:val="20"/>
        </w:rPr>
        <w:t xml:space="preserve"> - An employer with 100 employees </w:t>
      </w:r>
      <w:r w:rsidR="00C941AD" w:rsidRPr="00486A01">
        <w:rPr>
          <w:rFonts w:asciiTheme="minorHAnsi" w:hAnsiTheme="minorHAnsi" w:cs="Arial"/>
          <w:bCs/>
          <w:szCs w:val="20"/>
        </w:rPr>
        <w:t>who offer</w:t>
      </w:r>
      <w:r w:rsidR="00106156" w:rsidRPr="00486A01">
        <w:rPr>
          <w:rFonts w:asciiTheme="minorHAnsi" w:hAnsiTheme="minorHAnsi" w:cs="Arial"/>
          <w:bCs/>
          <w:szCs w:val="20"/>
        </w:rPr>
        <w:t>s</w:t>
      </w:r>
      <w:r w:rsidR="00C941AD" w:rsidRPr="00486A01">
        <w:rPr>
          <w:rFonts w:asciiTheme="minorHAnsi" w:hAnsiTheme="minorHAnsi" w:cs="Arial"/>
          <w:bCs/>
          <w:szCs w:val="20"/>
        </w:rPr>
        <w:t xml:space="preserve"> minimum essential coverage to all </w:t>
      </w:r>
      <w:r w:rsidR="00106156" w:rsidRPr="00486A01">
        <w:rPr>
          <w:rFonts w:asciiTheme="minorHAnsi" w:hAnsiTheme="minorHAnsi" w:cs="Arial"/>
          <w:bCs/>
          <w:szCs w:val="20"/>
        </w:rPr>
        <w:t>full-time employees</w:t>
      </w:r>
      <w:r w:rsidR="003D0B22" w:rsidRPr="00486A01">
        <w:rPr>
          <w:rFonts w:asciiTheme="minorHAnsi" w:hAnsiTheme="minorHAnsi" w:cs="Arial"/>
          <w:bCs/>
          <w:szCs w:val="20"/>
        </w:rPr>
        <w:t>,</w:t>
      </w:r>
      <w:r w:rsidR="00106156" w:rsidRPr="00486A01">
        <w:rPr>
          <w:rFonts w:asciiTheme="minorHAnsi" w:hAnsiTheme="minorHAnsi" w:cs="Arial"/>
          <w:bCs/>
          <w:szCs w:val="20"/>
        </w:rPr>
        <w:t xml:space="preserve"> but the employee contribution exceed</w:t>
      </w:r>
      <w:r w:rsidR="003D0B22" w:rsidRPr="00486A01">
        <w:rPr>
          <w:rFonts w:asciiTheme="minorHAnsi" w:hAnsiTheme="minorHAnsi" w:cs="Arial"/>
          <w:bCs/>
          <w:szCs w:val="20"/>
        </w:rPr>
        <w:t>s</w:t>
      </w:r>
      <w:r w:rsidR="00106156" w:rsidRPr="00486A01">
        <w:rPr>
          <w:rFonts w:asciiTheme="minorHAnsi" w:hAnsiTheme="minorHAnsi" w:cs="Arial"/>
          <w:bCs/>
          <w:szCs w:val="20"/>
        </w:rPr>
        <w:t xml:space="preserve"> 9.5% of household income for some employees.</w:t>
      </w:r>
    </w:p>
    <w:p w:rsidR="00106156" w:rsidRPr="00486A01" w:rsidRDefault="008241C0" w:rsidP="00510B64">
      <w:pPr>
        <w:numPr>
          <w:ilvl w:val="1"/>
          <w:numId w:val="1"/>
        </w:numPr>
        <w:rPr>
          <w:rFonts w:asciiTheme="minorHAnsi" w:hAnsiTheme="minorHAnsi" w:cs="Arial"/>
          <w:szCs w:val="20"/>
        </w:rPr>
      </w:pPr>
      <w:r>
        <w:rPr>
          <w:rFonts w:asciiTheme="minorHAnsi" w:hAnsiTheme="minorHAnsi" w:cs="Arial"/>
          <w:bCs/>
          <w:szCs w:val="20"/>
        </w:rPr>
        <w:t xml:space="preserve">Total plan premium S=$350 mo. F=$900 </w:t>
      </w:r>
      <w:r w:rsidR="00106156" w:rsidRPr="00486A01">
        <w:rPr>
          <w:rFonts w:asciiTheme="minorHAnsi" w:hAnsiTheme="minorHAnsi" w:cs="Arial"/>
          <w:bCs/>
          <w:szCs w:val="20"/>
        </w:rPr>
        <w:t xml:space="preserve">mo. </w:t>
      </w:r>
    </w:p>
    <w:p w:rsidR="00C941AD" w:rsidRPr="00486A01" w:rsidRDefault="00C941AD" w:rsidP="00510B64">
      <w:pPr>
        <w:numPr>
          <w:ilvl w:val="1"/>
          <w:numId w:val="1"/>
        </w:numPr>
        <w:rPr>
          <w:rFonts w:asciiTheme="minorHAnsi" w:hAnsiTheme="minorHAnsi" w:cs="Arial"/>
          <w:szCs w:val="20"/>
        </w:rPr>
      </w:pPr>
      <w:r w:rsidRPr="00486A01">
        <w:rPr>
          <w:rFonts w:asciiTheme="minorHAnsi" w:hAnsiTheme="minorHAnsi" w:cs="Arial"/>
          <w:bCs/>
          <w:szCs w:val="20"/>
        </w:rPr>
        <w:t xml:space="preserve">Employee </w:t>
      </w:r>
      <w:r w:rsidR="008241C0">
        <w:rPr>
          <w:rFonts w:asciiTheme="minorHAnsi" w:hAnsiTheme="minorHAnsi" w:cs="Arial"/>
          <w:bCs/>
          <w:szCs w:val="20"/>
        </w:rPr>
        <w:t xml:space="preserve">required </w:t>
      </w:r>
      <w:r w:rsidR="00106156" w:rsidRPr="00486A01">
        <w:rPr>
          <w:rFonts w:asciiTheme="minorHAnsi" w:hAnsiTheme="minorHAnsi" w:cs="Arial"/>
          <w:bCs/>
          <w:szCs w:val="20"/>
        </w:rPr>
        <w:t xml:space="preserve">contribution </w:t>
      </w:r>
      <w:r w:rsidRPr="00486A01">
        <w:rPr>
          <w:rFonts w:asciiTheme="minorHAnsi" w:hAnsiTheme="minorHAnsi" w:cs="Arial"/>
          <w:bCs/>
          <w:szCs w:val="20"/>
        </w:rPr>
        <w:t>S=$150</w:t>
      </w:r>
      <w:r w:rsidR="008241C0">
        <w:rPr>
          <w:rFonts w:asciiTheme="minorHAnsi" w:hAnsiTheme="minorHAnsi" w:cs="Arial"/>
          <w:bCs/>
          <w:szCs w:val="20"/>
        </w:rPr>
        <w:t xml:space="preserve"> mo. </w:t>
      </w:r>
      <w:r w:rsidRPr="00486A01">
        <w:rPr>
          <w:rFonts w:asciiTheme="minorHAnsi" w:hAnsiTheme="minorHAnsi" w:cs="Arial"/>
          <w:bCs/>
          <w:szCs w:val="20"/>
        </w:rPr>
        <w:t xml:space="preserve"> F=$400</w:t>
      </w:r>
      <w:r w:rsidR="008241C0">
        <w:rPr>
          <w:rFonts w:asciiTheme="minorHAnsi" w:hAnsiTheme="minorHAnsi" w:cs="Arial"/>
          <w:bCs/>
          <w:szCs w:val="20"/>
        </w:rPr>
        <w:t xml:space="preserve"> mo.</w:t>
      </w:r>
    </w:p>
    <w:p w:rsidR="00C941AD" w:rsidRPr="00486A01" w:rsidRDefault="00C941AD" w:rsidP="00510B64">
      <w:pPr>
        <w:numPr>
          <w:ilvl w:val="1"/>
          <w:numId w:val="1"/>
        </w:numPr>
        <w:rPr>
          <w:rFonts w:asciiTheme="minorHAnsi" w:hAnsiTheme="minorHAnsi" w:cs="Arial"/>
          <w:szCs w:val="20"/>
        </w:rPr>
      </w:pPr>
      <w:r w:rsidRPr="00486A01">
        <w:rPr>
          <w:rFonts w:asciiTheme="minorHAnsi" w:hAnsiTheme="minorHAnsi" w:cs="Arial"/>
          <w:bCs/>
          <w:szCs w:val="20"/>
        </w:rPr>
        <w:t xml:space="preserve">5 employees </w:t>
      </w:r>
      <w:r w:rsidR="00CF1368" w:rsidRPr="00486A01">
        <w:rPr>
          <w:rFonts w:asciiTheme="minorHAnsi" w:hAnsiTheme="minorHAnsi" w:cs="Arial"/>
          <w:bCs/>
          <w:szCs w:val="20"/>
        </w:rPr>
        <w:t>qualify for subsidy and purchase</w:t>
      </w:r>
      <w:r w:rsidRPr="00486A01">
        <w:rPr>
          <w:rFonts w:asciiTheme="minorHAnsi" w:hAnsiTheme="minorHAnsi" w:cs="Arial"/>
          <w:bCs/>
          <w:szCs w:val="20"/>
        </w:rPr>
        <w:t xml:space="preserve"> coverage through an exchange</w:t>
      </w:r>
    </w:p>
    <w:p w:rsidR="00C941AD" w:rsidRPr="00486A01" w:rsidRDefault="00C941AD" w:rsidP="00510B64">
      <w:pPr>
        <w:numPr>
          <w:ilvl w:val="2"/>
          <w:numId w:val="1"/>
        </w:numPr>
        <w:rPr>
          <w:rFonts w:asciiTheme="minorHAnsi" w:hAnsiTheme="minorHAnsi" w:cs="Arial"/>
          <w:szCs w:val="20"/>
        </w:rPr>
      </w:pPr>
      <w:r w:rsidRPr="00486A01">
        <w:rPr>
          <w:rFonts w:asciiTheme="minorHAnsi" w:hAnsiTheme="minorHAnsi" w:cs="Arial"/>
          <w:bCs/>
          <w:szCs w:val="20"/>
        </w:rPr>
        <w:t>2 FT single employees earning $18,000/yr</w:t>
      </w:r>
      <w:r w:rsidR="00106156" w:rsidRPr="00486A01">
        <w:rPr>
          <w:rFonts w:asciiTheme="minorHAnsi" w:hAnsiTheme="minorHAnsi" w:cs="Arial"/>
          <w:bCs/>
          <w:szCs w:val="20"/>
        </w:rPr>
        <w:t xml:space="preserve"> (</w:t>
      </w:r>
      <w:r w:rsidRPr="00486A01">
        <w:rPr>
          <w:rFonts w:asciiTheme="minorHAnsi" w:hAnsiTheme="minorHAnsi" w:cs="Arial"/>
          <w:bCs/>
          <w:szCs w:val="20"/>
        </w:rPr>
        <w:t>$1500 mo income ÷ $150 premium = 10% of income</w:t>
      </w:r>
    </w:p>
    <w:p w:rsidR="00106156" w:rsidRPr="00510B64" w:rsidRDefault="00C941AD" w:rsidP="00106156">
      <w:pPr>
        <w:numPr>
          <w:ilvl w:val="2"/>
          <w:numId w:val="1"/>
        </w:numPr>
        <w:rPr>
          <w:rFonts w:asciiTheme="minorHAnsi" w:hAnsiTheme="minorHAnsi" w:cs="Arial"/>
          <w:szCs w:val="20"/>
        </w:rPr>
      </w:pPr>
      <w:r w:rsidRPr="00486A01">
        <w:rPr>
          <w:rFonts w:asciiTheme="minorHAnsi" w:hAnsiTheme="minorHAnsi" w:cs="Arial"/>
          <w:bCs/>
          <w:szCs w:val="20"/>
        </w:rPr>
        <w:t>3 FT employees with families earning $42,000/yr</w:t>
      </w:r>
      <w:r w:rsidR="00106156" w:rsidRPr="00486A01">
        <w:rPr>
          <w:rFonts w:asciiTheme="minorHAnsi" w:hAnsiTheme="minorHAnsi" w:cs="Arial"/>
          <w:bCs/>
          <w:szCs w:val="20"/>
        </w:rPr>
        <w:t xml:space="preserve">  (</w:t>
      </w:r>
      <w:r w:rsidRPr="00486A01">
        <w:rPr>
          <w:rFonts w:asciiTheme="minorHAnsi" w:hAnsiTheme="minorHAnsi" w:cs="Arial"/>
          <w:bCs/>
          <w:szCs w:val="20"/>
        </w:rPr>
        <w:t>$3500 mo income ÷ $400 premium = 11.4% of income</w:t>
      </w:r>
      <w:r w:rsidR="00106156" w:rsidRPr="00486A01">
        <w:rPr>
          <w:rFonts w:asciiTheme="minorHAnsi" w:hAnsiTheme="minorHAnsi" w:cs="Arial"/>
          <w:bCs/>
          <w:szCs w:val="20"/>
        </w:rPr>
        <w:t>)</w:t>
      </w:r>
    </w:p>
    <w:p w:rsidR="00510B64" w:rsidRDefault="00510B64" w:rsidP="00CF1368">
      <w:pPr>
        <w:rPr>
          <w:rFonts w:asciiTheme="minorHAnsi" w:hAnsiTheme="minorHAnsi" w:cs="Arial"/>
          <w:bCs/>
          <w:szCs w:val="20"/>
        </w:rPr>
      </w:pPr>
    </w:p>
    <w:p w:rsidR="00C941AD" w:rsidRPr="00486A01" w:rsidRDefault="001871D3" w:rsidP="00CF1368">
      <w:pPr>
        <w:rPr>
          <w:rFonts w:asciiTheme="minorHAnsi" w:hAnsiTheme="minorHAnsi" w:cs="Arial"/>
          <w:szCs w:val="20"/>
        </w:rPr>
      </w:pPr>
      <w:r w:rsidRPr="00486A01">
        <w:rPr>
          <w:rFonts w:asciiTheme="minorHAnsi" w:hAnsiTheme="minorHAnsi" w:cs="Arial"/>
          <w:bCs/>
          <w:szCs w:val="20"/>
        </w:rPr>
        <w:t xml:space="preserve">Employer Monthly Penalty: </w:t>
      </w:r>
      <w:r w:rsidR="00106156" w:rsidRPr="00486A01">
        <w:rPr>
          <w:rFonts w:asciiTheme="minorHAnsi" w:hAnsiTheme="minorHAnsi" w:cs="Arial"/>
          <w:bCs/>
          <w:szCs w:val="20"/>
        </w:rPr>
        <w:t>5 employee</w:t>
      </w:r>
      <w:r w:rsidR="003D0B22" w:rsidRPr="00486A01">
        <w:rPr>
          <w:rFonts w:asciiTheme="minorHAnsi" w:hAnsiTheme="minorHAnsi" w:cs="Arial"/>
          <w:bCs/>
          <w:szCs w:val="20"/>
        </w:rPr>
        <w:t>s</w:t>
      </w:r>
      <w:r w:rsidR="00106156" w:rsidRPr="00486A01">
        <w:rPr>
          <w:rFonts w:asciiTheme="minorHAnsi" w:hAnsiTheme="minorHAnsi" w:cs="Arial"/>
          <w:bCs/>
          <w:szCs w:val="20"/>
        </w:rPr>
        <w:t xml:space="preserve"> x $250 = </w:t>
      </w:r>
      <w:r w:rsidR="00C941AD" w:rsidRPr="00486A01">
        <w:rPr>
          <w:rFonts w:asciiTheme="minorHAnsi" w:hAnsiTheme="minorHAnsi" w:cs="Arial"/>
          <w:bCs/>
          <w:szCs w:val="20"/>
        </w:rPr>
        <w:t>$1250/mo</w:t>
      </w:r>
    </w:p>
    <w:p w:rsidR="00C941AD" w:rsidRPr="00486A01" w:rsidRDefault="00C941AD" w:rsidP="00C941AD">
      <w:pPr>
        <w:rPr>
          <w:rFonts w:asciiTheme="minorHAnsi" w:hAnsiTheme="minorHAnsi" w:cs="Arial"/>
          <w:bCs/>
          <w:szCs w:val="20"/>
        </w:rPr>
      </w:pPr>
    </w:p>
    <w:p w:rsidR="00C941AD" w:rsidRPr="00486A01" w:rsidRDefault="001871D3" w:rsidP="00CF1368">
      <w:pPr>
        <w:rPr>
          <w:rFonts w:asciiTheme="minorHAnsi" w:hAnsiTheme="minorHAnsi" w:cs="Arial"/>
          <w:bCs/>
          <w:szCs w:val="20"/>
        </w:rPr>
      </w:pPr>
      <w:r w:rsidRPr="00486A01">
        <w:rPr>
          <w:rFonts w:asciiTheme="minorHAnsi" w:hAnsiTheme="minorHAnsi" w:cs="Arial"/>
          <w:bCs/>
          <w:szCs w:val="20"/>
          <w:u w:val="single"/>
        </w:rPr>
        <w:t xml:space="preserve">Example </w:t>
      </w:r>
      <w:r w:rsidR="00C941AD" w:rsidRPr="00486A01">
        <w:rPr>
          <w:rFonts w:asciiTheme="minorHAnsi" w:hAnsiTheme="minorHAnsi" w:cs="Arial"/>
          <w:bCs/>
          <w:szCs w:val="20"/>
          <w:u w:val="single"/>
        </w:rPr>
        <w:t>2</w:t>
      </w:r>
      <w:r w:rsidR="00C941AD" w:rsidRPr="00486A01">
        <w:rPr>
          <w:rFonts w:asciiTheme="minorHAnsi" w:hAnsiTheme="minorHAnsi" w:cs="Arial"/>
          <w:bCs/>
          <w:szCs w:val="20"/>
        </w:rPr>
        <w:t xml:space="preserve"> </w:t>
      </w:r>
      <w:r w:rsidR="00CF1368" w:rsidRPr="00486A01">
        <w:rPr>
          <w:rFonts w:asciiTheme="minorHAnsi" w:hAnsiTheme="minorHAnsi" w:cs="Arial"/>
          <w:bCs/>
          <w:szCs w:val="20"/>
        </w:rPr>
        <w:t>–</w:t>
      </w:r>
      <w:r w:rsidR="00C941AD" w:rsidRPr="00486A01">
        <w:rPr>
          <w:rFonts w:asciiTheme="minorHAnsi" w:hAnsiTheme="minorHAnsi" w:cs="Arial"/>
          <w:bCs/>
          <w:szCs w:val="20"/>
        </w:rPr>
        <w:t xml:space="preserve"> </w:t>
      </w:r>
      <w:r w:rsidR="00CF1368" w:rsidRPr="00486A01">
        <w:rPr>
          <w:rFonts w:asciiTheme="minorHAnsi" w:hAnsiTheme="minorHAnsi" w:cs="Arial"/>
          <w:bCs/>
          <w:szCs w:val="20"/>
        </w:rPr>
        <w:t xml:space="preserve">An employer with 100 employees </w:t>
      </w:r>
      <w:r w:rsidR="00C941AD" w:rsidRPr="00486A01">
        <w:rPr>
          <w:rFonts w:asciiTheme="minorHAnsi" w:hAnsiTheme="minorHAnsi" w:cs="Arial"/>
          <w:bCs/>
          <w:szCs w:val="20"/>
        </w:rPr>
        <w:t>who do</w:t>
      </w:r>
      <w:r w:rsidR="003D0B22" w:rsidRPr="00486A01">
        <w:rPr>
          <w:rFonts w:asciiTheme="minorHAnsi" w:hAnsiTheme="minorHAnsi" w:cs="Arial"/>
          <w:bCs/>
          <w:szCs w:val="20"/>
        </w:rPr>
        <w:t>es</w:t>
      </w:r>
      <w:r w:rsidR="00C941AD" w:rsidRPr="00486A01">
        <w:rPr>
          <w:rFonts w:asciiTheme="minorHAnsi" w:hAnsiTheme="minorHAnsi" w:cs="Arial"/>
          <w:bCs/>
          <w:szCs w:val="20"/>
        </w:rPr>
        <w:t xml:space="preserve"> not offer </w:t>
      </w:r>
      <w:r w:rsidR="008241C0">
        <w:rPr>
          <w:rFonts w:asciiTheme="minorHAnsi" w:hAnsiTheme="minorHAnsi" w:cs="Arial"/>
          <w:bCs/>
          <w:szCs w:val="20"/>
        </w:rPr>
        <w:t xml:space="preserve">qualifying </w:t>
      </w:r>
      <w:r w:rsidR="00C941AD" w:rsidRPr="00486A01">
        <w:rPr>
          <w:rFonts w:asciiTheme="minorHAnsi" w:hAnsiTheme="minorHAnsi" w:cs="Arial"/>
          <w:bCs/>
          <w:szCs w:val="20"/>
        </w:rPr>
        <w:t>coverage to all full-time employees</w:t>
      </w:r>
      <w:r w:rsidR="00CF1368" w:rsidRPr="00486A01">
        <w:rPr>
          <w:rFonts w:asciiTheme="minorHAnsi" w:hAnsiTheme="minorHAnsi" w:cs="Arial"/>
          <w:bCs/>
          <w:szCs w:val="20"/>
        </w:rPr>
        <w:t xml:space="preserve"> and at least one employee purchases coverage through an exc</w:t>
      </w:r>
      <w:r w:rsidR="008241C0">
        <w:rPr>
          <w:rFonts w:asciiTheme="minorHAnsi" w:hAnsiTheme="minorHAnsi" w:cs="Arial"/>
          <w:bCs/>
          <w:szCs w:val="20"/>
        </w:rPr>
        <w:t>hange and qualifies for subsidized coverage</w:t>
      </w:r>
      <w:r w:rsidR="00CF1368" w:rsidRPr="00486A01">
        <w:rPr>
          <w:rFonts w:asciiTheme="minorHAnsi" w:hAnsiTheme="minorHAnsi" w:cs="Arial"/>
          <w:bCs/>
          <w:szCs w:val="20"/>
        </w:rPr>
        <w:t>.</w:t>
      </w:r>
    </w:p>
    <w:p w:rsidR="00CF1368" w:rsidRPr="00510B64" w:rsidRDefault="001871D3" w:rsidP="00510B64">
      <w:pPr>
        <w:numPr>
          <w:ilvl w:val="1"/>
          <w:numId w:val="2"/>
        </w:numPr>
        <w:rPr>
          <w:rFonts w:asciiTheme="minorHAnsi" w:hAnsiTheme="minorHAnsi" w:cs="Arial"/>
          <w:szCs w:val="20"/>
        </w:rPr>
      </w:pPr>
      <w:r w:rsidRPr="00486A01">
        <w:rPr>
          <w:rFonts w:asciiTheme="minorHAnsi" w:hAnsiTheme="minorHAnsi" w:cs="Arial"/>
          <w:bCs/>
          <w:szCs w:val="20"/>
        </w:rPr>
        <w:t>The p</w:t>
      </w:r>
      <w:r w:rsidR="00C941AD" w:rsidRPr="00486A01">
        <w:rPr>
          <w:rFonts w:asciiTheme="minorHAnsi" w:hAnsiTheme="minorHAnsi" w:cs="Arial"/>
          <w:bCs/>
          <w:szCs w:val="20"/>
        </w:rPr>
        <w:t>enalty does not apply to first 30 employees</w:t>
      </w:r>
    </w:p>
    <w:p w:rsidR="00510B64" w:rsidRDefault="00510B64">
      <w:pPr>
        <w:rPr>
          <w:rFonts w:asciiTheme="minorHAnsi" w:hAnsiTheme="minorHAnsi" w:cs="Arial"/>
          <w:bCs/>
          <w:szCs w:val="20"/>
        </w:rPr>
      </w:pPr>
    </w:p>
    <w:p w:rsidR="00C941AD" w:rsidRPr="00486A01" w:rsidRDefault="001871D3">
      <w:pPr>
        <w:rPr>
          <w:rFonts w:asciiTheme="minorHAnsi" w:hAnsiTheme="minorHAnsi" w:cs="Arial"/>
          <w:szCs w:val="20"/>
        </w:rPr>
      </w:pPr>
      <w:r w:rsidRPr="00486A01">
        <w:rPr>
          <w:rFonts w:asciiTheme="minorHAnsi" w:hAnsiTheme="minorHAnsi" w:cs="Arial"/>
          <w:bCs/>
          <w:szCs w:val="20"/>
        </w:rPr>
        <w:t xml:space="preserve">Employer Monthly Penalty: </w:t>
      </w:r>
      <w:r w:rsidR="00C941AD" w:rsidRPr="00486A01">
        <w:rPr>
          <w:rFonts w:asciiTheme="minorHAnsi" w:hAnsiTheme="minorHAnsi" w:cs="Arial"/>
          <w:bCs/>
          <w:szCs w:val="20"/>
        </w:rPr>
        <w:t xml:space="preserve">70 </w:t>
      </w:r>
      <w:r w:rsidR="008241C0">
        <w:rPr>
          <w:rFonts w:asciiTheme="minorHAnsi" w:hAnsiTheme="minorHAnsi" w:cs="Arial"/>
          <w:bCs/>
          <w:szCs w:val="20"/>
        </w:rPr>
        <w:t xml:space="preserve">employees </w:t>
      </w:r>
      <w:r w:rsidR="00C941AD" w:rsidRPr="00486A01">
        <w:rPr>
          <w:rFonts w:asciiTheme="minorHAnsi" w:hAnsiTheme="minorHAnsi" w:cs="Arial"/>
          <w:bCs/>
          <w:szCs w:val="20"/>
        </w:rPr>
        <w:t>x $166.67 = $11,666.90/mo</w:t>
      </w:r>
    </w:p>
    <w:p w:rsidR="0069644D" w:rsidRPr="00486A01" w:rsidRDefault="0069644D" w:rsidP="00510B64">
      <w:pPr>
        <w:pStyle w:val="Heading2"/>
      </w:pPr>
      <w:r w:rsidRPr="00486A01">
        <w:lastRenderedPageBreak/>
        <w:t>Summary</w:t>
      </w:r>
    </w:p>
    <w:p w:rsidR="0069644D" w:rsidRPr="00486A01" w:rsidRDefault="0069644D">
      <w:pPr>
        <w:rPr>
          <w:rFonts w:asciiTheme="minorHAnsi" w:hAnsiTheme="minorHAnsi" w:cs="Arial"/>
          <w:szCs w:val="20"/>
        </w:rPr>
      </w:pPr>
      <w:r w:rsidRPr="00486A01">
        <w:rPr>
          <w:rFonts w:asciiTheme="minorHAnsi" w:hAnsiTheme="minorHAnsi" w:cs="Arial"/>
          <w:szCs w:val="20"/>
        </w:rPr>
        <w:t>Some analysts are predicting that a number of employers not currently offering coverage to full-time employees will ultimately decide to pay the penalty rather than introduce an employer sponsored plan.  There is also a possibility that some employers will attempt to increase their use of part-time employees to avoid or reduce the possible penalty.</w:t>
      </w:r>
      <w:r w:rsidR="00531761" w:rsidRPr="00486A01">
        <w:rPr>
          <w:rFonts w:asciiTheme="minorHAnsi" w:hAnsiTheme="minorHAnsi" w:cs="Arial"/>
          <w:szCs w:val="20"/>
        </w:rPr>
        <w:t xml:space="preserve">  </w:t>
      </w:r>
    </w:p>
    <w:p w:rsidR="00531761" w:rsidRPr="00486A01" w:rsidRDefault="00531761">
      <w:pPr>
        <w:rPr>
          <w:rFonts w:asciiTheme="minorHAnsi" w:hAnsiTheme="minorHAnsi" w:cs="Arial"/>
          <w:szCs w:val="20"/>
        </w:rPr>
      </w:pPr>
    </w:p>
    <w:p w:rsidR="00531761" w:rsidRPr="00486A01" w:rsidRDefault="00531761">
      <w:pPr>
        <w:rPr>
          <w:rFonts w:asciiTheme="minorHAnsi" w:hAnsiTheme="minorHAnsi" w:cs="Arial"/>
          <w:szCs w:val="20"/>
        </w:rPr>
      </w:pPr>
      <w:r w:rsidRPr="00486A01">
        <w:rPr>
          <w:rFonts w:asciiTheme="minorHAnsi" w:hAnsiTheme="minorHAnsi" w:cs="Arial"/>
          <w:szCs w:val="20"/>
        </w:rPr>
        <w:t xml:space="preserve">Employers who currently define full-time employees as greater than </w:t>
      </w:r>
      <w:r w:rsidR="003D0B22" w:rsidRPr="00486A01">
        <w:rPr>
          <w:rFonts w:asciiTheme="minorHAnsi" w:hAnsiTheme="minorHAnsi" w:cs="Arial"/>
          <w:szCs w:val="20"/>
        </w:rPr>
        <w:t xml:space="preserve">the </w:t>
      </w:r>
      <w:r w:rsidRPr="00486A01">
        <w:rPr>
          <w:rFonts w:asciiTheme="minorHAnsi" w:hAnsiTheme="minorHAnsi" w:cs="Arial"/>
          <w:szCs w:val="20"/>
        </w:rPr>
        <w:t>30 hours per week</w:t>
      </w:r>
      <w:r w:rsidR="003D0B22" w:rsidRPr="00486A01">
        <w:rPr>
          <w:rFonts w:asciiTheme="minorHAnsi" w:hAnsiTheme="minorHAnsi" w:cs="Arial"/>
          <w:szCs w:val="20"/>
        </w:rPr>
        <w:t xml:space="preserve"> defined in the law (</w:t>
      </w:r>
      <w:r w:rsidR="001931BB" w:rsidRPr="00486A01">
        <w:rPr>
          <w:rFonts w:asciiTheme="minorHAnsi" w:hAnsiTheme="minorHAnsi" w:cs="Arial"/>
          <w:szCs w:val="20"/>
        </w:rPr>
        <w:t xml:space="preserve">i.e. </w:t>
      </w:r>
      <w:r w:rsidR="003D0B22" w:rsidRPr="00486A01">
        <w:rPr>
          <w:rFonts w:asciiTheme="minorHAnsi" w:hAnsiTheme="minorHAnsi" w:cs="Arial"/>
          <w:szCs w:val="20"/>
        </w:rPr>
        <w:t>35 or 40 hours per week)</w:t>
      </w:r>
      <w:r w:rsidRPr="00486A01">
        <w:rPr>
          <w:rFonts w:asciiTheme="minorHAnsi" w:hAnsiTheme="minorHAnsi" w:cs="Arial"/>
          <w:szCs w:val="20"/>
        </w:rPr>
        <w:t xml:space="preserve"> will need to look closely at the difference </w:t>
      </w:r>
      <w:r w:rsidR="001931BB" w:rsidRPr="00486A01">
        <w:rPr>
          <w:rFonts w:asciiTheme="minorHAnsi" w:hAnsiTheme="minorHAnsi" w:cs="Arial"/>
          <w:szCs w:val="20"/>
        </w:rPr>
        <w:t xml:space="preserve">between the </w:t>
      </w:r>
      <w:r w:rsidR="001871D3" w:rsidRPr="00486A01">
        <w:rPr>
          <w:rFonts w:asciiTheme="minorHAnsi" w:hAnsiTheme="minorHAnsi" w:cs="Arial"/>
          <w:szCs w:val="20"/>
        </w:rPr>
        <w:t>penalty cost</w:t>
      </w:r>
      <w:r w:rsidRPr="00486A01">
        <w:rPr>
          <w:rFonts w:asciiTheme="minorHAnsi" w:hAnsiTheme="minorHAnsi" w:cs="Arial"/>
          <w:szCs w:val="20"/>
        </w:rPr>
        <w:t xml:space="preserve"> vs. the cost of changing their definition of full-time to conform to the law.</w:t>
      </w:r>
    </w:p>
    <w:p w:rsidR="00531761" w:rsidRPr="00486A01" w:rsidRDefault="00531761">
      <w:pPr>
        <w:rPr>
          <w:rFonts w:asciiTheme="minorHAnsi" w:hAnsiTheme="minorHAnsi" w:cs="Arial"/>
          <w:szCs w:val="20"/>
        </w:rPr>
      </w:pPr>
    </w:p>
    <w:p w:rsidR="001B2C55" w:rsidRPr="00486A01" w:rsidRDefault="00531761">
      <w:pPr>
        <w:rPr>
          <w:rFonts w:asciiTheme="minorHAnsi" w:hAnsiTheme="minorHAnsi" w:cs="Arial"/>
          <w:szCs w:val="20"/>
        </w:rPr>
      </w:pPr>
      <w:r w:rsidRPr="00486A01">
        <w:rPr>
          <w:rFonts w:asciiTheme="minorHAnsi" w:hAnsiTheme="minorHAnsi" w:cs="Arial"/>
          <w:szCs w:val="20"/>
        </w:rPr>
        <w:t xml:space="preserve">For employers who offer </w:t>
      </w:r>
      <w:r w:rsidR="001871D3" w:rsidRPr="00486A01">
        <w:rPr>
          <w:rFonts w:asciiTheme="minorHAnsi" w:hAnsiTheme="minorHAnsi" w:cs="Arial"/>
          <w:szCs w:val="20"/>
        </w:rPr>
        <w:t xml:space="preserve">qualifying coverage to all full-time employees </w:t>
      </w:r>
      <w:r w:rsidRPr="00486A01">
        <w:rPr>
          <w:rFonts w:asciiTheme="minorHAnsi" w:hAnsiTheme="minorHAnsi" w:cs="Arial"/>
          <w:szCs w:val="20"/>
        </w:rPr>
        <w:t>there is a significant unknown variable in trying to calculate the financial impact of the penalty.  As stated earlier</w:t>
      </w:r>
      <w:r w:rsidR="001931BB" w:rsidRPr="00486A01">
        <w:rPr>
          <w:rFonts w:asciiTheme="minorHAnsi" w:hAnsiTheme="minorHAnsi" w:cs="Arial"/>
          <w:szCs w:val="20"/>
        </w:rPr>
        <w:t xml:space="preserve"> </w:t>
      </w:r>
      <w:r w:rsidRPr="00486A01">
        <w:rPr>
          <w:rFonts w:asciiTheme="minorHAnsi" w:hAnsiTheme="minorHAnsi" w:cs="Arial"/>
          <w:szCs w:val="20"/>
        </w:rPr>
        <w:t xml:space="preserve">the penalty applies only to individuals who qualify for subsidized coverage </w:t>
      </w:r>
      <w:r w:rsidRPr="00486A01">
        <w:rPr>
          <w:rFonts w:asciiTheme="minorHAnsi" w:hAnsiTheme="minorHAnsi" w:cs="Arial"/>
          <w:szCs w:val="20"/>
          <w:u w:val="single"/>
        </w:rPr>
        <w:t>and</w:t>
      </w:r>
      <w:r w:rsidRPr="00486A01">
        <w:rPr>
          <w:rFonts w:asciiTheme="minorHAnsi" w:hAnsiTheme="minorHAnsi" w:cs="Arial"/>
          <w:szCs w:val="20"/>
        </w:rPr>
        <w:t xml:space="preserve"> purchase coverage through an exchange.  The total number of employees who choose to do this will depend on a number of factors including</w:t>
      </w:r>
      <w:r w:rsidR="001B2C55" w:rsidRPr="00486A01">
        <w:rPr>
          <w:rFonts w:asciiTheme="minorHAnsi" w:hAnsiTheme="minorHAnsi" w:cs="Arial"/>
          <w:szCs w:val="20"/>
        </w:rPr>
        <w:t>;</w:t>
      </w:r>
    </w:p>
    <w:p w:rsidR="00531761" w:rsidRPr="00486A01" w:rsidRDefault="00531761" w:rsidP="00531761">
      <w:pPr>
        <w:numPr>
          <w:ilvl w:val="1"/>
          <w:numId w:val="2"/>
        </w:numPr>
        <w:rPr>
          <w:rFonts w:asciiTheme="minorHAnsi" w:hAnsiTheme="minorHAnsi" w:cs="Arial"/>
          <w:szCs w:val="20"/>
        </w:rPr>
      </w:pPr>
      <w:r w:rsidRPr="00486A01">
        <w:rPr>
          <w:rFonts w:asciiTheme="minorHAnsi" w:hAnsiTheme="minorHAnsi" w:cs="Arial"/>
          <w:szCs w:val="20"/>
        </w:rPr>
        <w:t>How many of any particular employers</w:t>
      </w:r>
      <w:r w:rsidR="003D0B22" w:rsidRPr="00486A01">
        <w:rPr>
          <w:rFonts w:asciiTheme="minorHAnsi" w:hAnsiTheme="minorHAnsi" w:cs="Arial"/>
          <w:szCs w:val="20"/>
        </w:rPr>
        <w:t>’</w:t>
      </w:r>
      <w:r w:rsidRPr="00486A01">
        <w:rPr>
          <w:rFonts w:asciiTheme="minorHAnsi" w:hAnsiTheme="minorHAnsi" w:cs="Arial"/>
          <w:szCs w:val="20"/>
        </w:rPr>
        <w:t xml:space="preserve"> employees have household incomes between 138% and 400% of FPL</w:t>
      </w:r>
      <w:r w:rsidR="001871D3" w:rsidRPr="00486A01">
        <w:rPr>
          <w:rFonts w:asciiTheme="minorHAnsi" w:hAnsiTheme="minorHAnsi" w:cs="Arial"/>
          <w:szCs w:val="20"/>
        </w:rPr>
        <w:t>.</w:t>
      </w:r>
    </w:p>
    <w:p w:rsidR="00531761" w:rsidRPr="00486A01" w:rsidRDefault="001931BB" w:rsidP="00531761">
      <w:pPr>
        <w:numPr>
          <w:ilvl w:val="1"/>
          <w:numId w:val="2"/>
        </w:numPr>
        <w:rPr>
          <w:rFonts w:asciiTheme="minorHAnsi" w:hAnsiTheme="minorHAnsi" w:cs="Arial"/>
          <w:szCs w:val="20"/>
        </w:rPr>
      </w:pPr>
      <w:r w:rsidRPr="00486A01">
        <w:rPr>
          <w:rFonts w:asciiTheme="minorHAnsi" w:hAnsiTheme="minorHAnsi" w:cs="Arial"/>
          <w:szCs w:val="20"/>
        </w:rPr>
        <w:t xml:space="preserve">The competitiveness of </w:t>
      </w:r>
      <w:r w:rsidR="00531761" w:rsidRPr="00486A01">
        <w:rPr>
          <w:rFonts w:asciiTheme="minorHAnsi" w:hAnsiTheme="minorHAnsi" w:cs="Arial"/>
          <w:szCs w:val="20"/>
        </w:rPr>
        <w:t>the individual plans offered in any giv</w:t>
      </w:r>
      <w:r w:rsidR="003D0B22" w:rsidRPr="00486A01">
        <w:rPr>
          <w:rFonts w:asciiTheme="minorHAnsi" w:hAnsiTheme="minorHAnsi" w:cs="Arial"/>
          <w:szCs w:val="20"/>
        </w:rPr>
        <w:t>en</w:t>
      </w:r>
      <w:r w:rsidR="00531761" w:rsidRPr="00486A01">
        <w:rPr>
          <w:rFonts w:asciiTheme="minorHAnsi" w:hAnsiTheme="minorHAnsi" w:cs="Arial"/>
          <w:szCs w:val="20"/>
        </w:rPr>
        <w:t xml:space="preserve"> exchange.  Since </w:t>
      </w:r>
      <w:r w:rsidRPr="00486A01">
        <w:rPr>
          <w:rFonts w:asciiTheme="minorHAnsi" w:hAnsiTheme="minorHAnsi" w:cs="Arial"/>
          <w:szCs w:val="20"/>
        </w:rPr>
        <w:t xml:space="preserve">the </w:t>
      </w:r>
      <w:r w:rsidR="00531761" w:rsidRPr="00486A01">
        <w:rPr>
          <w:rFonts w:asciiTheme="minorHAnsi" w:hAnsiTheme="minorHAnsi" w:cs="Arial"/>
          <w:szCs w:val="20"/>
        </w:rPr>
        <w:t xml:space="preserve">exchanges are going to be state based, this could vary significantly from state to state. </w:t>
      </w:r>
    </w:p>
    <w:p w:rsidR="001871D3" w:rsidRPr="00486A01" w:rsidRDefault="001871D3" w:rsidP="00531761">
      <w:pPr>
        <w:numPr>
          <w:ilvl w:val="1"/>
          <w:numId w:val="2"/>
        </w:numPr>
        <w:rPr>
          <w:rFonts w:asciiTheme="minorHAnsi" w:hAnsiTheme="minorHAnsi" w:cs="Arial"/>
          <w:szCs w:val="20"/>
        </w:rPr>
      </w:pPr>
      <w:r w:rsidRPr="00486A01">
        <w:rPr>
          <w:rFonts w:asciiTheme="minorHAnsi" w:hAnsiTheme="minorHAnsi" w:cs="Arial"/>
          <w:szCs w:val="20"/>
        </w:rPr>
        <w:t>The employees understanding of their options.</w:t>
      </w:r>
    </w:p>
    <w:p w:rsidR="00531761" w:rsidRPr="00486A01" w:rsidRDefault="00531761" w:rsidP="00531761">
      <w:pPr>
        <w:rPr>
          <w:rFonts w:asciiTheme="minorHAnsi" w:hAnsiTheme="minorHAnsi" w:cs="Arial"/>
          <w:szCs w:val="20"/>
        </w:rPr>
      </w:pPr>
    </w:p>
    <w:p w:rsidR="00531761" w:rsidRDefault="00DD5F34" w:rsidP="00531761">
      <w:pPr>
        <w:rPr>
          <w:rFonts w:asciiTheme="minorHAnsi" w:hAnsiTheme="minorHAnsi" w:cs="Arial"/>
          <w:szCs w:val="20"/>
        </w:rPr>
      </w:pPr>
      <w:r w:rsidRPr="00486A01">
        <w:rPr>
          <w:rFonts w:asciiTheme="minorHAnsi" w:hAnsiTheme="minorHAnsi" w:cs="Arial"/>
          <w:szCs w:val="20"/>
        </w:rPr>
        <w:t>Finally, a number of areas</w:t>
      </w:r>
      <w:r w:rsidR="00531761" w:rsidRPr="00486A01">
        <w:rPr>
          <w:rFonts w:asciiTheme="minorHAnsi" w:hAnsiTheme="minorHAnsi" w:cs="Arial"/>
          <w:szCs w:val="20"/>
        </w:rPr>
        <w:t xml:space="preserve"> </w:t>
      </w:r>
      <w:r w:rsidR="001871D3" w:rsidRPr="00486A01">
        <w:rPr>
          <w:rFonts w:asciiTheme="minorHAnsi" w:hAnsiTheme="minorHAnsi" w:cs="Arial"/>
          <w:szCs w:val="20"/>
        </w:rPr>
        <w:t xml:space="preserve">must </w:t>
      </w:r>
      <w:r w:rsidR="001931BB" w:rsidRPr="00486A01">
        <w:rPr>
          <w:rFonts w:asciiTheme="minorHAnsi" w:hAnsiTheme="minorHAnsi" w:cs="Arial"/>
          <w:szCs w:val="20"/>
        </w:rPr>
        <w:t xml:space="preserve">be addressed in </w:t>
      </w:r>
      <w:r w:rsidR="00531761" w:rsidRPr="00486A01">
        <w:rPr>
          <w:rFonts w:asciiTheme="minorHAnsi" w:hAnsiTheme="minorHAnsi" w:cs="Arial"/>
          <w:szCs w:val="20"/>
        </w:rPr>
        <w:t xml:space="preserve">regulations </w:t>
      </w:r>
      <w:r w:rsidRPr="00486A01">
        <w:rPr>
          <w:rFonts w:asciiTheme="minorHAnsi" w:hAnsiTheme="minorHAnsi" w:cs="Arial"/>
          <w:szCs w:val="20"/>
        </w:rPr>
        <w:t xml:space="preserve">expected to be released over the next few years, </w:t>
      </w:r>
      <w:r w:rsidR="001871D3" w:rsidRPr="00486A01">
        <w:rPr>
          <w:rFonts w:asciiTheme="minorHAnsi" w:hAnsiTheme="minorHAnsi" w:cs="Arial"/>
          <w:szCs w:val="20"/>
        </w:rPr>
        <w:t xml:space="preserve">and it will be some time before the details of the state run insurance exchanges emerge.  </w:t>
      </w:r>
      <w:r w:rsidR="00531761" w:rsidRPr="00486A01">
        <w:rPr>
          <w:rFonts w:asciiTheme="minorHAnsi" w:hAnsiTheme="minorHAnsi" w:cs="Arial"/>
          <w:szCs w:val="20"/>
        </w:rPr>
        <w:t xml:space="preserve">Employers </w:t>
      </w:r>
      <w:r w:rsidR="001931BB" w:rsidRPr="00486A01">
        <w:rPr>
          <w:rFonts w:asciiTheme="minorHAnsi" w:hAnsiTheme="minorHAnsi" w:cs="Arial"/>
          <w:szCs w:val="20"/>
        </w:rPr>
        <w:t xml:space="preserve">will need to </w:t>
      </w:r>
      <w:r w:rsidR="001B2C55" w:rsidRPr="00486A01">
        <w:rPr>
          <w:rFonts w:asciiTheme="minorHAnsi" w:hAnsiTheme="minorHAnsi" w:cs="Arial"/>
          <w:szCs w:val="20"/>
        </w:rPr>
        <w:t xml:space="preserve">wait to make </w:t>
      </w:r>
      <w:r w:rsidR="001931BB" w:rsidRPr="00486A01">
        <w:rPr>
          <w:rFonts w:asciiTheme="minorHAnsi" w:hAnsiTheme="minorHAnsi" w:cs="Arial"/>
          <w:szCs w:val="20"/>
        </w:rPr>
        <w:t>m</w:t>
      </w:r>
      <w:r w:rsidR="001B2C55" w:rsidRPr="00486A01">
        <w:rPr>
          <w:rFonts w:asciiTheme="minorHAnsi" w:hAnsiTheme="minorHAnsi" w:cs="Arial"/>
          <w:szCs w:val="20"/>
        </w:rPr>
        <w:t xml:space="preserve">any </w:t>
      </w:r>
      <w:r w:rsidR="001931BB" w:rsidRPr="00486A01">
        <w:rPr>
          <w:rFonts w:asciiTheme="minorHAnsi" w:hAnsiTheme="minorHAnsi" w:cs="Arial"/>
          <w:szCs w:val="20"/>
        </w:rPr>
        <w:t xml:space="preserve">of </w:t>
      </w:r>
      <w:r w:rsidRPr="00486A01">
        <w:rPr>
          <w:rFonts w:asciiTheme="minorHAnsi" w:hAnsiTheme="minorHAnsi" w:cs="Arial"/>
          <w:szCs w:val="20"/>
        </w:rPr>
        <w:t xml:space="preserve">their final </w:t>
      </w:r>
      <w:r w:rsidR="001B2C55" w:rsidRPr="00486A01">
        <w:rPr>
          <w:rFonts w:asciiTheme="minorHAnsi" w:hAnsiTheme="minorHAnsi" w:cs="Arial"/>
          <w:szCs w:val="20"/>
        </w:rPr>
        <w:t xml:space="preserve">benefit design decisions until additional guidance </w:t>
      </w:r>
      <w:r w:rsidRPr="00486A01">
        <w:rPr>
          <w:rFonts w:asciiTheme="minorHAnsi" w:hAnsiTheme="minorHAnsi" w:cs="Arial"/>
          <w:szCs w:val="20"/>
        </w:rPr>
        <w:t>is issued by regulatory agencies and the 2014 individual market begins to take shape</w:t>
      </w:r>
      <w:r w:rsidR="001B2C55" w:rsidRPr="00486A01">
        <w:rPr>
          <w:rFonts w:asciiTheme="minorHAnsi" w:hAnsiTheme="minorHAnsi" w:cs="Arial"/>
          <w:szCs w:val="20"/>
        </w:rPr>
        <w:t>.</w:t>
      </w: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362B9B" w:rsidRDefault="00362B9B" w:rsidP="00531761">
      <w:pPr>
        <w:rPr>
          <w:rFonts w:asciiTheme="minorHAnsi" w:hAnsiTheme="minorHAnsi" w:cs="Arial"/>
          <w:szCs w:val="20"/>
        </w:rPr>
      </w:pPr>
    </w:p>
    <w:p w:rsidR="00362B9B" w:rsidRDefault="00362B9B"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Default="00510B64" w:rsidP="00531761">
      <w:pPr>
        <w:rPr>
          <w:rFonts w:asciiTheme="minorHAnsi" w:hAnsiTheme="minorHAnsi" w:cs="Arial"/>
          <w:szCs w:val="20"/>
        </w:rPr>
      </w:pPr>
    </w:p>
    <w:p w:rsidR="00510B64" w:rsidRPr="00CA7944" w:rsidRDefault="00510B64" w:rsidP="00510B64">
      <w:pPr>
        <w:pStyle w:val="NoSpacing"/>
        <w:rPr>
          <w:szCs w:val="20"/>
        </w:rPr>
      </w:pPr>
      <w:r w:rsidRPr="006768E5">
        <w:rPr>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rsidR="00510B64" w:rsidRPr="00486A01" w:rsidRDefault="00510B64" w:rsidP="00531761">
      <w:pPr>
        <w:rPr>
          <w:rFonts w:asciiTheme="minorHAnsi" w:hAnsiTheme="minorHAnsi" w:cs="Arial"/>
          <w:szCs w:val="20"/>
        </w:rPr>
      </w:pPr>
    </w:p>
    <w:sectPr w:rsidR="00510B64" w:rsidRPr="00486A01" w:rsidSect="00486A01">
      <w:headerReference w:type="default" r:id="rId7"/>
      <w:footerReference w:type="default" r:id="rId8"/>
      <w:pgSz w:w="12240" w:h="15840" w:code="1"/>
      <w:pgMar w:top="1440" w:right="1872" w:bottom="1440" w:left="1872" w:header="965" w:footer="965"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193" w:rsidRDefault="00934193" w:rsidP="00BB43DA">
      <w:r>
        <w:separator/>
      </w:r>
    </w:p>
  </w:endnote>
  <w:endnote w:type="continuationSeparator" w:id="1">
    <w:p w:rsidR="00934193" w:rsidRDefault="00934193" w:rsidP="00BB43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01" w:rsidRPr="00486A01" w:rsidRDefault="00486A01" w:rsidP="00486A01">
    <w:pPr>
      <w:pStyle w:val="Footer"/>
      <w:pBdr>
        <w:top w:val="single" w:sz="4" w:space="1" w:color="auto"/>
      </w:pBdr>
      <w:jc w:val="right"/>
      <w:rPr>
        <w:rFonts w:asciiTheme="minorHAnsi" w:hAnsiTheme="minorHAnsi"/>
      </w:rPr>
    </w:pPr>
    <w:r w:rsidRPr="00486A01">
      <w:rPr>
        <w:rFonts w:asciiTheme="minorHAnsi" w:hAnsiTheme="minorHAnsi" w:cs="Arial"/>
      </w:rPr>
      <w:t>©</w:t>
    </w:r>
    <w:r w:rsidRPr="00486A01">
      <w:rPr>
        <w:rFonts w:asciiTheme="minorHAnsi" w:hAnsiTheme="minorHAnsi"/>
      </w:rPr>
      <w:t>2010 Benefit Comply,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193" w:rsidRDefault="00934193" w:rsidP="00BB43DA">
      <w:r>
        <w:separator/>
      </w:r>
    </w:p>
  </w:footnote>
  <w:footnote w:type="continuationSeparator" w:id="1">
    <w:p w:rsidR="00934193" w:rsidRDefault="00934193" w:rsidP="00BB4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34" w:rsidRDefault="0075098D" w:rsidP="00DD5F34">
    <w:pPr>
      <w:pStyle w:val="Header"/>
    </w:pPr>
    <w:r w:rsidRPr="0075098D">
      <w:rPr>
        <w:rFonts w:asciiTheme="majorHAnsi" w:eastAsiaTheme="majorEastAsia" w:hAnsiTheme="majorHAnsi" w:cstheme="majorBidi"/>
        <w:b/>
        <w:bCs/>
        <w:noProof/>
        <w:color w:val="4F81BD" w:themeColor="accent1"/>
        <w:sz w:val="36"/>
        <w:szCs w:val="36"/>
        <w:lang w:eastAsia="zh-TW"/>
      </w:rPr>
      <w:pict>
        <v:shapetype id="_x0000_t202" coordsize="21600,21600" o:spt="202" path="m,l,21600r21600,l21600,xe">
          <v:stroke joinstyle="miter"/>
          <v:path gradientshapeok="t" o:connecttype="rect"/>
        </v:shapetype>
        <v:shape id="_x0000_s3074" type="#_x0000_t202" style="position:absolute;margin-left:93.6pt;margin-top:30.2pt;width:424.8pt;height:11.5pt;z-index:2;mso-width-percent:1000;mso-position-horizontal-relative:page;mso-position-vertical-relative:page;mso-width-percent:1000;mso-width-relative:margin;v-text-anchor:middle" o:allowincell="f" filled="f" stroked="f">
          <v:textbox style="mso-fit-shape-to-text:t" inset=",0,,0">
            <w:txbxContent>
              <w:p w:rsidR="00DD5F34" w:rsidRPr="00486A01" w:rsidRDefault="00486A01">
                <w:pPr>
                  <w:jc w:val="right"/>
                </w:pPr>
                <w:r w:rsidRPr="00486A01">
                  <w:t>Employer Mandate Summary</w:t>
                </w:r>
              </w:p>
            </w:txbxContent>
          </v:textbox>
          <w10:wrap anchorx="margin" anchory="margin"/>
        </v:shape>
      </w:pict>
    </w:r>
    <w:r w:rsidRPr="0075098D">
      <w:rPr>
        <w:rFonts w:asciiTheme="majorHAnsi" w:eastAsiaTheme="majorEastAsia" w:hAnsiTheme="majorHAnsi" w:cstheme="majorBidi"/>
        <w:b/>
        <w:bCs/>
        <w:noProof/>
        <w:color w:val="4F81BD" w:themeColor="accent1"/>
        <w:sz w:val="36"/>
        <w:szCs w:val="36"/>
        <w:lang w:eastAsia="zh-TW"/>
      </w:rPr>
      <w:pict>
        <v:shape id="_x0000_s3073" type="#_x0000_t202" style="position:absolute;margin-left:518.4pt;margin-top:30.2pt;width:93.6pt;height:11.5pt;z-index:1;mso-width-percent:1000;mso-position-horizontal-relative:page;mso-position-vertical-relative:page;mso-width-percent:1000;mso-width-relative:right-margin-area;v-text-anchor:middle" o:allowincell="f" fillcolor="#4f81bd" stroked="f">
          <v:textbox style="mso-fit-shape-to-text:t" inset=",0,,0">
            <w:txbxContent>
              <w:p w:rsidR="00DD5F34" w:rsidRPr="00DD5F34" w:rsidRDefault="0075098D">
                <w:pPr>
                  <w:rPr>
                    <w:color w:val="FFFFFF"/>
                  </w:rPr>
                </w:pPr>
                <w:fldSimple w:instr=" PAGE   \* MERGEFORMAT ">
                  <w:r w:rsidR="00445069" w:rsidRPr="00445069">
                    <w:rPr>
                      <w:noProof/>
                      <w:color w:val="FFFFFF"/>
                    </w:rPr>
                    <w:t>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232"/>
    <w:multiLevelType w:val="hybridMultilevel"/>
    <w:tmpl w:val="0FBCDC4A"/>
    <w:lvl w:ilvl="0" w:tplc="528E7A68">
      <w:start w:val="1"/>
      <w:numFmt w:val="bullet"/>
      <w:lvlText w:val=""/>
      <w:lvlJc w:val="left"/>
      <w:pPr>
        <w:tabs>
          <w:tab w:val="num" w:pos="360"/>
        </w:tabs>
        <w:ind w:left="360" w:hanging="360"/>
      </w:pPr>
      <w:rPr>
        <w:rFonts w:ascii="Wingdings" w:hAnsi="Wingdings" w:hint="default"/>
      </w:rPr>
    </w:lvl>
    <w:lvl w:ilvl="1" w:tplc="89061DF8">
      <w:start w:val="1"/>
      <w:numFmt w:val="bullet"/>
      <w:lvlText w:val=""/>
      <w:lvlJc w:val="left"/>
      <w:pPr>
        <w:tabs>
          <w:tab w:val="num" w:pos="1080"/>
        </w:tabs>
        <w:ind w:left="1080" w:hanging="360"/>
      </w:pPr>
      <w:rPr>
        <w:rFonts w:ascii="Wingdings" w:hAnsi="Wingdings" w:hint="default"/>
      </w:rPr>
    </w:lvl>
    <w:lvl w:ilvl="2" w:tplc="01F8BF06">
      <w:start w:val="2535"/>
      <w:numFmt w:val="bullet"/>
      <w:lvlText w:val="»"/>
      <w:lvlJc w:val="left"/>
      <w:pPr>
        <w:tabs>
          <w:tab w:val="num" w:pos="1800"/>
        </w:tabs>
        <w:ind w:left="1800" w:hanging="360"/>
      </w:pPr>
      <w:rPr>
        <w:rFonts w:ascii="Arial" w:hAnsi="Arial" w:cs="Times New Roman" w:hint="default"/>
      </w:rPr>
    </w:lvl>
    <w:lvl w:ilvl="3" w:tplc="F760B60A">
      <w:start w:val="1"/>
      <w:numFmt w:val="decimal"/>
      <w:lvlText w:val="%4."/>
      <w:lvlJc w:val="left"/>
      <w:pPr>
        <w:tabs>
          <w:tab w:val="num" w:pos="2880"/>
        </w:tabs>
        <w:ind w:left="2880" w:hanging="360"/>
      </w:pPr>
    </w:lvl>
    <w:lvl w:ilvl="4" w:tplc="39828D14">
      <w:start w:val="1"/>
      <w:numFmt w:val="decimal"/>
      <w:lvlText w:val="%5."/>
      <w:lvlJc w:val="left"/>
      <w:pPr>
        <w:tabs>
          <w:tab w:val="num" w:pos="3600"/>
        </w:tabs>
        <w:ind w:left="3600" w:hanging="360"/>
      </w:pPr>
    </w:lvl>
    <w:lvl w:ilvl="5" w:tplc="CA6E726C">
      <w:start w:val="1"/>
      <w:numFmt w:val="decimal"/>
      <w:lvlText w:val="%6."/>
      <w:lvlJc w:val="left"/>
      <w:pPr>
        <w:tabs>
          <w:tab w:val="num" w:pos="4320"/>
        </w:tabs>
        <w:ind w:left="4320" w:hanging="360"/>
      </w:pPr>
    </w:lvl>
    <w:lvl w:ilvl="6" w:tplc="24983790">
      <w:start w:val="1"/>
      <w:numFmt w:val="decimal"/>
      <w:lvlText w:val="%7."/>
      <w:lvlJc w:val="left"/>
      <w:pPr>
        <w:tabs>
          <w:tab w:val="num" w:pos="5040"/>
        </w:tabs>
        <w:ind w:left="5040" w:hanging="360"/>
      </w:pPr>
    </w:lvl>
    <w:lvl w:ilvl="7" w:tplc="E9224E88">
      <w:start w:val="1"/>
      <w:numFmt w:val="decimal"/>
      <w:lvlText w:val="%8."/>
      <w:lvlJc w:val="left"/>
      <w:pPr>
        <w:tabs>
          <w:tab w:val="num" w:pos="5760"/>
        </w:tabs>
        <w:ind w:left="5760" w:hanging="360"/>
      </w:pPr>
    </w:lvl>
    <w:lvl w:ilvl="8" w:tplc="18BA0FD0">
      <w:start w:val="1"/>
      <w:numFmt w:val="decimal"/>
      <w:lvlText w:val="%9."/>
      <w:lvlJc w:val="left"/>
      <w:pPr>
        <w:tabs>
          <w:tab w:val="num" w:pos="6480"/>
        </w:tabs>
        <w:ind w:left="6480" w:hanging="360"/>
      </w:pPr>
    </w:lvl>
  </w:abstractNum>
  <w:abstractNum w:abstractNumId="1">
    <w:nsid w:val="35E13E82"/>
    <w:multiLevelType w:val="hybridMultilevel"/>
    <w:tmpl w:val="A63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90680"/>
    <w:multiLevelType w:val="hybridMultilevel"/>
    <w:tmpl w:val="0A76AC2E"/>
    <w:lvl w:ilvl="0" w:tplc="CDACBF76">
      <w:start w:val="1"/>
      <w:numFmt w:val="bullet"/>
      <w:lvlText w:val=""/>
      <w:lvlJc w:val="left"/>
      <w:pPr>
        <w:tabs>
          <w:tab w:val="num" w:pos="360"/>
        </w:tabs>
        <w:ind w:left="360" w:hanging="360"/>
      </w:pPr>
      <w:rPr>
        <w:rFonts w:ascii="Wingdings" w:hAnsi="Wingdings" w:hint="default"/>
      </w:rPr>
    </w:lvl>
    <w:lvl w:ilvl="1" w:tplc="9F2E2208">
      <w:start w:val="1"/>
      <w:numFmt w:val="bullet"/>
      <w:lvlText w:val=""/>
      <w:lvlJc w:val="left"/>
      <w:pPr>
        <w:tabs>
          <w:tab w:val="num" w:pos="1080"/>
        </w:tabs>
        <w:ind w:left="1080" w:hanging="360"/>
      </w:pPr>
      <w:rPr>
        <w:rFonts w:ascii="Wingdings" w:hAnsi="Wingdings" w:hint="default"/>
      </w:rPr>
    </w:lvl>
    <w:lvl w:ilvl="2" w:tplc="F636FDCA">
      <w:start w:val="1732"/>
      <w:numFmt w:val="bullet"/>
      <w:lvlText w:val="»"/>
      <w:lvlJc w:val="left"/>
      <w:pPr>
        <w:tabs>
          <w:tab w:val="num" w:pos="1800"/>
        </w:tabs>
        <w:ind w:left="1800" w:hanging="360"/>
      </w:pPr>
      <w:rPr>
        <w:rFonts w:ascii="Arial" w:hAnsi="Arial" w:cs="Times New Roman" w:hint="default"/>
      </w:rPr>
    </w:lvl>
    <w:lvl w:ilvl="3" w:tplc="C1F0CB2A">
      <w:start w:val="1732"/>
      <w:numFmt w:val="bullet"/>
      <w:lvlText w:val="–"/>
      <w:lvlJc w:val="left"/>
      <w:pPr>
        <w:tabs>
          <w:tab w:val="num" w:pos="2520"/>
        </w:tabs>
        <w:ind w:left="2520" w:hanging="360"/>
      </w:pPr>
      <w:rPr>
        <w:rFonts w:ascii="Times New Roman" w:hAnsi="Times New Roman" w:cs="Times New Roman" w:hint="default"/>
      </w:rPr>
    </w:lvl>
    <w:lvl w:ilvl="4" w:tplc="BBB6E398">
      <w:start w:val="1732"/>
      <w:numFmt w:val="bullet"/>
      <w:lvlText w:val="»"/>
      <w:lvlJc w:val="left"/>
      <w:pPr>
        <w:tabs>
          <w:tab w:val="num" w:pos="3240"/>
        </w:tabs>
        <w:ind w:left="3240" w:hanging="360"/>
      </w:pPr>
      <w:rPr>
        <w:rFonts w:ascii="Times New Roman" w:hAnsi="Times New Roman" w:cs="Times New Roman" w:hint="default"/>
      </w:rPr>
    </w:lvl>
    <w:lvl w:ilvl="5" w:tplc="EA72B2C0">
      <w:start w:val="1"/>
      <w:numFmt w:val="decimal"/>
      <w:lvlText w:val="%6."/>
      <w:lvlJc w:val="left"/>
      <w:pPr>
        <w:tabs>
          <w:tab w:val="num" w:pos="4320"/>
        </w:tabs>
        <w:ind w:left="4320" w:hanging="360"/>
      </w:pPr>
    </w:lvl>
    <w:lvl w:ilvl="6" w:tplc="122A434E">
      <w:start w:val="1"/>
      <w:numFmt w:val="decimal"/>
      <w:lvlText w:val="%7."/>
      <w:lvlJc w:val="left"/>
      <w:pPr>
        <w:tabs>
          <w:tab w:val="num" w:pos="5040"/>
        </w:tabs>
        <w:ind w:left="5040" w:hanging="360"/>
      </w:pPr>
    </w:lvl>
    <w:lvl w:ilvl="7" w:tplc="6FB4BC60">
      <w:start w:val="1"/>
      <w:numFmt w:val="decimal"/>
      <w:lvlText w:val="%8."/>
      <w:lvlJc w:val="left"/>
      <w:pPr>
        <w:tabs>
          <w:tab w:val="num" w:pos="5760"/>
        </w:tabs>
        <w:ind w:left="5760" w:hanging="360"/>
      </w:pPr>
    </w:lvl>
    <w:lvl w:ilvl="8" w:tplc="58925AF2">
      <w:start w:val="1"/>
      <w:numFmt w:val="decimal"/>
      <w:lvlText w:val="%9."/>
      <w:lvlJc w:val="left"/>
      <w:pPr>
        <w:tabs>
          <w:tab w:val="num" w:pos="6480"/>
        </w:tabs>
        <w:ind w:left="6480" w:hanging="360"/>
      </w:pPr>
    </w:lvl>
  </w:abstractNum>
  <w:abstractNum w:abstractNumId="3">
    <w:nsid w:val="5C1B4C80"/>
    <w:multiLevelType w:val="hybridMultilevel"/>
    <w:tmpl w:val="205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A7D42"/>
    <w:multiLevelType w:val="hybridMultilevel"/>
    <w:tmpl w:val="2D5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10310"/>
    <w:multiLevelType w:val="hybridMultilevel"/>
    <w:tmpl w:val="788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9D1608"/>
    <w:multiLevelType w:val="hybridMultilevel"/>
    <w:tmpl w:val="EFD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80"/>
  <w:drawingGridVerticalSpacing w:val="109"/>
  <w:displayHorizontalDrawingGridEvery w:val="2"/>
  <w:displayVertic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41AD"/>
    <w:rsid w:val="000B6F38"/>
    <w:rsid w:val="000C41B5"/>
    <w:rsid w:val="00103145"/>
    <w:rsid w:val="00106156"/>
    <w:rsid w:val="00110541"/>
    <w:rsid w:val="001871D3"/>
    <w:rsid w:val="00187547"/>
    <w:rsid w:val="001931BB"/>
    <w:rsid w:val="001B2C55"/>
    <w:rsid w:val="002F1D78"/>
    <w:rsid w:val="002F5B6A"/>
    <w:rsid w:val="002F6C01"/>
    <w:rsid w:val="003269FC"/>
    <w:rsid w:val="003606B3"/>
    <w:rsid w:val="00362B9B"/>
    <w:rsid w:val="003812C8"/>
    <w:rsid w:val="003963F0"/>
    <w:rsid w:val="003A15A0"/>
    <w:rsid w:val="003D0B22"/>
    <w:rsid w:val="00445069"/>
    <w:rsid w:val="00486A01"/>
    <w:rsid w:val="004B2781"/>
    <w:rsid w:val="004B6441"/>
    <w:rsid w:val="00500130"/>
    <w:rsid w:val="00510B64"/>
    <w:rsid w:val="00531761"/>
    <w:rsid w:val="00532F84"/>
    <w:rsid w:val="00536A10"/>
    <w:rsid w:val="005C2382"/>
    <w:rsid w:val="0069644D"/>
    <w:rsid w:val="00705C79"/>
    <w:rsid w:val="0071304C"/>
    <w:rsid w:val="00736A9B"/>
    <w:rsid w:val="0075098D"/>
    <w:rsid w:val="007C7C7C"/>
    <w:rsid w:val="007F34B4"/>
    <w:rsid w:val="008241C0"/>
    <w:rsid w:val="0085137A"/>
    <w:rsid w:val="008615C4"/>
    <w:rsid w:val="008A251F"/>
    <w:rsid w:val="008B2208"/>
    <w:rsid w:val="008F2654"/>
    <w:rsid w:val="00934193"/>
    <w:rsid w:val="00956301"/>
    <w:rsid w:val="00A21DC4"/>
    <w:rsid w:val="00A671B6"/>
    <w:rsid w:val="00AB76C9"/>
    <w:rsid w:val="00B6090B"/>
    <w:rsid w:val="00B90848"/>
    <w:rsid w:val="00BB43DA"/>
    <w:rsid w:val="00C941AD"/>
    <w:rsid w:val="00CD1BA0"/>
    <w:rsid w:val="00CF1368"/>
    <w:rsid w:val="00D649D1"/>
    <w:rsid w:val="00D75F1E"/>
    <w:rsid w:val="00DC04E5"/>
    <w:rsid w:val="00DD5F34"/>
    <w:rsid w:val="00E03AED"/>
    <w:rsid w:val="00E46F87"/>
    <w:rsid w:val="00E53468"/>
    <w:rsid w:val="00E55C59"/>
    <w:rsid w:val="00F5643D"/>
    <w:rsid w:val="00F94E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9B"/>
    <w:rPr>
      <w:szCs w:val="22"/>
      <w:lang w:bidi="en-US"/>
    </w:rPr>
  </w:style>
  <w:style w:type="paragraph" w:styleId="Heading1">
    <w:name w:val="heading 1"/>
    <w:basedOn w:val="Heading2"/>
    <w:next w:val="Normal"/>
    <w:link w:val="Heading1Char"/>
    <w:uiPriority w:val="9"/>
    <w:qFormat/>
    <w:rsid w:val="00510B64"/>
    <w:pPr>
      <w:pBdr>
        <w:bottom w:val="single" w:sz="4" w:space="1" w:color="auto"/>
      </w:pBdr>
      <w:outlineLvl w:val="0"/>
    </w:pPr>
    <w:rPr>
      <w:sz w:val="32"/>
      <w:szCs w:val="32"/>
    </w:rPr>
  </w:style>
  <w:style w:type="paragraph" w:styleId="Heading2">
    <w:name w:val="heading 2"/>
    <w:basedOn w:val="Normal"/>
    <w:next w:val="Normal"/>
    <w:link w:val="Heading2Char"/>
    <w:uiPriority w:val="9"/>
    <w:unhideWhenUsed/>
    <w:qFormat/>
    <w:rsid w:val="00510B64"/>
    <w:pPr>
      <w:spacing w:before="120"/>
      <w:outlineLvl w:val="1"/>
    </w:pPr>
    <w:rPr>
      <w:b/>
      <w:sz w:val="24"/>
      <w:szCs w:val="24"/>
    </w:rPr>
  </w:style>
  <w:style w:type="paragraph" w:styleId="Heading3">
    <w:name w:val="heading 3"/>
    <w:basedOn w:val="Normal"/>
    <w:next w:val="Normal"/>
    <w:link w:val="Heading3Char"/>
    <w:uiPriority w:val="9"/>
    <w:unhideWhenUsed/>
    <w:qFormat/>
    <w:rsid w:val="00445069"/>
    <w:pPr>
      <w:outlineLvl w:val="2"/>
    </w:pPr>
    <w:rPr>
      <w:u w:val="single"/>
    </w:rPr>
  </w:style>
  <w:style w:type="paragraph" w:styleId="Heading4">
    <w:name w:val="heading 4"/>
    <w:basedOn w:val="Normal"/>
    <w:next w:val="Normal"/>
    <w:link w:val="Heading4Char"/>
    <w:uiPriority w:val="9"/>
    <w:semiHidden/>
    <w:unhideWhenUsed/>
    <w:qFormat/>
    <w:rsid w:val="00D649D1"/>
    <w:pPr>
      <w:spacing w:before="200"/>
      <w:outlineLvl w:val="3"/>
    </w:pPr>
    <w:rPr>
      <w:rFonts w:ascii="Cambria" w:eastAsia="Times New Roman" w:hAnsi="Cambria"/>
      <w:b/>
      <w:bCs/>
      <w:i/>
      <w:iCs/>
      <w:sz w:val="22"/>
    </w:rPr>
  </w:style>
  <w:style w:type="paragraph" w:styleId="Heading5">
    <w:name w:val="heading 5"/>
    <w:basedOn w:val="Normal"/>
    <w:next w:val="Normal"/>
    <w:link w:val="Heading5Char"/>
    <w:uiPriority w:val="9"/>
    <w:semiHidden/>
    <w:unhideWhenUsed/>
    <w:qFormat/>
    <w:rsid w:val="00D649D1"/>
    <w:pPr>
      <w:spacing w:before="200"/>
      <w:outlineLvl w:val="4"/>
    </w:pPr>
    <w:rPr>
      <w:rFonts w:ascii="Cambria" w:eastAsia="Times New Roman" w:hAnsi="Cambria"/>
      <w:b/>
      <w:bCs/>
      <w:color w:val="7F7F7F"/>
      <w:sz w:val="22"/>
    </w:rPr>
  </w:style>
  <w:style w:type="paragraph" w:styleId="Heading6">
    <w:name w:val="heading 6"/>
    <w:basedOn w:val="Normal"/>
    <w:next w:val="Normal"/>
    <w:link w:val="Heading6Char"/>
    <w:uiPriority w:val="9"/>
    <w:semiHidden/>
    <w:unhideWhenUsed/>
    <w:qFormat/>
    <w:rsid w:val="00D649D1"/>
    <w:pPr>
      <w:spacing w:line="271" w:lineRule="auto"/>
      <w:outlineLvl w:val="5"/>
    </w:pPr>
    <w:rPr>
      <w:rFonts w:ascii="Cambria" w:eastAsia="Times New Roman" w:hAnsi="Cambria"/>
      <w:b/>
      <w:bCs/>
      <w:i/>
      <w:iCs/>
      <w:color w:val="7F7F7F"/>
      <w:sz w:val="22"/>
    </w:rPr>
  </w:style>
  <w:style w:type="paragraph" w:styleId="Heading7">
    <w:name w:val="heading 7"/>
    <w:basedOn w:val="Normal"/>
    <w:next w:val="Normal"/>
    <w:link w:val="Heading7Char"/>
    <w:uiPriority w:val="9"/>
    <w:semiHidden/>
    <w:unhideWhenUsed/>
    <w:qFormat/>
    <w:rsid w:val="00D649D1"/>
    <w:pPr>
      <w:outlineLvl w:val="6"/>
    </w:pPr>
    <w:rPr>
      <w:rFonts w:ascii="Cambria" w:eastAsia="Times New Roman" w:hAnsi="Cambria"/>
      <w:i/>
      <w:iCs/>
      <w:sz w:val="22"/>
    </w:rPr>
  </w:style>
  <w:style w:type="paragraph" w:styleId="Heading8">
    <w:name w:val="heading 8"/>
    <w:basedOn w:val="Normal"/>
    <w:next w:val="Normal"/>
    <w:link w:val="Heading8Char"/>
    <w:uiPriority w:val="9"/>
    <w:semiHidden/>
    <w:unhideWhenUsed/>
    <w:qFormat/>
    <w:rsid w:val="00D649D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649D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64"/>
    <w:rPr>
      <w:rFonts w:ascii="Calibri" w:hAnsi="Calibri"/>
      <w:b/>
      <w:sz w:val="32"/>
      <w:szCs w:val="32"/>
      <w:lang w:bidi="en-US"/>
    </w:rPr>
  </w:style>
  <w:style w:type="character" w:customStyle="1" w:styleId="Heading2Char">
    <w:name w:val="Heading 2 Char"/>
    <w:basedOn w:val="DefaultParagraphFont"/>
    <w:link w:val="Heading2"/>
    <w:uiPriority w:val="9"/>
    <w:rsid w:val="00510B64"/>
    <w:rPr>
      <w:rFonts w:ascii="Calibri" w:hAnsi="Calibri"/>
      <w:b/>
      <w:sz w:val="24"/>
      <w:szCs w:val="24"/>
      <w:lang w:bidi="en-US"/>
    </w:rPr>
  </w:style>
  <w:style w:type="character" w:customStyle="1" w:styleId="Heading3Char">
    <w:name w:val="Heading 3 Char"/>
    <w:basedOn w:val="DefaultParagraphFont"/>
    <w:link w:val="Heading3"/>
    <w:uiPriority w:val="9"/>
    <w:rsid w:val="00445069"/>
    <w:rPr>
      <w:rFonts w:ascii="Calibri" w:hAnsi="Calibri"/>
      <w:szCs w:val="22"/>
      <w:u w:val="single"/>
      <w:lang w:bidi="en-US"/>
    </w:rPr>
  </w:style>
  <w:style w:type="character" w:customStyle="1" w:styleId="Heading4Char">
    <w:name w:val="Heading 4 Char"/>
    <w:basedOn w:val="DefaultParagraphFont"/>
    <w:link w:val="Heading4"/>
    <w:uiPriority w:val="9"/>
    <w:semiHidden/>
    <w:rsid w:val="00D649D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D649D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649D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649D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649D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649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649D1"/>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D649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649D1"/>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D649D1"/>
    <w:rPr>
      <w:rFonts w:ascii="Cambria" w:eastAsia="Times New Roman" w:hAnsi="Cambria" w:cs="Times New Roman"/>
      <w:i/>
      <w:iCs/>
      <w:spacing w:val="13"/>
      <w:sz w:val="24"/>
      <w:szCs w:val="24"/>
    </w:rPr>
  </w:style>
  <w:style w:type="character" w:styleId="Strong">
    <w:name w:val="Strong"/>
    <w:uiPriority w:val="22"/>
    <w:qFormat/>
    <w:rsid w:val="00D649D1"/>
    <w:rPr>
      <w:b/>
      <w:bCs/>
    </w:rPr>
  </w:style>
  <w:style w:type="character" w:styleId="Emphasis">
    <w:name w:val="Emphasis"/>
    <w:uiPriority w:val="20"/>
    <w:qFormat/>
    <w:rsid w:val="00D649D1"/>
    <w:rPr>
      <w:b/>
      <w:bCs/>
      <w:i/>
      <w:iCs/>
      <w:spacing w:val="10"/>
      <w:bdr w:val="none" w:sz="0" w:space="0" w:color="auto"/>
      <w:shd w:val="clear" w:color="auto" w:fill="auto"/>
    </w:rPr>
  </w:style>
  <w:style w:type="paragraph" w:styleId="NoSpacing">
    <w:name w:val="No Spacing"/>
    <w:aliases w:val="Bob Comments"/>
    <w:basedOn w:val="Normal"/>
    <w:link w:val="NoSpacingChar"/>
    <w:uiPriority w:val="1"/>
    <w:qFormat/>
    <w:rsid w:val="00D649D1"/>
  </w:style>
  <w:style w:type="paragraph" w:styleId="ListParagraph">
    <w:name w:val="List Paragraph"/>
    <w:basedOn w:val="Normal"/>
    <w:uiPriority w:val="34"/>
    <w:qFormat/>
    <w:rsid w:val="00D649D1"/>
    <w:pPr>
      <w:contextualSpacing/>
    </w:pPr>
  </w:style>
  <w:style w:type="paragraph" w:styleId="Quote">
    <w:name w:val="Quote"/>
    <w:basedOn w:val="Normal"/>
    <w:next w:val="Normal"/>
    <w:link w:val="QuoteChar"/>
    <w:uiPriority w:val="29"/>
    <w:qFormat/>
    <w:rsid w:val="00D649D1"/>
    <w:pPr>
      <w:spacing w:before="200"/>
      <w:ind w:right="360"/>
    </w:pPr>
    <w:rPr>
      <w:i/>
      <w:iCs/>
      <w:sz w:val="22"/>
    </w:rPr>
  </w:style>
  <w:style w:type="character" w:customStyle="1" w:styleId="QuoteChar">
    <w:name w:val="Quote Char"/>
    <w:basedOn w:val="DefaultParagraphFont"/>
    <w:link w:val="Quote"/>
    <w:uiPriority w:val="29"/>
    <w:rsid w:val="00D649D1"/>
    <w:rPr>
      <w:i/>
      <w:iCs/>
    </w:rPr>
  </w:style>
  <w:style w:type="paragraph" w:styleId="IntenseQuote">
    <w:name w:val="Intense Quote"/>
    <w:basedOn w:val="Normal"/>
    <w:next w:val="Normal"/>
    <w:link w:val="IntenseQuoteChar"/>
    <w:uiPriority w:val="30"/>
    <w:qFormat/>
    <w:rsid w:val="00D649D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30"/>
    <w:rsid w:val="00D649D1"/>
    <w:rPr>
      <w:b/>
      <w:bCs/>
      <w:i/>
      <w:iCs/>
    </w:rPr>
  </w:style>
  <w:style w:type="character" w:styleId="SubtleEmphasis">
    <w:name w:val="Subtle Emphasis"/>
    <w:uiPriority w:val="19"/>
    <w:qFormat/>
    <w:rsid w:val="00D649D1"/>
    <w:rPr>
      <w:i/>
      <w:iCs/>
    </w:rPr>
  </w:style>
  <w:style w:type="character" w:styleId="IntenseEmphasis">
    <w:name w:val="Intense Emphasis"/>
    <w:uiPriority w:val="21"/>
    <w:qFormat/>
    <w:rsid w:val="00D649D1"/>
    <w:rPr>
      <w:b/>
      <w:bCs/>
    </w:rPr>
  </w:style>
  <w:style w:type="character" w:styleId="SubtleReference">
    <w:name w:val="Subtle Reference"/>
    <w:uiPriority w:val="31"/>
    <w:qFormat/>
    <w:rsid w:val="00D649D1"/>
    <w:rPr>
      <w:smallCaps/>
    </w:rPr>
  </w:style>
  <w:style w:type="character" w:styleId="IntenseReference">
    <w:name w:val="Intense Reference"/>
    <w:uiPriority w:val="32"/>
    <w:qFormat/>
    <w:rsid w:val="00D649D1"/>
    <w:rPr>
      <w:smallCaps/>
      <w:spacing w:val="5"/>
      <w:u w:val="single"/>
    </w:rPr>
  </w:style>
  <w:style w:type="character" w:styleId="BookTitle">
    <w:name w:val="Book Title"/>
    <w:uiPriority w:val="33"/>
    <w:qFormat/>
    <w:rsid w:val="00D649D1"/>
    <w:rPr>
      <w:i/>
      <w:iCs/>
      <w:smallCaps/>
      <w:spacing w:val="5"/>
    </w:rPr>
  </w:style>
  <w:style w:type="paragraph" w:styleId="TOCHeading">
    <w:name w:val="TOC Heading"/>
    <w:basedOn w:val="Heading1"/>
    <w:next w:val="Normal"/>
    <w:uiPriority w:val="39"/>
    <w:semiHidden/>
    <w:unhideWhenUsed/>
    <w:qFormat/>
    <w:rsid w:val="00D649D1"/>
    <w:pPr>
      <w:outlineLvl w:val="9"/>
    </w:pPr>
  </w:style>
  <w:style w:type="paragraph" w:styleId="EndnoteText">
    <w:name w:val="endnote text"/>
    <w:basedOn w:val="Normal"/>
    <w:link w:val="EndnoteTextChar"/>
    <w:uiPriority w:val="99"/>
    <w:semiHidden/>
    <w:unhideWhenUsed/>
    <w:rsid w:val="00BB43DA"/>
    <w:rPr>
      <w:szCs w:val="20"/>
    </w:rPr>
  </w:style>
  <w:style w:type="character" w:customStyle="1" w:styleId="EndnoteTextChar">
    <w:name w:val="Endnote Text Char"/>
    <w:basedOn w:val="DefaultParagraphFont"/>
    <w:link w:val="EndnoteText"/>
    <w:uiPriority w:val="99"/>
    <w:semiHidden/>
    <w:rsid w:val="00BB43DA"/>
    <w:rPr>
      <w:rFonts w:ascii="Arial" w:hAnsi="Arial"/>
      <w:lang w:bidi="en-US"/>
    </w:rPr>
  </w:style>
  <w:style w:type="character" w:styleId="EndnoteReference">
    <w:name w:val="endnote reference"/>
    <w:basedOn w:val="DefaultParagraphFont"/>
    <w:uiPriority w:val="99"/>
    <w:semiHidden/>
    <w:unhideWhenUsed/>
    <w:rsid w:val="00BB43DA"/>
    <w:rPr>
      <w:vertAlign w:val="superscript"/>
    </w:rPr>
  </w:style>
  <w:style w:type="paragraph" w:styleId="BalloonText">
    <w:name w:val="Balloon Text"/>
    <w:basedOn w:val="Normal"/>
    <w:link w:val="BalloonTextChar"/>
    <w:uiPriority w:val="99"/>
    <w:semiHidden/>
    <w:unhideWhenUsed/>
    <w:rsid w:val="00E55C59"/>
    <w:rPr>
      <w:rFonts w:ascii="Tahoma" w:hAnsi="Tahoma" w:cs="Tahoma"/>
      <w:sz w:val="16"/>
      <w:szCs w:val="16"/>
    </w:rPr>
  </w:style>
  <w:style w:type="character" w:customStyle="1" w:styleId="BalloonTextChar">
    <w:name w:val="Balloon Text Char"/>
    <w:basedOn w:val="DefaultParagraphFont"/>
    <w:link w:val="BalloonText"/>
    <w:uiPriority w:val="99"/>
    <w:semiHidden/>
    <w:rsid w:val="00E55C59"/>
    <w:rPr>
      <w:rFonts w:ascii="Tahoma" w:hAnsi="Tahoma" w:cs="Tahoma"/>
      <w:sz w:val="16"/>
      <w:szCs w:val="16"/>
      <w:lang w:bidi="en-US"/>
    </w:rPr>
  </w:style>
  <w:style w:type="paragraph" w:styleId="Header">
    <w:name w:val="header"/>
    <w:basedOn w:val="Normal"/>
    <w:link w:val="HeaderChar"/>
    <w:uiPriority w:val="99"/>
    <w:unhideWhenUsed/>
    <w:rsid w:val="00DD5F34"/>
    <w:pPr>
      <w:tabs>
        <w:tab w:val="center" w:pos="4680"/>
        <w:tab w:val="right" w:pos="9360"/>
      </w:tabs>
    </w:pPr>
  </w:style>
  <w:style w:type="character" w:customStyle="1" w:styleId="HeaderChar">
    <w:name w:val="Header Char"/>
    <w:basedOn w:val="DefaultParagraphFont"/>
    <w:link w:val="Header"/>
    <w:uiPriority w:val="99"/>
    <w:rsid w:val="00DD5F34"/>
    <w:rPr>
      <w:rFonts w:ascii="Arial" w:hAnsi="Arial"/>
      <w:szCs w:val="22"/>
      <w:lang w:bidi="en-US"/>
    </w:rPr>
  </w:style>
  <w:style w:type="paragraph" w:styleId="Footer">
    <w:name w:val="footer"/>
    <w:basedOn w:val="Normal"/>
    <w:link w:val="FooterChar"/>
    <w:uiPriority w:val="99"/>
    <w:unhideWhenUsed/>
    <w:rsid w:val="00DD5F34"/>
    <w:pPr>
      <w:tabs>
        <w:tab w:val="center" w:pos="4680"/>
        <w:tab w:val="right" w:pos="9360"/>
      </w:tabs>
    </w:pPr>
  </w:style>
  <w:style w:type="character" w:customStyle="1" w:styleId="FooterChar">
    <w:name w:val="Footer Char"/>
    <w:basedOn w:val="DefaultParagraphFont"/>
    <w:link w:val="Footer"/>
    <w:uiPriority w:val="99"/>
    <w:rsid w:val="00DD5F34"/>
    <w:rPr>
      <w:rFonts w:ascii="Arial" w:hAnsi="Arial"/>
      <w:szCs w:val="22"/>
      <w:lang w:bidi="en-US"/>
    </w:rPr>
  </w:style>
  <w:style w:type="character" w:customStyle="1" w:styleId="NoSpacingChar">
    <w:name w:val="No Spacing Char"/>
    <w:aliases w:val="Bob Comments Char"/>
    <w:basedOn w:val="DefaultParagraphFont"/>
    <w:link w:val="NoSpacing"/>
    <w:uiPriority w:val="1"/>
    <w:rsid w:val="00510B64"/>
    <w:rPr>
      <w:rFonts w:ascii="Arial" w:hAnsi="Arial"/>
      <w:szCs w:val="22"/>
      <w:lang w:bidi="en-US"/>
    </w:rPr>
  </w:style>
  <w:style w:type="character" w:styleId="Hyperlink">
    <w:name w:val="Hyperlink"/>
    <w:basedOn w:val="DefaultParagraphFont"/>
    <w:uiPriority w:val="99"/>
    <w:unhideWhenUsed/>
    <w:rsid w:val="00362B9B"/>
    <w:rPr>
      <w:color w:val="0000FF"/>
      <w:u w:val="single"/>
    </w:rPr>
  </w:style>
</w:styles>
</file>

<file path=word/webSettings.xml><?xml version="1.0" encoding="utf-8"?>
<w:webSettings xmlns:r="http://schemas.openxmlformats.org/officeDocument/2006/relationships" xmlns:w="http://schemas.openxmlformats.org/wordprocessingml/2006/main">
  <w:divs>
    <w:div w:id="128128664">
      <w:bodyDiv w:val="1"/>
      <w:marLeft w:val="0"/>
      <w:marRight w:val="0"/>
      <w:marTop w:val="0"/>
      <w:marBottom w:val="0"/>
      <w:divBdr>
        <w:top w:val="none" w:sz="0" w:space="0" w:color="auto"/>
        <w:left w:val="none" w:sz="0" w:space="0" w:color="auto"/>
        <w:bottom w:val="none" w:sz="0" w:space="0" w:color="auto"/>
        <w:right w:val="none" w:sz="0" w:space="0" w:color="auto"/>
      </w:divBdr>
    </w:div>
    <w:div w:id="1289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cp:revision>
  <cp:lastPrinted>2010-04-26T03:51:00Z</cp:lastPrinted>
  <dcterms:created xsi:type="dcterms:W3CDTF">2010-04-26T03:49:00Z</dcterms:created>
  <dcterms:modified xsi:type="dcterms:W3CDTF">2010-05-21T21:31:00Z</dcterms:modified>
</cp:coreProperties>
</file>