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C" w:rsidRDefault="00AC0658">
      <w:r>
        <w:rPr>
          <w:noProof/>
        </w:rPr>
        <w:pict>
          <v:rect id="_x0000_s1054" style="position:absolute;margin-left:-6pt;margin-top:18pt;width:145.4pt;height:745.5pt;z-index:251656704;mso-wrap-distance-left:2.88pt;mso-wrap-distance-top:2.88pt;mso-wrap-distance-right:2.88pt;mso-wrap-distance-bottom:2.88pt;mso-position-vertical-relative:page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>
              <w:txbxContent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Default="00104EC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EF4B45" w:rsidRDefault="00EF4B45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104EC0" w:rsidRPr="001566CD" w:rsidRDefault="00104EC0" w:rsidP="00104EC0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566C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About Benefit Comply</w:t>
                  </w:r>
                </w:p>
                <w:p w:rsidR="00104EC0" w:rsidRPr="001566CD" w:rsidRDefault="00104EC0" w:rsidP="00104EC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1566C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Benefit Comply, LLC is committed to helping its clients navigate the complex maze of employee benefit</w:t>
                  </w:r>
                  <w:r w:rsidR="00994AC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-</w:t>
                  </w:r>
                  <w:r w:rsidRPr="001566CD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related rules and regulations.  Our focus is on a practical approach designed to minimize the impact on business operations while still taking seriously an organization’s compliance obligations.</w:t>
                  </w:r>
                </w:p>
                <w:p w:rsidR="00104EC0" w:rsidRPr="00104EC0" w:rsidRDefault="00104EC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235B10" w:rsidRDefault="00235B10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F234E7" w:rsidRDefault="00F234E7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F234E7" w:rsidRPr="00104EC0" w:rsidRDefault="00F234E7" w:rsidP="00104EC0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104EC0" w:rsidRPr="00235B10" w:rsidRDefault="00235B10" w:rsidP="00104EC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B</w:t>
                  </w:r>
                  <w:r w:rsidR="00104EC0" w:rsidRPr="00235B1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enefit Comply, LLC</w:t>
                  </w:r>
                </w:p>
                <w:p w:rsidR="00104EC0" w:rsidRPr="00235B10" w:rsidRDefault="00104EC0" w:rsidP="00104EC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235B1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info@benefitcomply.com</w:t>
                  </w:r>
                </w:p>
                <w:p w:rsidR="00104EC0" w:rsidRPr="00235B10" w:rsidRDefault="00104EC0" w:rsidP="00104EC0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235B1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www.benefitcomply.com</w:t>
                  </w:r>
                </w:p>
                <w:p w:rsidR="00104EC0" w:rsidRPr="00104EC0" w:rsidRDefault="00104EC0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53" style="position:absolute;margin-left:0;margin-top:109.35pt;width:575.3pt;height:58.65pt;z-index:251655680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2" style="position:absolute;margin-left:0;margin-top:100.15pt;width:575.3pt;height:58.15pt;z-index:251654656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1" style="position:absolute;margin-left:0;margin-top:91.4pt;width:575.3pt;height:58.65pt;z-index:251653632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0" style="position:absolute;margin-left:0;margin-top:100.15pt;width:575.3pt;height:63.6pt;z-index:251652608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style="position:absolute;margin-left:0;margin-top:104.65pt;width:575.3pt;height:53.2pt;z-index:251651584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8" style="position:absolute;margin-left:139.5pt;margin-top:18pt;width:436.5pt;height:116.6pt;z-index:251650560;mso-position-vertical-relative:page" coordsize="1944,493" path="m,hdc,493,,493,,493,736,359,1422,369,1944,417,1944,,1944,,1944,hal,hdxe" fillcolor="#e43b2f [rgb(228,59,47) cmyk(1.18,95.3,97.6,0)]" stroked="f" strokecolor="#212120 [rgb(33,33,32) cmyk(0,0,0,100)]" o:cliptowrap="t">
            <v:fill color2="#ef792f [rgb(239,121,47) cmyk(0,63.1,98,0)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5pt;margin-top:32.8pt;width:333pt;height:36pt;z-index:251638272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317BDC" w:rsidRDefault="00317BDC" w:rsidP="00317BDC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8"/>
                      <w:szCs w:val="48"/>
                    </w:rPr>
                    <w:t>Information Technology Solutions</w:t>
                  </w:r>
                </w:p>
              </w:txbxContent>
            </v:textbox>
            <w10:wrap anchory="page"/>
          </v:shape>
        </w:pict>
      </w:r>
    </w:p>
    <w:p w:rsidR="00830AEE" w:rsidRDefault="00AC0658">
      <w:r>
        <w:rPr>
          <w:noProof/>
        </w:rPr>
        <w:pict>
          <v:shape id="_x0000_s1071" type="#_x0000_t202" style="position:absolute;margin-left:157.45pt;margin-top:32.8pt;width:403.45pt;height:58.6pt;z-index:251684352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082FB9" w:rsidRPr="00082FB9" w:rsidRDefault="00C86787" w:rsidP="00410BFC">
                  <w:pPr>
                    <w:widowControl w:val="0"/>
                    <w:spacing w:line="480" w:lineRule="exact"/>
                    <w:rPr>
                      <w:rFonts w:ascii="Arial" w:hAnsi="Arial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w w:val="90"/>
                      <w:sz w:val="44"/>
                      <w:szCs w:val="44"/>
                    </w:rPr>
                    <w:t>Benefit Comply, LLC</w:t>
                  </w:r>
                </w:p>
                <w:p w:rsidR="00410BFC" w:rsidRPr="00082FB9" w:rsidRDefault="00A60748" w:rsidP="00410BFC">
                  <w:pPr>
                    <w:widowControl w:val="0"/>
                    <w:spacing w:line="480" w:lineRule="exact"/>
                    <w:rPr>
                      <w:rFonts w:ascii="Arial" w:hAnsi="Arial" w:cs="Arial"/>
                      <w:color w:val="FFFFFF" w:themeColor="background1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w w:val="90"/>
                      <w:sz w:val="36"/>
                      <w:szCs w:val="36"/>
                    </w:rPr>
                    <w:t>Actuarial Services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81" style="position:absolute;margin-left:0;margin-top:91.4pt;width:575.3pt;height:58.65pt;z-index:251678208;mso-position-horizontal:absolute;mso-position-vertical:absolute;mso-position-vertical-relative:page" coordsize="2448,248" path="m2448,56hdc1822,1,929,,,248e" filled="f" fillcolor="#fffffe [rgb(255,255,254) ink(6,255)]" strokecolor="white [3212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80" style="position:absolute;margin-left:0;margin-top:100.15pt;width:575.3pt;height:63.6pt;z-index:251677184;mso-position-horizontal:absolute;mso-position-vertical:absolute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79" style="position:absolute;margin-left:0;margin-top:104.65pt;width:575.3pt;height:53.2pt;z-index:251676160;mso-position-horizontal:absolute;mso-position-vertical:absolute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78" style="position:absolute;margin-left:139.5pt;margin-top:18pt;width:436.5pt;height:116.6pt;z-index:251675136;mso-position-horizontal:absolute;mso-position-vertical:absolute;mso-position-vertical-relative:page" coordsize="1944,493" path="m,hdc,493,,493,,493,736,359,1422,369,1944,417,1944,,1944,,1944,hal,hdxe" fillcolor="#008a3e" stroked="f" strokecolor="#212120 [rgb(33,33,32) cmyk(0,0,0,100)]" o:cliptowrap="t">
            <v:fill color2="#5a5a5a [2109]" rotate="t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83" style="position:absolute;margin-left:0;margin-top:109.35pt;width:575.3pt;height:58.65pt;z-index:251680256;mso-position-horizontal:absolute;mso-position-vertical:absolute;mso-position-vertical-relative:page" coordsize="2448,248" path="m,248hdc929,,1821,1,2448,55e" filled="f" fillcolor="#fffffe [rgb(255,255,254) ink(6,255)]" strokecolor="#d8d8d8 [2732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</w:rPr>
        <w:pict>
          <v:shape id="_x0000_s1082" style="position:absolute;margin-left:0;margin-top:100.15pt;width:575.3pt;height:58.15pt;z-index:251679232;mso-position-horizontal:absolute;mso-position-vertical:absolute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830AEE"/>
    <w:p w:rsidR="00830AEE" w:rsidRPr="00830AEE" w:rsidRDefault="00830AEE" w:rsidP="004F139E">
      <w:pPr>
        <w:ind w:left="2880"/>
      </w:pPr>
    </w:p>
    <w:p w:rsid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b/>
          <w:color w:val="676767"/>
          <w:sz w:val="22"/>
          <w:szCs w:val="22"/>
        </w:rPr>
      </w:pPr>
      <w:r w:rsidRPr="00235B10">
        <w:rPr>
          <w:rFonts w:ascii="Arial" w:hAnsi="Arial" w:cs="Arial"/>
          <w:b/>
          <w:color w:val="676767"/>
          <w:sz w:val="22"/>
          <w:szCs w:val="22"/>
        </w:rPr>
        <w:t xml:space="preserve">Actuarial Services for </w:t>
      </w:r>
      <w:proofErr w:type="spellStart"/>
      <w:r w:rsidRPr="00235B10">
        <w:rPr>
          <w:rFonts w:ascii="Arial" w:hAnsi="Arial" w:cs="Arial"/>
          <w:b/>
          <w:color w:val="676767"/>
          <w:sz w:val="22"/>
          <w:szCs w:val="22"/>
        </w:rPr>
        <w:t>Assurex</w:t>
      </w:r>
      <w:proofErr w:type="spellEnd"/>
      <w:r w:rsidRPr="00235B10">
        <w:rPr>
          <w:rFonts w:ascii="Arial" w:hAnsi="Arial" w:cs="Arial"/>
          <w:b/>
          <w:color w:val="676767"/>
          <w:sz w:val="22"/>
          <w:szCs w:val="22"/>
        </w:rPr>
        <w:t xml:space="preserve"> Global Member Firms</w:t>
      </w:r>
    </w:p>
    <w:p w:rsidR="00A60748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noProof/>
          <w:color w:val="676767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2002155</wp:posOffset>
            </wp:positionH>
            <wp:positionV relativeFrom="page">
              <wp:posOffset>2257425</wp:posOffset>
            </wp:positionV>
            <wp:extent cx="2609215" cy="1743075"/>
            <wp:effectExtent l="19050" t="0" r="635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b\My Documents\My Pictures\Microsoft Clip Organizer\j041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748">
        <w:rPr>
          <w:rFonts w:ascii="Arial" w:hAnsi="Arial" w:cs="Arial"/>
          <w:color w:val="676767"/>
        </w:rPr>
        <w:t xml:space="preserve">Health insurance brokers and consultants are often asked to assist with actuarial analysis projects of their employer clients.  The Affordable Care Act (ACA) has increased the need for these services.  </w:t>
      </w:r>
    </w:p>
    <w:p w:rsidR="00A60748" w:rsidRDefault="00A60748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</w:p>
    <w:p w:rsidR="00A60748" w:rsidRDefault="00A60748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Whether it is calculating a plan</w:t>
      </w:r>
      <w:r w:rsidR="00994AC0">
        <w:rPr>
          <w:rFonts w:ascii="Arial" w:hAnsi="Arial" w:cs="Arial"/>
          <w:color w:val="676767"/>
        </w:rPr>
        <w:t>’</w:t>
      </w:r>
      <w:r>
        <w:rPr>
          <w:rFonts w:ascii="Arial" w:hAnsi="Arial" w:cs="Arial"/>
          <w:color w:val="676767"/>
        </w:rPr>
        <w:t>s</w:t>
      </w:r>
      <w:r w:rsidR="00F234E7">
        <w:rPr>
          <w:rFonts w:ascii="Arial" w:hAnsi="Arial" w:cs="Arial"/>
          <w:color w:val="676767"/>
        </w:rPr>
        <w:t xml:space="preserve"> value</w:t>
      </w:r>
      <w:r>
        <w:rPr>
          <w:rFonts w:ascii="Arial" w:hAnsi="Arial" w:cs="Arial"/>
          <w:color w:val="676767"/>
        </w:rPr>
        <w:t xml:space="preserve"> to </w:t>
      </w:r>
      <w:r w:rsidR="00994AC0">
        <w:rPr>
          <w:rFonts w:ascii="Arial" w:hAnsi="Arial" w:cs="Arial"/>
          <w:color w:val="676767"/>
        </w:rPr>
        <w:t>en</w:t>
      </w:r>
      <w:r>
        <w:rPr>
          <w:rFonts w:ascii="Arial" w:hAnsi="Arial" w:cs="Arial"/>
          <w:color w:val="676767"/>
        </w:rPr>
        <w:t xml:space="preserve">sure it meets the ACA minimum value requirements, or </w:t>
      </w:r>
      <w:r w:rsidR="001566CD">
        <w:rPr>
          <w:rFonts w:ascii="Arial" w:hAnsi="Arial" w:cs="Arial"/>
          <w:color w:val="676767"/>
        </w:rPr>
        <w:t>analyzing</w:t>
      </w:r>
      <w:r>
        <w:rPr>
          <w:rFonts w:ascii="Arial" w:hAnsi="Arial" w:cs="Arial"/>
          <w:color w:val="676767"/>
        </w:rPr>
        <w:t xml:space="preserve"> the viability of moving a fully insured plan to self-funding, actuaria</w:t>
      </w:r>
      <w:r w:rsidR="001566CD">
        <w:rPr>
          <w:rFonts w:ascii="Arial" w:hAnsi="Arial" w:cs="Arial"/>
          <w:color w:val="676767"/>
        </w:rPr>
        <w:t>l support is more important tha</w:t>
      </w:r>
      <w:r>
        <w:rPr>
          <w:rFonts w:ascii="Arial" w:hAnsi="Arial" w:cs="Arial"/>
          <w:color w:val="676767"/>
        </w:rPr>
        <w:t>n ever</w:t>
      </w:r>
      <w:r w:rsidR="00994AC0">
        <w:rPr>
          <w:rFonts w:ascii="Arial" w:hAnsi="Arial" w:cs="Arial"/>
          <w:color w:val="676767"/>
        </w:rPr>
        <w:t>.</w:t>
      </w:r>
      <w:r>
        <w:rPr>
          <w:rFonts w:ascii="Arial" w:hAnsi="Arial" w:cs="Arial"/>
          <w:color w:val="676767"/>
        </w:rPr>
        <w:t xml:space="preserve"> </w:t>
      </w:r>
    </w:p>
    <w:p w:rsidR="00A60748" w:rsidRDefault="00A60748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</w:p>
    <w:p w:rsidR="00A60748" w:rsidRDefault="00A60748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 xml:space="preserve">Benefit Comply has partnered with Mary </w:t>
      </w:r>
      <w:proofErr w:type="spellStart"/>
      <w:r>
        <w:rPr>
          <w:rFonts w:ascii="Arial" w:hAnsi="Arial" w:cs="Arial"/>
          <w:color w:val="676767"/>
        </w:rPr>
        <w:t>Ratelle</w:t>
      </w:r>
      <w:proofErr w:type="spellEnd"/>
      <w:r>
        <w:rPr>
          <w:rFonts w:ascii="Arial" w:hAnsi="Arial" w:cs="Arial"/>
          <w:color w:val="676767"/>
        </w:rPr>
        <w:t xml:space="preserve"> of </w:t>
      </w:r>
      <w:r w:rsidRPr="00A60748">
        <w:rPr>
          <w:rFonts w:ascii="Arial" w:hAnsi="Arial" w:cs="Arial"/>
          <w:color w:val="676767"/>
        </w:rPr>
        <w:t>Heath Risk Strategies</w:t>
      </w:r>
      <w:r w:rsidR="001566CD">
        <w:rPr>
          <w:rFonts w:ascii="Arial" w:hAnsi="Arial" w:cs="Arial"/>
          <w:color w:val="676767"/>
        </w:rPr>
        <w:t>,</w:t>
      </w:r>
      <w:r>
        <w:rPr>
          <w:rFonts w:ascii="Arial" w:hAnsi="Arial" w:cs="Arial"/>
          <w:color w:val="676767"/>
        </w:rPr>
        <w:t xml:space="preserve"> an experienced actuarial consulting firm</w:t>
      </w:r>
      <w:r w:rsidR="00994AC0">
        <w:rPr>
          <w:rFonts w:ascii="Arial" w:hAnsi="Arial" w:cs="Arial"/>
          <w:color w:val="676767"/>
        </w:rPr>
        <w:t>,</w:t>
      </w:r>
      <w:r>
        <w:rPr>
          <w:rFonts w:ascii="Arial" w:hAnsi="Arial" w:cs="Arial"/>
          <w:color w:val="676767"/>
        </w:rPr>
        <w:t xml:space="preserve"> to provide comprehensive actuarial </w:t>
      </w:r>
      <w:r w:rsidRPr="00A60748">
        <w:rPr>
          <w:rFonts w:ascii="Arial" w:hAnsi="Arial" w:cs="Arial"/>
          <w:color w:val="676767"/>
        </w:rPr>
        <w:t xml:space="preserve">services to </w:t>
      </w:r>
      <w:proofErr w:type="spellStart"/>
      <w:r w:rsidR="00235B10">
        <w:rPr>
          <w:rFonts w:ascii="Arial" w:hAnsi="Arial" w:cs="Arial"/>
          <w:color w:val="676767"/>
        </w:rPr>
        <w:t>Assurex</w:t>
      </w:r>
      <w:proofErr w:type="spellEnd"/>
      <w:r w:rsidR="00235B10">
        <w:rPr>
          <w:rFonts w:ascii="Arial" w:hAnsi="Arial" w:cs="Arial"/>
          <w:color w:val="676767"/>
        </w:rPr>
        <w:t xml:space="preserve"> Global partner firms. M</w:t>
      </w:r>
      <w:r w:rsidR="00235B10" w:rsidRPr="00235B10">
        <w:rPr>
          <w:rFonts w:ascii="Arial" w:hAnsi="Arial" w:cs="Arial"/>
          <w:color w:val="676767"/>
        </w:rPr>
        <w:t>ary is a Fellow of The Society of Actuaries</w:t>
      </w:r>
      <w:r w:rsidR="00235B10">
        <w:rPr>
          <w:rFonts w:ascii="Arial" w:hAnsi="Arial" w:cs="Arial"/>
          <w:color w:val="676767"/>
        </w:rPr>
        <w:t xml:space="preserve"> (FSA)</w:t>
      </w:r>
      <w:r w:rsidR="00235B10" w:rsidRPr="00235B10">
        <w:rPr>
          <w:rFonts w:ascii="Arial" w:hAnsi="Arial" w:cs="Arial"/>
          <w:color w:val="676767"/>
        </w:rPr>
        <w:t xml:space="preserve">, the highest designation of the largest </w:t>
      </w:r>
      <w:r w:rsidR="00235B10">
        <w:rPr>
          <w:rFonts w:ascii="Arial" w:hAnsi="Arial" w:cs="Arial"/>
          <w:color w:val="676767"/>
        </w:rPr>
        <w:t xml:space="preserve">actuarial </w:t>
      </w:r>
      <w:r w:rsidR="00235B10" w:rsidRPr="00235B10">
        <w:rPr>
          <w:rFonts w:ascii="Arial" w:hAnsi="Arial" w:cs="Arial"/>
          <w:color w:val="676767"/>
        </w:rPr>
        <w:t>professional organization</w:t>
      </w:r>
      <w:r w:rsidR="00235B10">
        <w:rPr>
          <w:rFonts w:ascii="Arial" w:hAnsi="Arial" w:cs="Arial"/>
          <w:color w:val="676767"/>
        </w:rPr>
        <w:t xml:space="preserve">. </w:t>
      </w:r>
    </w:p>
    <w:p w:rsid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</w:p>
    <w:p w:rsidR="00235B10" w:rsidRP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b/>
          <w:color w:val="676767"/>
          <w:sz w:val="22"/>
          <w:szCs w:val="22"/>
        </w:rPr>
      </w:pPr>
      <w:r w:rsidRPr="00235B10">
        <w:rPr>
          <w:rFonts w:ascii="Arial" w:hAnsi="Arial" w:cs="Arial"/>
          <w:b/>
          <w:color w:val="676767"/>
          <w:sz w:val="22"/>
          <w:szCs w:val="22"/>
        </w:rPr>
        <w:t>Preferred Pricing</w:t>
      </w:r>
    </w:p>
    <w:p w:rsid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  <w:proofErr w:type="spellStart"/>
      <w:r>
        <w:rPr>
          <w:rFonts w:ascii="Arial" w:hAnsi="Arial" w:cs="Arial"/>
          <w:color w:val="676767"/>
        </w:rPr>
        <w:t>Assurex</w:t>
      </w:r>
      <w:proofErr w:type="spellEnd"/>
      <w:r>
        <w:rPr>
          <w:rFonts w:ascii="Arial" w:hAnsi="Arial" w:cs="Arial"/>
          <w:color w:val="676767"/>
        </w:rPr>
        <w:t xml:space="preserve"> Global member firms receive special preferred pricing on all actuarial services provided th</w:t>
      </w:r>
      <w:r w:rsidR="00510CD2">
        <w:rPr>
          <w:rFonts w:ascii="Arial" w:hAnsi="Arial" w:cs="Arial"/>
          <w:color w:val="676767"/>
        </w:rPr>
        <w:t>r</w:t>
      </w:r>
      <w:bookmarkStart w:id="0" w:name="_GoBack"/>
      <w:bookmarkEnd w:id="0"/>
      <w:r>
        <w:rPr>
          <w:rFonts w:ascii="Arial" w:hAnsi="Arial" w:cs="Arial"/>
          <w:color w:val="676767"/>
        </w:rPr>
        <w:t>ough Benefit Comply</w:t>
      </w:r>
      <w:r w:rsidR="00994AC0">
        <w:rPr>
          <w:rFonts w:ascii="Arial" w:hAnsi="Arial" w:cs="Arial"/>
          <w:color w:val="676767"/>
        </w:rPr>
        <w:t>,</w:t>
      </w:r>
      <w:r>
        <w:rPr>
          <w:rFonts w:ascii="Arial" w:hAnsi="Arial" w:cs="Arial"/>
          <w:color w:val="676767"/>
        </w:rPr>
        <w:t xml:space="preserve"> and fees are generally significantly below </w:t>
      </w:r>
      <w:r w:rsidR="00994AC0">
        <w:rPr>
          <w:rFonts w:ascii="Arial" w:hAnsi="Arial" w:cs="Arial"/>
          <w:color w:val="676767"/>
        </w:rPr>
        <w:t>those charged for</w:t>
      </w:r>
      <w:r>
        <w:rPr>
          <w:rFonts w:ascii="Arial" w:hAnsi="Arial" w:cs="Arial"/>
          <w:color w:val="676767"/>
        </w:rPr>
        <w:t xml:space="preserve"> similar services </w:t>
      </w:r>
      <w:r w:rsidR="00994AC0">
        <w:rPr>
          <w:rFonts w:ascii="Arial" w:hAnsi="Arial" w:cs="Arial"/>
          <w:color w:val="676767"/>
        </w:rPr>
        <w:t>by</w:t>
      </w:r>
      <w:r>
        <w:rPr>
          <w:rFonts w:ascii="Arial" w:hAnsi="Arial" w:cs="Arial"/>
          <w:color w:val="676767"/>
        </w:rPr>
        <w:t xml:space="preserve"> national actuarial firms.</w:t>
      </w:r>
    </w:p>
    <w:p w:rsid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color w:val="676767"/>
        </w:rPr>
      </w:pPr>
    </w:p>
    <w:p w:rsidR="00235B10" w:rsidRPr="00235B10" w:rsidRDefault="00235B10" w:rsidP="00A60748">
      <w:pPr>
        <w:spacing w:line="360" w:lineRule="auto"/>
        <w:ind w:left="3168" w:right="144"/>
        <w:jc w:val="both"/>
        <w:rPr>
          <w:rFonts w:ascii="Arial" w:hAnsi="Arial" w:cs="Arial"/>
          <w:b/>
          <w:color w:val="676767"/>
          <w:sz w:val="22"/>
          <w:szCs w:val="22"/>
        </w:rPr>
      </w:pPr>
      <w:r w:rsidRPr="00235B10">
        <w:rPr>
          <w:rFonts w:ascii="Arial" w:hAnsi="Arial" w:cs="Arial"/>
          <w:b/>
          <w:color w:val="676767"/>
          <w:sz w:val="22"/>
          <w:szCs w:val="22"/>
        </w:rPr>
        <w:t>Services Provided</w:t>
      </w:r>
    </w:p>
    <w:p w:rsidR="001566CD" w:rsidRDefault="001566CD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 xml:space="preserve">ACA Minimum Value Certification 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Benefit Plan Design and Strategies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Trend Reporting and Actual to Expected Analysis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Funding and Contribution Strategies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Retiree Medical Strategies and Valuations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Medicare RDS Attestation of Actuarial Equivalence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Creditable Coverage Evaluation</w:t>
      </w:r>
    </w:p>
    <w:p w:rsidR="00A60748" w:rsidRPr="001566CD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Hea</w:t>
      </w:r>
      <w:r w:rsidR="001566CD" w:rsidRPr="001566CD">
        <w:rPr>
          <w:rFonts w:ascii="Arial" w:hAnsi="Arial" w:cs="Arial"/>
          <w:color w:val="676767"/>
        </w:rPr>
        <w:t>lth Plan/Insurer/TPA/</w:t>
      </w:r>
      <w:r w:rsidRPr="001566CD">
        <w:rPr>
          <w:rFonts w:ascii="Arial" w:hAnsi="Arial" w:cs="Arial"/>
          <w:color w:val="676767"/>
        </w:rPr>
        <w:t>PBM and Other Vendor Rate Negotiation &amp; Strategy</w:t>
      </w:r>
    </w:p>
    <w:p w:rsidR="00335F64" w:rsidRDefault="00A60748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1566CD">
        <w:rPr>
          <w:rFonts w:ascii="Arial" w:hAnsi="Arial" w:cs="Arial"/>
          <w:color w:val="676767"/>
        </w:rPr>
        <w:t>Self-Insurance Strategy &amp; Stop Loss Analysis</w:t>
      </w:r>
    </w:p>
    <w:p w:rsidR="001566CD" w:rsidRDefault="00235B10" w:rsidP="00EF4B45">
      <w:pPr>
        <w:pStyle w:val="ListParagraph"/>
        <w:numPr>
          <w:ilvl w:val="0"/>
          <w:numId w:val="5"/>
        </w:numPr>
        <w:spacing w:line="300" w:lineRule="auto"/>
        <w:ind w:left="4032" w:right="144" w:hanging="432"/>
        <w:jc w:val="both"/>
        <w:rPr>
          <w:rFonts w:ascii="Arial" w:hAnsi="Arial" w:cs="Arial"/>
          <w:color w:val="676767"/>
        </w:rPr>
      </w:pPr>
      <w:r w:rsidRPr="00235B10">
        <w:rPr>
          <w:rFonts w:ascii="Arial" w:hAnsi="Arial" w:cs="Arial"/>
          <w:color w:val="676767"/>
        </w:rPr>
        <w:t>Other General Actuarial Consulting</w:t>
      </w:r>
    </w:p>
    <w:p w:rsidR="00EF4B45" w:rsidRDefault="00EF4B45" w:rsidP="00EF4B45">
      <w:pPr>
        <w:spacing w:line="360" w:lineRule="auto"/>
        <w:ind w:left="3600" w:right="144"/>
        <w:jc w:val="both"/>
        <w:rPr>
          <w:rFonts w:ascii="Arial" w:hAnsi="Arial" w:cs="Arial"/>
          <w:color w:val="676767"/>
        </w:rPr>
      </w:pPr>
    </w:p>
    <w:p w:rsidR="00EF4B45" w:rsidRDefault="00EF4B45" w:rsidP="00EF4B45">
      <w:pPr>
        <w:spacing w:line="360" w:lineRule="auto"/>
        <w:ind w:left="2880" w:right="144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 xml:space="preserve">     </w:t>
      </w:r>
    </w:p>
    <w:p w:rsidR="00EF4B45" w:rsidRPr="00EF4B45" w:rsidRDefault="00EF4B45" w:rsidP="00EF4B45">
      <w:pPr>
        <w:spacing w:line="360" w:lineRule="auto"/>
        <w:ind w:left="2880" w:right="144"/>
        <w:jc w:val="both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 xml:space="preserve">        For more information contact Lori </w:t>
      </w:r>
      <w:proofErr w:type="spellStart"/>
      <w:r>
        <w:rPr>
          <w:rFonts w:ascii="Arial" w:hAnsi="Arial" w:cs="Arial"/>
          <w:color w:val="676767"/>
        </w:rPr>
        <w:t>Moorse</w:t>
      </w:r>
      <w:proofErr w:type="spellEnd"/>
      <w:r>
        <w:rPr>
          <w:rFonts w:ascii="Arial" w:hAnsi="Arial" w:cs="Arial"/>
          <w:color w:val="676767"/>
        </w:rPr>
        <w:t xml:space="preserve"> at lmoorse@benefitcomply.com</w:t>
      </w:r>
    </w:p>
    <w:sectPr w:rsidR="00EF4B45" w:rsidRPr="00EF4B45" w:rsidSect="00C86787">
      <w:footerReference w:type="default" r:id="rId10"/>
      <w:pgSz w:w="12240" w:h="15840" w:code="1"/>
      <w:pgMar w:top="360" w:right="432" w:bottom="850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58" w:rsidRDefault="00AC0658" w:rsidP="0016058D">
      <w:r>
        <w:separator/>
      </w:r>
    </w:p>
  </w:endnote>
  <w:endnote w:type="continuationSeparator" w:id="0">
    <w:p w:rsidR="00AC0658" w:rsidRDefault="00AC0658" w:rsidP="001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8D" w:rsidRDefault="0016058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58" w:rsidRDefault="00AC0658" w:rsidP="0016058D">
      <w:r>
        <w:separator/>
      </w:r>
    </w:p>
  </w:footnote>
  <w:footnote w:type="continuationSeparator" w:id="0">
    <w:p w:rsidR="00AC0658" w:rsidRDefault="00AC0658" w:rsidP="0016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8C"/>
    <w:multiLevelType w:val="hybridMultilevel"/>
    <w:tmpl w:val="AFF00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62137"/>
    <w:multiLevelType w:val="hybridMultilevel"/>
    <w:tmpl w:val="F27C1760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2">
    <w:nsid w:val="520C636B"/>
    <w:multiLevelType w:val="hybridMultilevel"/>
    <w:tmpl w:val="937C6706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3">
    <w:nsid w:val="6F804BA9"/>
    <w:multiLevelType w:val="hybridMultilevel"/>
    <w:tmpl w:val="FE940128"/>
    <w:lvl w:ilvl="0" w:tplc="9FBEA400">
      <w:numFmt w:val="bullet"/>
      <w:lvlText w:val="•"/>
      <w:lvlJc w:val="left"/>
      <w:pPr>
        <w:ind w:left="403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37C2B51"/>
    <w:multiLevelType w:val="hybridMultilevel"/>
    <w:tmpl w:val="1EAAB3C6"/>
    <w:lvl w:ilvl="0" w:tplc="04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279"/>
    <w:rsid w:val="00052220"/>
    <w:rsid w:val="0006492B"/>
    <w:rsid w:val="00082FB9"/>
    <w:rsid w:val="000830C0"/>
    <w:rsid w:val="00090C6A"/>
    <w:rsid w:val="000D247E"/>
    <w:rsid w:val="001005C7"/>
    <w:rsid w:val="00104EC0"/>
    <w:rsid w:val="0011098D"/>
    <w:rsid w:val="00114C4E"/>
    <w:rsid w:val="00117A40"/>
    <w:rsid w:val="00122AE8"/>
    <w:rsid w:val="001566CD"/>
    <w:rsid w:val="0016058D"/>
    <w:rsid w:val="00194B1B"/>
    <w:rsid w:val="001B1B09"/>
    <w:rsid w:val="001B326D"/>
    <w:rsid w:val="001C7A11"/>
    <w:rsid w:val="00235B10"/>
    <w:rsid w:val="00317BDC"/>
    <w:rsid w:val="00333C62"/>
    <w:rsid w:val="00335F64"/>
    <w:rsid w:val="00346704"/>
    <w:rsid w:val="00354279"/>
    <w:rsid w:val="00380339"/>
    <w:rsid w:val="00387A59"/>
    <w:rsid w:val="003B7DE5"/>
    <w:rsid w:val="003E22D0"/>
    <w:rsid w:val="00410BFC"/>
    <w:rsid w:val="00424989"/>
    <w:rsid w:val="004F139E"/>
    <w:rsid w:val="00510CD2"/>
    <w:rsid w:val="005737DD"/>
    <w:rsid w:val="005F70E4"/>
    <w:rsid w:val="00606D3B"/>
    <w:rsid w:val="00645891"/>
    <w:rsid w:val="006A0AC8"/>
    <w:rsid w:val="006F00FC"/>
    <w:rsid w:val="006F48C6"/>
    <w:rsid w:val="0074302C"/>
    <w:rsid w:val="00786D16"/>
    <w:rsid w:val="008020D5"/>
    <w:rsid w:val="00830AEE"/>
    <w:rsid w:val="00847535"/>
    <w:rsid w:val="00847E0F"/>
    <w:rsid w:val="008537D4"/>
    <w:rsid w:val="008629E5"/>
    <w:rsid w:val="008C68C5"/>
    <w:rsid w:val="00904EDB"/>
    <w:rsid w:val="009878A3"/>
    <w:rsid w:val="00994AC0"/>
    <w:rsid w:val="009B1F02"/>
    <w:rsid w:val="009D3589"/>
    <w:rsid w:val="00A26FDB"/>
    <w:rsid w:val="00A60748"/>
    <w:rsid w:val="00AB7515"/>
    <w:rsid w:val="00AC0658"/>
    <w:rsid w:val="00AF4D40"/>
    <w:rsid w:val="00B024DE"/>
    <w:rsid w:val="00B126BA"/>
    <w:rsid w:val="00B443C3"/>
    <w:rsid w:val="00B5726A"/>
    <w:rsid w:val="00BD1EF8"/>
    <w:rsid w:val="00C30745"/>
    <w:rsid w:val="00C5131A"/>
    <w:rsid w:val="00C6594B"/>
    <w:rsid w:val="00C86787"/>
    <w:rsid w:val="00CB2782"/>
    <w:rsid w:val="00CE746C"/>
    <w:rsid w:val="00D408E7"/>
    <w:rsid w:val="00D54506"/>
    <w:rsid w:val="00D950A8"/>
    <w:rsid w:val="00DF7BB0"/>
    <w:rsid w:val="00E34408"/>
    <w:rsid w:val="00E57BAA"/>
    <w:rsid w:val="00E637F1"/>
    <w:rsid w:val="00E65CBA"/>
    <w:rsid w:val="00E9700F"/>
    <w:rsid w:val="00EA15D3"/>
    <w:rsid w:val="00EB2462"/>
    <w:rsid w:val="00EF4B45"/>
    <w:rsid w:val="00F234E7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style="mso-position-vertical-relative:page" fillcolor="#e43b2f [rgb(228,59,47) cmyk(1.18,95.3,97.6,0)]" stroke="f" strokecolor="#212120 [rgb(33,33,32) cmyk(0,0,0,100)]">
      <v:fill color="#e43b2f [rgb(228,59,47) cmyk(1.18,95.3,97.6,0)]" color2="#ef792f [rgb(239,121,47) cmyk(0,63.1,98,0)]" rotate="t" focus="100%" type="gradient"/>
      <v:stroke color="#212120 [rgb(33,33,32) cmyk(0,0,0,100)]" color2="#fffffe [rgb(255,255,254) ink(6,255)]" on="f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AC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F64"/>
    <w:pPr>
      <w:ind w:left="720"/>
      <w:contextualSpacing/>
    </w:pPr>
  </w:style>
  <w:style w:type="paragraph" w:styleId="Header">
    <w:name w:val="header"/>
    <w:basedOn w:val="Normal"/>
    <w:link w:val="HeaderChar"/>
    <w:rsid w:val="0016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58D"/>
    <w:rPr>
      <w:color w:val="212120"/>
      <w:kern w:val="28"/>
    </w:rPr>
  </w:style>
  <w:style w:type="paragraph" w:styleId="Footer">
    <w:name w:val="footer"/>
    <w:basedOn w:val="Normal"/>
    <w:link w:val="FooterChar"/>
    <w:rsid w:val="0016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58D"/>
    <w:rPr>
      <w:color w:val="212120"/>
      <w:kern w:val="28"/>
    </w:rPr>
  </w:style>
  <w:style w:type="character" w:styleId="CommentReference">
    <w:name w:val="annotation reference"/>
    <w:basedOn w:val="DefaultParagraphFont"/>
    <w:rsid w:val="00994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AC0"/>
  </w:style>
  <w:style w:type="character" w:customStyle="1" w:styleId="CommentTextChar">
    <w:name w:val="Comment Text Char"/>
    <w:basedOn w:val="DefaultParagraphFont"/>
    <w:link w:val="CommentText"/>
    <w:rsid w:val="00994AC0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9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AC0"/>
    <w:rPr>
      <w:b/>
      <w:bCs/>
      <w:color w:val="212120"/>
      <w:kern w:val="28"/>
    </w:rPr>
  </w:style>
  <w:style w:type="paragraph" w:styleId="Revision">
    <w:name w:val="Revision"/>
    <w:hidden/>
    <w:uiPriority w:val="99"/>
    <w:semiHidden/>
    <w:rsid w:val="00F234E7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\Application%20Data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310B-4BB7-4730-8359-AFE6470E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Office Desktop</cp:lastModifiedBy>
  <cp:revision>2</cp:revision>
  <cp:lastPrinted>2013-02-25T20:27:00Z</cp:lastPrinted>
  <dcterms:created xsi:type="dcterms:W3CDTF">2013-02-25T20:29:00Z</dcterms:created>
  <dcterms:modified xsi:type="dcterms:W3CDTF">2013-02-25T20:29:00Z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