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B64" w:rsidRPr="00510B64" w:rsidRDefault="00510B64" w:rsidP="00510B64">
      <w:pPr>
        <w:pStyle w:val="Heading1"/>
      </w:pPr>
      <w:bookmarkStart w:id="0" w:name="_GoBack"/>
      <w:bookmarkEnd w:id="0"/>
    </w:p>
    <w:p w:rsidR="00510B64" w:rsidRDefault="00510B64" w:rsidP="00510B64">
      <w:pPr>
        <w:pStyle w:val="Heading2"/>
      </w:pPr>
    </w:p>
    <w:p w:rsidR="00510B64" w:rsidRDefault="00510B64" w:rsidP="00510B64"/>
    <w:p w:rsidR="00510B64" w:rsidRDefault="00510B64" w:rsidP="00510B64"/>
    <w:p w:rsidR="00510B64" w:rsidRDefault="00510B64" w:rsidP="00510B64"/>
    <w:p w:rsidR="00510B64" w:rsidRPr="00510B64" w:rsidRDefault="00510B64" w:rsidP="00510B64"/>
    <w:p w:rsidR="00362B9B" w:rsidRDefault="00362B9B" w:rsidP="00510B64">
      <w:pPr>
        <w:pStyle w:val="Heading2"/>
        <w:rPr>
          <w:sz w:val="40"/>
          <w:szCs w:val="40"/>
        </w:rPr>
      </w:pPr>
    </w:p>
    <w:p w:rsidR="00362B9B" w:rsidRDefault="00362B9B" w:rsidP="00510B64">
      <w:pPr>
        <w:pStyle w:val="Heading2"/>
        <w:rPr>
          <w:sz w:val="40"/>
          <w:szCs w:val="40"/>
        </w:rPr>
      </w:pPr>
    </w:p>
    <w:p w:rsidR="00A14E5C" w:rsidRDefault="00A14E5C" w:rsidP="00A14E5C"/>
    <w:p w:rsidR="00A14E5C" w:rsidRDefault="00A14E5C" w:rsidP="00A14E5C"/>
    <w:p w:rsidR="00A14E5C" w:rsidRPr="00A14E5C" w:rsidRDefault="00A14E5C" w:rsidP="00A14E5C"/>
    <w:p w:rsidR="00A14E5C" w:rsidRDefault="00510B64" w:rsidP="00510B64">
      <w:pPr>
        <w:pStyle w:val="Heading2"/>
        <w:rPr>
          <w:sz w:val="44"/>
          <w:szCs w:val="44"/>
        </w:rPr>
      </w:pPr>
      <w:r w:rsidRPr="00956301">
        <w:rPr>
          <w:sz w:val="44"/>
          <w:szCs w:val="44"/>
        </w:rPr>
        <w:t xml:space="preserve">Health Reform Employer </w:t>
      </w:r>
      <w:r w:rsidR="00A14E5C">
        <w:rPr>
          <w:sz w:val="44"/>
          <w:szCs w:val="44"/>
        </w:rPr>
        <w:t>Impact Analysis</w:t>
      </w:r>
    </w:p>
    <w:p w:rsidR="00A14E5C" w:rsidRDefault="00A14E5C" w:rsidP="00510B64">
      <w:pPr>
        <w:pStyle w:val="Heading2"/>
        <w:rPr>
          <w:sz w:val="44"/>
          <w:szCs w:val="44"/>
        </w:rPr>
      </w:pPr>
    </w:p>
    <w:p w:rsidR="009E3837" w:rsidRPr="009E3837" w:rsidRDefault="009E3837" w:rsidP="009E3837"/>
    <w:p w:rsidR="00A14E5C" w:rsidRPr="00A14E5C" w:rsidRDefault="00A14E5C" w:rsidP="00510B64">
      <w:pPr>
        <w:pStyle w:val="Heading2"/>
        <w:rPr>
          <w:sz w:val="28"/>
          <w:szCs w:val="28"/>
        </w:rPr>
      </w:pPr>
      <w:r w:rsidRPr="00A14E5C">
        <w:rPr>
          <w:sz w:val="28"/>
          <w:szCs w:val="28"/>
        </w:rPr>
        <w:t>Prepared for</w:t>
      </w:r>
    </w:p>
    <w:p w:rsidR="00535CF4" w:rsidRDefault="00D23232" w:rsidP="00510B64">
      <w:pPr>
        <w:pStyle w:val="Heading2"/>
        <w:rPr>
          <w:sz w:val="44"/>
          <w:szCs w:val="44"/>
        </w:rPr>
      </w:pPr>
      <w:r>
        <w:rPr>
          <w:sz w:val="44"/>
          <w:szCs w:val="44"/>
        </w:rPr>
        <w:t>Sample Employer</w:t>
      </w:r>
    </w:p>
    <w:p w:rsidR="00362B9B" w:rsidRDefault="00221B46" w:rsidP="00510B64">
      <w:pPr>
        <w:pStyle w:val="Heading2"/>
      </w:pPr>
      <w:r>
        <w:t>Date</w:t>
      </w: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Default="00362B9B" w:rsidP="00510B64">
      <w:pPr>
        <w:pStyle w:val="Heading2"/>
      </w:pPr>
    </w:p>
    <w:p w:rsidR="00362B9B" w:rsidRPr="00362B9B" w:rsidRDefault="00362B9B" w:rsidP="00362B9B"/>
    <w:p w:rsidR="00362B9B" w:rsidRDefault="00362B9B" w:rsidP="00362B9B">
      <w:pPr>
        <w:pStyle w:val="Heading2"/>
        <w:spacing w:before="0"/>
        <w:jc w:val="right"/>
      </w:pPr>
    </w:p>
    <w:p w:rsidR="00362B9B" w:rsidRDefault="00362B9B" w:rsidP="00362B9B">
      <w:pPr>
        <w:pStyle w:val="Heading2"/>
        <w:spacing w:before="0"/>
        <w:jc w:val="right"/>
      </w:pPr>
    </w:p>
    <w:p w:rsidR="00A14E5C" w:rsidRPr="00A14E5C" w:rsidRDefault="00A14E5C" w:rsidP="00A14E5C"/>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362B9B" w:rsidRDefault="00362B9B" w:rsidP="00362B9B">
      <w:pPr>
        <w:pStyle w:val="Heading2"/>
        <w:spacing w:before="0"/>
        <w:jc w:val="right"/>
      </w:pPr>
    </w:p>
    <w:p w:rsidR="00221B46" w:rsidRDefault="00221B46" w:rsidP="00362B9B">
      <w:pPr>
        <w:pStyle w:val="Heading2"/>
        <w:spacing w:before="0"/>
        <w:jc w:val="right"/>
      </w:pPr>
    </w:p>
    <w:p w:rsidR="00221B46" w:rsidRDefault="00221B46" w:rsidP="00362B9B">
      <w:pPr>
        <w:pStyle w:val="Heading2"/>
        <w:spacing w:before="0"/>
        <w:jc w:val="right"/>
      </w:pPr>
    </w:p>
    <w:p w:rsidR="00221B46" w:rsidRDefault="00221B46" w:rsidP="00362B9B">
      <w:pPr>
        <w:pStyle w:val="Heading2"/>
        <w:spacing w:before="0"/>
        <w:jc w:val="right"/>
      </w:pPr>
    </w:p>
    <w:p w:rsidR="00B6090B" w:rsidRPr="00BD2CDE" w:rsidRDefault="00DD5F34" w:rsidP="00362B9B">
      <w:pPr>
        <w:pStyle w:val="Heading2"/>
        <w:spacing w:before="0"/>
        <w:rPr>
          <w:sz w:val="28"/>
          <w:szCs w:val="28"/>
        </w:rPr>
      </w:pPr>
      <w:r w:rsidRPr="00510B64">
        <w:br w:type="page"/>
      </w:r>
      <w:r w:rsidR="00510B64" w:rsidRPr="00BD2CDE">
        <w:rPr>
          <w:sz w:val="28"/>
          <w:szCs w:val="28"/>
        </w:rPr>
        <w:lastRenderedPageBreak/>
        <w:t xml:space="preserve">Health Reform </w:t>
      </w:r>
      <w:r w:rsidRPr="00BD2CDE">
        <w:rPr>
          <w:sz w:val="28"/>
          <w:szCs w:val="28"/>
        </w:rPr>
        <w:t xml:space="preserve">Employer </w:t>
      </w:r>
      <w:r w:rsidR="00A14E5C" w:rsidRPr="00BD2CDE">
        <w:rPr>
          <w:sz w:val="28"/>
          <w:szCs w:val="28"/>
        </w:rPr>
        <w:t>Impact Analysis</w:t>
      </w:r>
    </w:p>
    <w:p w:rsidR="00BF767D" w:rsidRDefault="00BF767D" w:rsidP="00510B64">
      <w:pPr>
        <w:pStyle w:val="Heading2"/>
        <w:rPr>
          <w:color w:val="0070C0"/>
        </w:rPr>
      </w:pPr>
    </w:p>
    <w:p w:rsidR="00103145" w:rsidRPr="00221B46" w:rsidRDefault="00103145" w:rsidP="00510B64">
      <w:pPr>
        <w:pStyle w:val="Heading2"/>
        <w:rPr>
          <w:color w:val="0070C0"/>
        </w:rPr>
      </w:pPr>
      <w:r w:rsidRPr="00221B46">
        <w:rPr>
          <w:color w:val="0070C0"/>
        </w:rPr>
        <w:t>Overview</w:t>
      </w:r>
    </w:p>
    <w:p w:rsidR="00C26009" w:rsidRDefault="00C26009">
      <w:pPr>
        <w:rPr>
          <w:rFonts w:asciiTheme="minorHAnsi" w:hAnsiTheme="minorHAnsi"/>
        </w:rPr>
      </w:pPr>
    </w:p>
    <w:p w:rsidR="00D23232" w:rsidRDefault="0069644D">
      <w:pPr>
        <w:rPr>
          <w:rFonts w:asciiTheme="minorHAnsi" w:hAnsiTheme="minorHAnsi"/>
        </w:rPr>
      </w:pPr>
      <w:r w:rsidRPr="00486A01">
        <w:rPr>
          <w:rFonts w:asciiTheme="minorHAnsi" w:hAnsiTheme="minorHAnsi"/>
        </w:rPr>
        <w:t xml:space="preserve">Beginning </w:t>
      </w:r>
      <w:r w:rsidR="00E55C59" w:rsidRPr="00486A01">
        <w:rPr>
          <w:rFonts w:asciiTheme="minorHAnsi" w:hAnsiTheme="minorHAnsi"/>
        </w:rPr>
        <w:t>i</w:t>
      </w:r>
      <w:r w:rsidRPr="00486A01">
        <w:rPr>
          <w:rFonts w:asciiTheme="minorHAnsi" w:hAnsiTheme="minorHAnsi"/>
        </w:rPr>
        <w:t>n 2014</w:t>
      </w:r>
      <w:r w:rsidR="00DF75A6">
        <w:rPr>
          <w:rFonts w:asciiTheme="minorHAnsi" w:hAnsiTheme="minorHAnsi"/>
        </w:rPr>
        <w:t xml:space="preserve">, </w:t>
      </w:r>
      <w:r w:rsidRPr="00486A01">
        <w:rPr>
          <w:rFonts w:asciiTheme="minorHAnsi" w:hAnsiTheme="minorHAnsi"/>
        </w:rPr>
        <w:t>a</w:t>
      </w:r>
      <w:r w:rsidR="00103145" w:rsidRPr="00486A01">
        <w:rPr>
          <w:rFonts w:asciiTheme="minorHAnsi" w:hAnsiTheme="minorHAnsi"/>
        </w:rPr>
        <w:t xml:space="preserve">n “applicable large employer” </w:t>
      </w:r>
      <w:r w:rsidR="00FF74D1">
        <w:rPr>
          <w:rFonts w:asciiTheme="minorHAnsi" w:hAnsiTheme="minorHAnsi"/>
        </w:rPr>
        <w:t>become</w:t>
      </w:r>
      <w:r w:rsidR="00DF75A6">
        <w:rPr>
          <w:rFonts w:asciiTheme="minorHAnsi" w:hAnsiTheme="minorHAnsi"/>
        </w:rPr>
        <w:t>s</w:t>
      </w:r>
      <w:r w:rsidR="00FF74D1">
        <w:rPr>
          <w:rFonts w:asciiTheme="minorHAnsi" w:hAnsiTheme="minorHAnsi"/>
        </w:rPr>
        <w:t xml:space="preserve"> subject to what are referred to as the “shared responsibility rules</w:t>
      </w:r>
      <w:r w:rsidR="00FB37E3">
        <w:rPr>
          <w:rFonts w:asciiTheme="minorHAnsi" w:hAnsiTheme="minorHAnsi"/>
        </w:rPr>
        <w:t>,</w:t>
      </w:r>
      <w:r w:rsidR="00FF74D1">
        <w:rPr>
          <w:rFonts w:asciiTheme="minorHAnsi" w:hAnsiTheme="minorHAnsi"/>
        </w:rPr>
        <w:t>”</w:t>
      </w:r>
      <w:r w:rsidR="00D23232">
        <w:rPr>
          <w:rFonts w:asciiTheme="minorHAnsi" w:hAnsiTheme="minorHAnsi"/>
        </w:rPr>
        <w:t xml:space="preserve"> also often referred to as the “play or pay” rules.  Generally an employer must have </w:t>
      </w:r>
      <w:r w:rsidR="00FB37E3">
        <w:rPr>
          <w:rFonts w:asciiTheme="minorHAnsi" w:hAnsiTheme="minorHAnsi"/>
        </w:rPr>
        <w:t xml:space="preserve">had </w:t>
      </w:r>
      <w:r w:rsidR="00D23232">
        <w:rPr>
          <w:rFonts w:asciiTheme="minorHAnsi" w:hAnsiTheme="minorHAnsi"/>
        </w:rPr>
        <w:t>at least 50 full</w:t>
      </w:r>
      <w:r w:rsidR="00FB37E3">
        <w:rPr>
          <w:rFonts w:asciiTheme="minorHAnsi" w:hAnsiTheme="minorHAnsi"/>
        </w:rPr>
        <w:t>-</w:t>
      </w:r>
      <w:r w:rsidR="00D23232">
        <w:rPr>
          <w:rFonts w:asciiTheme="minorHAnsi" w:hAnsiTheme="minorHAnsi"/>
        </w:rPr>
        <w:t>time equivalent employees in the previous calendar year to be subject to these rules.</w:t>
      </w:r>
      <w:r w:rsidR="00326EF8">
        <w:rPr>
          <w:rFonts w:asciiTheme="minorHAnsi" w:hAnsiTheme="minorHAnsi"/>
        </w:rPr>
        <w:t xml:space="preserve">  </w:t>
      </w:r>
    </w:p>
    <w:p w:rsidR="00D23232" w:rsidRDefault="00D23232">
      <w:pPr>
        <w:rPr>
          <w:rFonts w:asciiTheme="minorHAnsi" w:hAnsiTheme="minorHAnsi"/>
        </w:rPr>
      </w:pPr>
    </w:p>
    <w:p w:rsidR="00A14E5C" w:rsidRDefault="00326EF8">
      <w:pPr>
        <w:rPr>
          <w:rFonts w:asciiTheme="minorHAnsi" w:hAnsiTheme="minorHAnsi"/>
        </w:rPr>
      </w:pPr>
      <w:r>
        <w:rPr>
          <w:rFonts w:asciiTheme="minorHAnsi" w:hAnsiTheme="minorHAnsi"/>
        </w:rPr>
        <w:t xml:space="preserve">Under </w:t>
      </w:r>
      <w:r w:rsidR="00F1789A">
        <w:rPr>
          <w:rFonts w:asciiTheme="minorHAnsi" w:hAnsiTheme="minorHAnsi"/>
        </w:rPr>
        <w:t>the</w:t>
      </w:r>
      <w:r>
        <w:rPr>
          <w:rFonts w:asciiTheme="minorHAnsi" w:hAnsiTheme="minorHAnsi"/>
        </w:rPr>
        <w:t xml:space="preserve"> </w:t>
      </w:r>
      <w:r w:rsidR="00D23232">
        <w:rPr>
          <w:rFonts w:asciiTheme="minorHAnsi" w:hAnsiTheme="minorHAnsi"/>
        </w:rPr>
        <w:t xml:space="preserve">shared responsibility </w:t>
      </w:r>
      <w:r>
        <w:rPr>
          <w:rFonts w:asciiTheme="minorHAnsi" w:hAnsiTheme="minorHAnsi"/>
        </w:rPr>
        <w:t>rules</w:t>
      </w:r>
      <w:r w:rsidR="00FB37E3">
        <w:rPr>
          <w:rFonts w:asciiTheme="minorHAnsi" w:hAnsiTheme="minorHAnsi"/>
        </w:rPr>
        <w:t>,</w:t>
      </w:r>
      <w:r>
        <w:rPr>
          <w:rFonts w:asciiTheme="minorHAnsi" w:hAnsiTheme="minorHAnsi"/>
        </w:rPr>
        <w:t xml:space="preserve"> an employer may</w:t>
      </w:r>
      <w:r w:rsidR="00D23232">
        <w:rPr>
          <w:rFonts w:asciiTheme="minorHAnsi" w:hAnsiTheme="minorHAnsi"/>
        </w:rPr>
        <w:t xml:space="preserve"> be liable for an “assessable payment” (</w:t>
      </w:r>
      <w:r>
        <w:rPr>
          <w:rFonts w:asciiTheme="minorHAnsi" w:hAnsiTheme="minorHAnsi"/>
        </w:rPr>
        <w:t>penalty</w:t>
      </w:r>
      <w:r w:rsidR="00D23232">
        <w:rPr>
          <w:rFonts w:asciiTheme="minorHAnsi" w:hAnsiTheme="minorHAnsi"/>
        </w:rPr>
        <w:t>)</w:t>
      </w:r>
      <w:r>
        <w:rPr>
          <w:rFonts w:asciiTheme="minorHAnsi" w:hAnsiTheme="minorHAnsi"/>
        </w:rPr>
        <w:t xml:space="preserve"> if </w:t>
      </w:r>
      <w:r w:rsidR="00103145" w:rsidRPr="00486A01">
        <w:rPr>
          <w:rFonts w:asciiTheme="minorHAnsi" w:hAnsiTheme="minorHAnsi"/>
        </w:rPr>
        <w:t xml:space="preserve">at least one of its full-time </w:t>
      </w:r>
      <w:r w:rsidR="00387678">
        <w:rPr>
          <w:rFonts w:asciiTheme="minorHAnsi" w:hAnsiTheme="minorHAnsi"/>
        </w:rPr>
        <w:t>employee</w:t>
      </w:r>
      <w:r w:rsidR="00DF75A6">
        <w:rPr>
          <w:rFonts w:asciiTheme="minorHAnsi" w:hAnsiTheme="minorHAnsi"/>
        </w:rPr>
        <w:t>s</w:t>
      </w:r>
      <w:r w:rsidR="008F2B56">
        <w:rPr>
          <w:rFonts w:asciiTheme="minorHAnsi" w:hAnsiTheme="minorHAnsi"/>
        </w:rPr>
        <w:t xml:space="preserve"> </w:t>
      </w:r>
      <w:r w:rsidR="008F2B56" w:rsidRPr="00486A01">
        <w:rPr>
          <w:rFonts w:asciiTheme="minorHAnsi" w:hAnsiTheme="minorHAnsi"/>
        </w:rPr>
        <w:t>purchases</w:t>
      </w:r>
      <w:r w:rsidR="00103145" w:rsidRPr="00486A01">
        <w:rPr>
          <w:rFonts w:asciiTheme="minorHAnsi" w:hAnsiTheme="minorHAnsi"/>
        </w:rPr>
        <w:t xml:space="preserve"> coverage th</w:t>
      </w:r>
      <w:r w:rsidR="00E55C59" w:rsidRPr="00486A01">
        <w:rPr>
          <w:rFonts w:asciiTheme="minorHAnsi" w:hAnsiTheme="minorHAnsi"/>
        </w:rPr>
        <w:t>r</w:t>
      </w:r>
      <w:r w:rsidR="001D3EEC">
        <w:rPr>
          <w:rFonts w:asciiTheme="minorHAnsi" w:hAnsiTheme="minorHAnsi"/>
        </w:rPr>
        <w:t>ough an e</w:t>
      </w:r>
      <w:r w:rsidR="00103145" w:rsidRPr="00486A01">
        <w:rPr>
          <w:rFonts w:asciiTheme="minorHAnsi" w:hAnsiTheme="minorHAnsi"/>
        </w:rPr>
        <w:t xml:space="preserve">xchange </w:t>
      </w:r>
      <w:r w:rsidR="00103145" w:rsidRPr="00326EF8">
        <w:rPr>
          <w:rFonts w:asciiTheme="minorHAnsi" w:hAnsiTheme="minorHAnsi"/>
          <w:u w:val="single"/>
        </w:rPr>
        <w:t>and</w:t>
      </w:r>
      <w:r w:rsidR="00103145" w:rsidRPr="00486A01">
        <w:rPr>
          <w:rFonts w:asciiTheme="minorHAnsi" w:hAnsiTheme="minorHAnsi"/>
        </w:rPr>
        <w:t xml:space="preserve"> qualifies for a premium tax cred</w:t>
      </w:r>
      <w:r w:rsidR="003963F0" w:rsidRPr="00486A01">
        <w:rPr>
          <w:rFonts w:asciiTheme="minorHAnsi" w:hAnsiTheme="minorHAnsi"/>
        </w:rPr>
        <w:t>it or cost sharing reduction</w:t>
      </w:r>
      <w:r w:rsidR="001931BB" w:rsidRPr="00486A01">
        <w:rPr>
          <w:rFonts w:asciiTheme="minorHAnsi" w:hAnsiTheme="minorHAnsi"/>
        </w:rPr>
        <w:t xml:space="preserve"> (referred to as a subsidy for the rest of this </w:t>
      </w:r>
      <w:r>
        <w:rPr>
          <w:rFonts w:asciiTheme="minorHAnsi" w:hAnsiTheme="minorHAnsi"/>
        </w:rPr>
        <w:t>report</w:t>
      </w:r>
      <w:r w:rsidR="001931BB" w:rsidRPr="00486A01">
        <w:rPr>
          <w:rFonts w:asciiTheme="minorHAnsi" w:hAnsiTheme="minorHAnsi"/>
        </w:rPr>
        <w:t>)</w:t>
      </w:r>
      <w:r w:rsidR="003963F0" w:rsidRPr="00486A01">
        <w:rPr>
          <w:rFonts w:asciiTheme="minorHAnsi" w:hAnsiTheme="minorHAnsi"/>
        </w:rPr>
        <w:t xml:space="preserve">.  </w:t>
      </w:r>
      <w:r w:rsidR="00F1789A">
        <w:rPr>
          <w:rFonts w:asciiTheme="minorHAnsi" w:hAnsiTheme="minorHAnsi"/>
        </w:rPr>
        <w:t>F</w:t>
      </w:r>
      <w:r w:rsidR="00A14E5C">
        <w:rPr>
          <w:rFonts w:asciiTheme="minorHAnsi" w:hAnsiTheme="minorHAnsi"/>
        </w:rPr>
        <w:t xml:space="preserve">ull-time employees are </w:t>
      </w:r>
      <w:r w:rsidR="00D23232">
        <w:rPr>
          <w:rFonts w:asciiTheme="minorHAnsi" w:hAnsiTheme="minorHAnsi"/>
        </w:rPr>
        <w:t xml:space="preserve">generally </w:t>
      </w:r>
      <w:r w:rsidR="00A14E5C">
        <w:rPr>
          <w:rFonts w:asciiTheme="minorHAnsi" w:hAnsiTheme="minorHAnsi"/>
        </w:rPr>
        <w:t xml:space="preserve">defined as those working </w:t>
      </w:r>
      <w:r w:rsidR="00D23232">
        <w:rPr>
          <w:rFonts w:asciiTheme="minorHAnsi" w:hAnsiTheme="minorHAnsi"/>
        </w:rPr>
        <w:t xml:space="preserve">an average of at least </w:t>
      </w:r>
      <w:r w:rsidR="00A14E5C">
        <w:rPr>
          <w:rFonts w:asciiTheme="minorHAnsi" w:hAnsiTheme="minorHAnsi"/>
        </w:rPr>
        <w:t>30 hour</w:t>
      </w:r>
      <w:r w:rsidR="00676D07">
        <w:rPr>
          <w:rFonts w:asciiTheme="minorHAnsi" w:hAnsiTheme="minorHAnsi"/>
        </w:rPr>
        <w:t>s</w:t>
      </w:r>
      <w:r w:rsidR="00D23232">
        <w:rPr>
          <w:rFonts w:asciiTheme="minorHAnsi" w:hAnsiTheme="minorHAnsi"/>
        </w:rPr>
        <w:t xml:space="preserve"> </w:t>
      </w:r>
      <w:r w:rsidR="00A14E5C">
        <w:rPr>
          <w:rFonts w:asciiTheme="minorHAnsi" w:hAnsiTheme="minorHAnsi"/>
        </w:rPr>
        <w:t>per week</w:t>
      </w:r>
      <w:r w:rsidR="00D23232">
        <w:rPr>
          <w:rFonts w:asciiTheme="minorHAnsi" w:hAnsiTheme="minorHAnsi"/>
        </w:rPr>
        <w:t>, or 130 hours per month</w:t>
      </w:r>
      <w:r w:rsidR="00A14E5C">
        <w:rPr>
          <w:rFonts w:asciiTheme="minorHAnsi" w:hAnsiTheme="minorHAnsi"/>
        </w:rPr>
        <w:t>.</w:t>
      </w:r>
    </w:p>
    <w:p w:rsidR="00A14E5C" w:rsidRDefault="00A14E5C">
      <w:pPr>
        <w:rPr>
          <w:rFonts w:asciiTheme="minorHAnsi" w:hAnsiTheme="minorHAnsi"/>
        </w:rPr>
      </w:pPr>
    </w:p>
    <w:p w:rsidR="00326EF8" w:rsidRDefault="008E00A6">
      <w:pPr>
        <w:rPr>
          <w:rFonts w:asciiTheme="minorHAnsi" w:hAnsiTheme="minorHAnsi"/>
        </w:rPr>
      </w:pPr>
      <w:r>
        <w:rPr>
          <w:rFonts w:asciiTheme="minorHAnsi" w:hAnsiTheme="minorHAnsi"/>
        </w:rPr>
        <w:t>In</w:t>
      </w:r>
      <w:r w:rsidR="00D23232">
        <w:rPr>
          <w:rFonts w:asciiTheme="minorHAnsi" w:hAnsiTheme="minorHAnsi"/>
        </w:rPr>
        <w:t>dividual</w:t>
      </w:r>
      <w:r>
        <w:rPr>
          <w:rFonts w:asciiTheme="minorHAnsi" w:hAnsiTheme="minorHAnsi"/>
        </w:rPr>
        <w:t xml:space="preserve">s with household income up to 400% of </w:t>
      </w:r>
      <w:r w:rsidR="00103145" w:rsidRPr="00486A01">
        <w:rPr>
          <w:rFonts w:asciiTheme="minorHAnsi" w:hAnsiTheme="minorHAnsi"/>
        </w:rPr>
        <w:t xml:space="preserve">the federal poverty level </w:t>
      </w:r>
      <w:r w:rsidR="00F94EBB" w:rsidRPr="00486A01">
        <w:rPr>
          <w:rFonts w:asciiTheme="minorHAnsi" w:hAnsiTheme="minorHAnsi"/>
        </w:rPr>
        <w:t>(FPL)</w:t>
      </w:r>
      <w:r>
        <w:rPr>
          <w:rFonts w:asciiTheme="minorHAnsi" w:hAnsiTheme="minorHAnsi"/>
        </w:rPr>
        <w:t xml:space="preserve"> may be eligible for subsidized individual health insurance coverage when purchased through a public exchange</w:t>
      </w:r>
      <w:r w:rsidR="009A33DE">
        <w:rPr>
          <w:rFonts w:asciiTheme="minorHAnsi" w:hAnsiTheme="minorHAnsi"/>
        </w:rPr>
        <w:t xml:space="preserve">. </w:t>
      </w:r>
      <w:r>
        <w:rPr>
          <w:rFonts w:asciiTheme="minorHAnsi" w:hAnsiTheme="minorHAnsi"/>
        </w:rPr>
        <w:t xml:space="preserve">However, an </w:t>
      </w:r>
      <w:r w:rsidR="001D3EEC">
        <w:rPr>
          <w:rFonts w:asciiTheme="minorHAnsi" w:hAnsiTheme="minorHAnsi"/>
        </w:rPr>
        <w:t xml:space="preserve">individual </w:t>
      </w:r>
      <w:r>
        <w:rPr>
          <w:rFonts w:asciiTheme="minorHAnsi" w:hAnsiTheme="minorHAnsi"/>
        </w:rPr>
        <w:t xml:space="preserve">is ineligible for subsidized coverage if </w:t>
      </w:r>
      <w:r w:rsidR="00FB37E3">
        <w:rPr>
          <w:rFonts w:asciiTheme="minorHAnsi" w:hAnsiTheme="minorHAnsi"/>
        </w:rPr>
        <w:t>the individual is</w:t>
      </w:r>
      <w:r>
        <w:rPr>
          <w:rFonts w:asciiTheme="minorHAnsi" w:hAnsiTheme="minorHAnsi"/>
        </w:rPr>
        <w:t xml:space="preserve"> </w:t>
      </w:r>
      <w:r w:rsidR="001D3EEC">
        <w:rPr>
          <w:rFonts w:asciiTheme="minorHAnsi" w:hAnsiTheme="minorHAnsi"/>
        </w:rPr>
        <w:t>eligible for employer</w:t>
      </w:r>
      <w:r w:rsidR="00FB37E3">
        <w:rPr>
          <w:rFonts w:asciiTheme="minorHAnsi" w:hAnsiTheme="minorHAnsi"/>
        </w:rPr>
        <w:t>-</w:t>
      </w:r>
      <w:r w:rsidR="001D3EEC">
        <w:rPr>
          <w:rFonts w:asciiTheme="minorHAnsi" w:hAnsiTheme="minorHAnsi"/>
        </w:rPr>
        <w:t>sponsored</w:t>
      </w:r>
      <w:r>
        <w:rPr>
          <w:rFonts w:asciiTheme="minorHAnsi" w:hAnsiTheme="minorHAnsi"/>
        </w:rPr>
        <w:t xml:space="preserve"> “affordable”</w:t>
      </w:r>
      <w:r w:rsidR="001D3EEC">
        <w:rPr>
          <w:rFonts w:asciiTheme="minorHAnsi" w:hAnsiTheme="minorHAnsi"/>
        </w:rPr>
        <w:t xml:space="preserve"> </w:t>
      </w:r>
      <w:r w:rsidR="003963F0" w:rsidRPr="00486A01">
        <w:rPr>
          <w:rFonts w:asciiTheme="minorHAnsi" w:hAnsiTheme="minorHAnsi"/>
        </w:rPr>
        <w:t>“minimum essential coverage</w:t>
      </w:r>
      <w:r w:rsidR="00FB37E3">
        <w:rPr>
          <w:rFonts w:asciiTheme="minorHAnsi" w:hAnsiTheme="minorHAnsi"/>
        </w:rPr>
        <w:t>.</w:t>
      </w:r>
      <w:r w:rsidR="003963F0" w:rsidRPr="00486A01">
        <w:rPr>
          <w:rFonts w:asciiTheme="minorHAnsi" w:hAnsiTheme="minorHAnsi"/>
        </w:rPr>
        <w:t>”</w:t>
      </w:r>
      <w:r>
        <w:rPr>
          <w:rFonts w:asciiTheme="minorHAnsi" w:hAnsiTheme="minorHAnsi"/>
        </w:rPr>
        <w:t xml:space="preserve"> </w:t>
      </w:r>
      <w:r w:rsidR="00F94EBB" w:rsidRPr="00486A01">
        <w:rPr>
          <w:rFonts w:asciiTheme="minorHAnsi" w:hAnsiTheme="minorHAnsi"/>
        </w:rPr>
        <w:t xml:space="preserve">These </w:t>
      </w:r>
      <w:r w:rsidR="008F2B56">
        <w:rPr>
          <w:rFonts w:asciiTheme="minorHAnsi" w:hAnsiTheme="minorHAnsi"/>
        </w:rPr>
        <w:t>cr</w:t>
      </w:r>
      <w:r w:rsidR="00F94EBB" w:rsidRPr="00486A01">
        <w:rPr>
          <w:rFonts w:asciiTheme="minorHAnsi" w:hAnsiTheme="minorHAnsi"/>
        </w:rPr>
        <w:t xml:space="preserve">iteria are explained in more detail below.  </w:t>
      </w:r>
    </w:p>
    <w:p w:rsidR="00326EF8" w:rsidRDefault="00326EF8">
      <w:pPr>
        <w:rPr>
          <w:rFonts w:asciiTheme="minorHAnsi" w:hAnsiTheme="minorHAnsi"/>
        </w:rPr>
      </w:pPr>
    </w:p>
    <w:p w:rsidR="00103145" w:rsidRDefault="00326EF8">
      <w:pPr>
        <w:rPr>
          <w:rFonts w:asciiTheme="minorHAnsi" w:hAnsiTheme="minorHAnsi"/>
        </w:rPr>
      </w:pPr>
      <w:r>
        <w:rPr>
          <w:rFonts w:asciiTheme="minorHAnsi" w:hAnsiTheme="minorHAnsi"/>
        </w:rPr>
        <w:t xml:space="preserve">Note: </w:t>
      </w:r>
      <w:r w:rsidR="003963F0" w:rsidRPr="00486A01">
        <w:rPr>
          <w:rFonts w:asciiTheme="minorHAnsi" w:hAnsiTheme="minorHAnsi"/>
        </w:rPr>
        <w:t xml:space="preserve">The penalty structure is </w:t>
      </w:r>
      <w:r w:rsidR="008F2654" w:rsidRPr="00486A01">
        <w:rPr>
          <w:rFonts w:asciiTheme="minorHAnsi" w:hAnsiTheme="minorHAnsi"/>
        </w:rPr>
        <w:t xml:space="preserve">significantly </w:t>
      </w:r>
      <w:r w:rsidR="00676D07" w:rsidRPr="00486A01">
        <w:rPr>
          <w:rFonts w:asciiTheme="minorHAnsi" w:hAnsiTheme="minorHAnsi"/>
        </w:rPr>
        <w:t>different</w:t>
      </w:r>
      <w:r w:rsidR="00676D07">
        <w:rPr>
          <w:rFonts w:asciiTheme="minorHAnsi" w:hAnsiTheme="minorHAnsi"/>
        </w:rPr>
        <w:t xml:space="preserve"> </w:t>
      </w:r>
      <w:r w:rsidR="00676D07" w:rsidRPr="00486A01">
        <w:rPr>
          <w:rFonts w:asciiTheme="minorHAnsi" w:hAnsiTheme="minorHAnsi"/>
        </w:rPr>
        <w:t>for</w:t>
      </w:r>
      <w:r w:rsidR="003963F0" w:rsidRPr="00486A01">
        <w:rPr>
          <w:rFonts w:asciiTheme="minorHAnsi" w:hAnsiTheme="minorHAnsi"/>
        </w:rPr>
        <w:t xml:space="preserve"> employers who offer </w:t>
      </w:r>
      <w:r w:rsidR="00F1789A">
        <w:rPr>
          <w:rFonts w:asciiTheme="minorHAnsi" w:hAnsiTheme="minorHAnsi"/>
        </w:rPr>
        <w:t xml:space="preserve">minimum essential </w:t>
      </w:r>
      <w:r w:rsidR="003963F0" w:rsidRPr="00486A01">
        <w:rPr>
          <w:rFonts w:asciiTheme="minorHAnsi" w:hAnsiTheme="minorHAnsi"/>
        </w:rPr>
        <w:t>coverage</w:t>
      </w:r>
      <w:r w:rsidR="008E00A6">
        <w:rPr>
          <w:rFonts w:asciiTheme="minorHAnsi" w:hAnsiTheme="minorHAnsi"/>
        </w:rPr>
        <w:t xml:space="preserve"> </w:t>
      </w:r>
      <w:r w:rsidR="003963F0" w:rsidRPr="00486A01">
        <w:rPr>
          <w:rFonts w:asciiTheme="minorHAnsi" w:hAnsiTheme="minorHAnsi"/>
        </w:rPr>
        <w:t>to all full-time employees tha</w:t>
      </w:r>
      <w:r w:rsidR="00E55C59" w:rsidRPr="00486A01">
        <w:rPr>
          <w:rFonts w:asciiTheme="minorHAnsi" w:hAnsiTheme="minorHAnsi"/>
        </w:rPr>
        <w:t>n</w:t>
      </w:r>
      <w:r w:rsidR="003963F0" w:rsidRPr="00486A01">
        <w:rPr>
          <w:rFonts w:asciiTheme="minorHAnsi" w:hAnsiTheme="minorHAnsi"/>
        </w:rPr>
        <w:t xml:space="preserve"> </w:t>
      </w:r>
      <w:r w:rsidR="001D3EEC">
        <w:rPr>
          <w:rFonts w:asciiTheme="minorHAnsi" w:hAnsiTheme="minorHAnsi"/>
        </w:rPr>
        <w:t xml:space="preserve">that which </w:t>
      </w:r>
      <w:r>
        <w:rPr>
          <w:rFonts w:asciiTheme="minorHAnsi" w:hAnsiTheme="minorHAnsi"/>
        </w:rPr>
        <w:t xml:space="preserve">will apply if an employer decides not to offer </w:t>
      </w:r>
      <w:r w:rsidR="00F1789A">
        <w:rPr>
          <w:rFonts w:asciiTheme="minorHAnsi" w:hAnsiTheme="minorHAnsi"/>
        </w:rPr>
        <w:t xml:space="preserve">MEC </w:t>
      </w:r>
      <w:r>
        <w:rPr>
          <w:rFonts w:asciiTheme="minorHAnsi" w:hAnsiTheme="minorHAnsi"/>
        </w:rPr>
        <w:t>coverage. This report estimates and compares the estimated cost impact of both types of penalties.</w:t>
      </w:r>
    </w:p>
    <w:p w:rsidR="00E32395" w:rsidRDefault="00E32395" w:rsidP="00BB43DA">
      <w:pPr>
        <w:rPr>
          <w:rFonts w:asciiTheme="minorHAnsi" w:hAnsiTheme="minorHAnsi"/>
        </w:rPr>
      </w:pPr>
    </w:p>
    <w:p w:rsidR="00991739" w:rsidRPr="00326EF8" w:rsidRDefault="00991739" w:rsidP="00991739">
      <w:pPr>
        <w:rPr>
          <w:b/>
          <w:color w:val="0070C0"/>
          <w:sz w:val="24"/>
          <w:szCs w:val="24"/>
        </w:rPr>
      </w:pPr>
      <w:r w:rsidRPr="00326EF8">
        <w:rPr>
          <w:b/>
          <w:color w:val="0070C0"/>
          <w:sz w:val="24"/>
          <w:szCs w:val="24"/>
        </w:rPr>
        <w:t>Minimum Essential Coverage</w:t>
      </w:r>
      <w:r>
        <w:rPr>
          <w:b/>
          <w:color w:val="0070C0"/>
          <w:sz w:val="24"/>
          <w:szCs w:val="24"/>
        </w:rPr>
        <w:t xml:space="preserve"> (MEC) and Minimum Value (MV)</w:t>
      </w:r>
    </w:p>
    <w:p w:rsidR="00C26009" w:rsidRDefault="00C26009" w:rsidP="00BB43DA">
      <w:pPr>
        <w:rPr>
          <w:rFonts w:asciiTheme="minorHAnsi" w:hAnsiTheme="minorHAnsi"/>
        </w:rPr>
      </w:pPr>
    </w:p>
    <w:p w:rsidR="00991739" w:rsidRPr="00486A01" w:rsidRDefault="003643D9" w:rsidP="00BB43DA">
      <w:pPr>
        <w:rPr>
          <w:rFonts w:asciiTheme="minorHAnsi" w:hAnsiTheme="minorHAnsi"/>
        </w:rPr>
      </w:pPr>
      <w:r>
        <w:rPr>
          <w:rFonts w:asciiTheme="minorHAnsi" w:hAnsiTheme="minorHAnsi"/>
        </w:rPr>
        <w:t>Employee subsidies</w:t>
      </w:r>
      <w:r w:rsidR="00D23232">
        <w:rPr>
          <w:rFonts w:asciiTheme="minorHAnsi" w:hAnsiTheme="minorHAnsi"/>
        </w:rPr>
        <w:t>,</w:t>
      </w:r>
      <w:r>
        <w:rPr>
          <w:rFonts w:asciiTheme="minorHAnsi" w:hAnsiTheme="minorHAnsi"/>
        </w:rPr>
        <w:t xml:space="preserve"> and employer penalties</w:t>
      </w:r>
      <w:r w:rsidR="00D23232">
        <w:rPr>
          <w:rFonts w:asciiTheme="minorHAnsi" w:hAnsiTheme="minorHAnsi"/>
        </w:rPr>
        <w:t>,</w:t>
      </w:r>
      <w:r>
        <w:rPr>
          <w:rFonts w:asciiTheme="minorHAnsi" w:hAnsiTheme="minorHAnsi"/>
        </w:rPr>
        <w:t xml:space="preserve"> described below are dependent in par</w:t>
      </w:r>
      <w:r w:rsidR="00D23232">
        <w:rPr>
          <w:rFonts w:asciiTheme="minorHAnsi" w:hAnsiTheme="minorHAnsi"/>
        </w:rPr>
        <w:t>t on the type and value of the health plan</w:t>
      </w:r>
      <w:r>
        <w:rPr>
          <w:rFonts w:asciiTheme="minorHAnsi" w:hAnsiTheme="minorHAnsi"/>
        </w:rPr>
        <w:t xml:space="preserve"> offered by employers to their employees. </w:t>
      </w:r>
      <w:r w:rsidR="008E00A6">
        <w:rPr>
          <w:rFonts w:asciiTheme="minorHAnsi" w:hAnsiTheme="minorHAnsi"/>
        </w:rPr>
        <w:t>To avoid the possibility of paying a penalty</w:t>
      </w:r>
      <w:r w:rsidR="00FB37E3">
        <w:rPr>
          <w:rFonts w:asciiTheme="minorHAnsi" w:hAnsiTheme="minorHAnsi"/>
        </w:rPr>
        <w:t>,</w:t>
      </w:r>
      <w:r w:rsidR="008E00A6">
        <w:rPr>
          <w:rFonts w:asciiTheme="minorHAnsi" w:hAnsiTheme="minorHAnsi"/>
        </w:rPr>
        <w:t xml:space="preserve"> an employer must offer minimum essential coverage (MEC) with a defined m</w:t>
      </w:r>
      <w:r>
        <w:rPr>
          <w:rFonts w:asciiTheme="minorHAnsi" w:hAnsiTheme="minorHAnsi"/>
        </w:rPr>
        <w:t>inimum value (MV)</w:t>
      </w:r>
      <w:r w:rsidR="008E00A6">
        <w:rPr>
          <w:rFonts w:asciiTheme="minorHAnsi" w:hAnsiTheme="minorHAnsi"/>
        </w:rPr>
        <w:t xml:space="preserve">.  An MV health plan </w:t>
      </w:r>
      <w:r w:rsidR="00991739">
        <w:rPr>
          <w:rFonts w:asciiTheme="minorHAnsi" w:hAnsiTheme="minorHAnsi"/>
        </w:rPr>
        <w:t xml:space="preserve">must have an actuarial value of at least 60%. </w:t>
      </w:r>
    </w:p>
    <w:p w:rsidR="00BB43DA" w:rsidRPr="00221B46" w:rsidRDefault="008F2654" w:rsidP="00510B64">
      <w:pPr>
        <w:pStyle w:val="Heading2"/>
        <w:rPr>
          <w:color w:val="0070C0"/>
        </w:rPr>
      </w:pPr>
      <w:r w:rsidRPr="00221B46">
        <w:rPr>
          <w:color w:val="0070C0"/>
        </w:rPr>
        <w:t>Employee Qualification for Subsidies</w:t>
      </w:r>
    </w:p>
    <w:p w:rsidR="00BF767D"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shd w:val="solid" w:color="FFFFFF" w:fill="FFFFFF"/>
        <w:jc w:val="center"/>
        <w:rPr>
          <w:b/>
          <w:sz w:val="18"/>
          <w:szCs w:val="18"/>
        </w:rPr>
      </w:pPr>
      <w:r>
        <w:rPr>
          <w:b/>
          <w:sz w:val="18"/>
          <w:szCs w:val="18"/>
        </w:rPr>
        <w:t>Table A</w:t>
      </w:r>
    </w:p>
    <w:p w:rsidR="00BF767D"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shd w:val="solid" w:color="FFFFFF" w:fill="FFFFFF"/>
        <w:jc w:val="center"/>
        <w:rPr>
          <w:b/>
          <w:sz w:val="18"/>
          <w:szCs w:val="18"/>
        </w:rPr>
      </w:pPr>
      <w:r>
        <w:rPr>
          <w:b/>
          <w:sz w:val="18"/>
          <w:szCs w:val="18"/>
        </w:rPr>
        <w:t xml:space="preserve">2012 </w:t>
      </w:r>
      <w:r w:rsidRPr="00B15B2C">
        <w:rPr>
          <w:b/>
          <w:sz w:val="18"/>
          <w:szCs w:val="18"/>
        </w:rPr>
        <w:t xml:space="preserve">400% of </w:t>
      </w:r>
    </w:p>
    <w:p w:rsidR="00BF767D" w:rsidRPr="00B15B2C"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shd w:val="solid" w:color="FFFFFF" w:fill="FFFFFF"/>
        <w:jc w:val="center"/>
        <w:rPr>
          <w:b/>
          <w:sz w:val="18"/>
          <w:szCs w:val="18"/>
        </w:rPr>
      </w:pPr>
      <w:r w:rsidRPr="00B15B2C">
        <w:rPr>
          <w:b/>
          <w:sz w:val="18"/>
          <w:szCs w:val="18"/>
        </w:rPr>
        <w:t>Federal Poverty Level</w:t>
      </w:r>
    </w:p>
    <w:p w:rsidR="00BF767D" w:rsidRPr="00885565"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shd w:val="solid" w:color="FFFFFF" w:fill="FFFFFF"/>
        <w:rPr>
          <w:sz w:val="18"/>
          <w:szCs w:val="18"/>
        </w:rPr>
      </w:pPr>
      <w:r>
        <w:rPr>
          <w:sz w:val="18"/>
          <w:szCs w:val="18"/>
        </w:rPr>
        <w:t>Household Size</w:t>
      </w:r>
      <w:r>
        <w:rPr>
          <w:sz w:val="18"/>
          <w:szCs w:val="18"/>
        </w:rPr>
        <w:tab/>
      </w:r>
    </w:p>
    <w:p w:rsidR="00BF767D" w:rsidRPr="00917C4B"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rPr>
          <w:sz w:val="18"/>
          <w:szCs w:val="18"/>
        </w:rPr>
      </w:pPr>
      <w:r w:rsidRPr="00917C4B">
        <w:rPr>
          <w:sz w:val="18"/>
          <w:szCs w:val="18"/>
        </w:rPr>
        <w:t>1</w:t>
      </w:r>
      <w:r w:rsidRPr="00917C4B">
        <w:rPr>
          <w:sz w:val="18"/>
          <w:szCs w:val="18"/>
        </w:rPr>
        <w:tab/>
      </w:r>
      <w:r>
        <w:rPr>
          <w:sz w:val="18"/>
          <w:szCs w:val="18"/>
        </w:rPr>
        <w:t xml:space="preserve">  $</w:t>
      </w:r>
      <w:r w:rsidRPr="00917C4B">
        <w:rPr>
          <w:sz w:val="18"/>
          <w:szCs w:val="18"/>
        </w:rPr>
        <w:t>44</w:t>
      </w:r>
      <w:r>
        <w:rPr>
          <w:sz w:val="18"/>
          <w:szCs w:val="18"/>
        </w:rPr>
        <w:t>,</w:t>
      </w:r>
      <w:r w:rsidRPr="00917C4B">
        <w:rPr>
          <w:sz w:val="18"/>
          <w:szCs w:val="18"/>
        </w:rPr>
        <w:t>680</w:t>
      </w:r>
    </w:p>
    <w:p w:rsidR="00BF767D" w:rsidRPr="00917C4B"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rPr>
          <w:sz w:val="18"/>
          <w:szCs w:val="18"/>
        </w:rPr>
      </w:pPr>
      <w:r w:rsidRPr="00917C4B">
        <w:rPr>
          <w:sz w:val="18"/>
          <w:szCs w:val="18"/>
        </w:rPr>
        <w:t>2</w:t>
      </w:r>
      <w:r w:rsidRPr="00917C4B">
        <w:rPr>
          <w:sz w:val="18"/>
          <w:szCs w:val="18"/>
        </w:rPr>
        <w:tab/>
      </w:r>
      <w:r>
        <w:rPr>
          <w:sz w:val="18"/>
          <w:szCs w:val="18"/>
        </w:rPr>
        <w:t xml:space="preserve">  $</w:t>
      </w:r>
      <w:r w:rsidRPr="00917C4B">
        <w:rPr>
          <w:sz w:val="18"/>
          <w:szCs w:val="18"/>
        </w:rPr>
        <w:t>60</w:t>
      </w:r>
      <w:r>
        <w:rPr>
          <w:sz w:val="18"/>
          <w:szCs w:val="18"/>
        </w:rPr>
        <w:t>,</w:t>
      </w:r>
      <w:r w:rsidRPr="00917C4B">
        <w:rPr>
          <w:sz w:val="18"/>
          <w:szCs w:val="18"/>
        </w:rPr>
        <w:t>520</w:t>
      </w:r>
    </w:p>
    <w:p w:rsidR="00BF767D" w:rsidRPr="00917C4B"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rPr>
          <w:sz w:val="18"/>
          <w:szCs w:val="18"/>
        </w:rPr>
      </w:pPr>
      <w:r w:rsidRPr="00917C4B">
        <w:rPr>
          <w:sz w:val="18"/>
          <w:szCs w:val="18"/>
        </w:rPr>
        <w:t>3</w:t>
      </w:r>
      <w:r w:rsidRPr="00917C4B">
        <w:rPr>
          <w:sz w:val="18"/>
          <w:szCs w:val="18"/>
        </w:rPr>
        <w:tab/>
      </w:r>
      <w:r>
        <w:rPr>
          <w:sz w:val="18"/>
          <w:szCs w:val="18"/>
        </w:rPr>
        <w:t xml:space="preserve">  $</w:t>
      </w:r>
      <w:r w:rsidRPr="00917C4B">
        <w:rPr>
          <w:sz w:val="18"/>
          <w:szCs w:val="18"/>
        </w:rPr>
        <w:t>76</w:t>
      </w:r>
      <w:r>
        <w:rPr>
          <w:sz w:val="18"/>
          <w:szCs w:val="18"/>
        </w:rPr>
        <w:t>,</w:t>
      </w:r>
      <w:r w:rsidRPr="00917C4B">
        <w:rPr>
          <w:sz w:val="18"/>
          <w:szCs w:val="18"/>
        </w:rPr>
        <w:t>360</w:t>
      </w:r>
    </w:p>
    <w:p w:rsidR="00BF767D" w:rsidRPr="00917C4B"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rPr>
          <w:sz w:val="18"/>
          <w:szCs w:val="18"/>
        </w:rPr>
      </w:pPr>
      <w:r w:rsidRPr="00917C4B">
        <w:rPr>
          <w:sz w:val="18"/>
          <w:szCs w:val="18"/>
        </w:rPr>
        <w:t>4</w:t>
      </w:r>
      <w:r w:rsidRPr="00917C4B">
        <w:rPr>
          <w:sz w:val="18"/>
          <w:szCs w:val="18"/>
        </w:rPr>
        <w:tab/>
      </w:r>
      <w:r>
        <w:rPr>
          <w:sz w:val="18"/>
          <w:szCs w:val="18"/>
        </w:rPr>
        <w:t xml:space="preserve">  $</w:t>
      </w:r>
      <w:r w:rsidRPr="00917C4B">
        <w:rPr>
          <w:sz w:val="18"/>
          <w:szCs w:val="18"/>
        </w:rPr>
        <w:t>92</w:t>
      </w:r>
      <w:r>
        <w:rPr>
          <w:sz w:val="18"/>
          <w:szCs w:val="18"/>
        </w:rPr>
        <w:t>,</w:t>
      </w:r>
      <w:r w:rsidRPr="00917C4B">
        <w:rPr>
          <w:sz w:val="18"/>
          <w:szCs w:val="18"/>
        </w:rPr>
        <w:t>200</w:t>
      </w:r>
    </w:p>
    <w:p w:rsidR="00BF767D" w:rsidRPr="00917C4B"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rPr>
          <w:sz w:val="18"/>
          <w:szCs w:val="18"/>
        </w:rPr>
      </w:pPr>
      <w:r w:rsidRPr="00917C4B">
        <w:rPr>
          <w:sz w:val="18"/>
          <w:szCs w:val="18"/>
        </w:rPr>
        <w:t>5</w:t>
      </w:r>
      <w:r w:rsidRPr="00917C4B">
        <w:rPr>
          <w:sz w:val="18"/>
          <w:szCs w:val="18"/>
        </w:rPr>
        <w:tab/>
      </w:r>
      <w:r>
        <w:rPr>
          <w:sz w:val="18"/>
          <w:szCs w:val="18"/>
        </w:rPr>
        <w:t>$</w:t>
      </w:r>
      <w:r w:rsidRPr="00917C4B">
        <w:rPr>
          <w:sz w:val="18"/>
          <w:szCs w:val="18"/>
        </w:rPr>
        <w:t>108</w:t>
      </w:r>
      <w:r>
        <w:rPr>
          <w:sz w:val="18"/>
          <w:szCs w:val="18"/>
        </w:rPr>
        <w:t>,</w:t>
      </w:r>
      <w:r w:rsidRPr="00917C4B">
        <w:rPr>
          <w:sz w:val="18"/>
          <w:szCs w:val="18"/>
        </w:rPr>
        <w:t>040</w:t>
      </w:r>
    </w:p>
    <w:p w:rsidR="00BF767D" w:rsidRPr="00917C4B"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rPr>
          <w:sz w:val="18"/>
          <w:szCs w:val="18"/>
        </w:rPr>
      </w:pPr>
      <w:r w:rsidRPr="00917C4B">
        <w:rPr>
          <w:sz w:val="18"/>
          <w:szCs w:val="18"/>
        </w:rPr>
        <w:t>6</w:t>
      </w:r>
      <w:r w:rsidRPr="00917C4B">
        <w:rPr>
          <w:sz w:val="18"/>
          <w:szCs w:val="18"/>
        </w:rPr>
        <w:tab/>
      </w:r>
      <w:r>
        <w:rPr>
          <w:sz w:val="18"/>
          <w:szCs w:val="18"/>
        </w:rPr>
        <w:t>$</w:t>
      </w:r>
      <w:r w:rsidRPr="00917C4B">
        <w:rPr>
          <w:sz w:val="18"/>
          <w:szCs w:val="18"/>
        </w:rPr>
        <w:t>123</w:t>
      </w:r>
      <w:r>
        <w:rPr>
          <w:sz w:val="18"/>
          <w:szCs w:val="18"/>
        </w:rPr>
        <w:t>,</w:t>
      </w:r>
      <w:r w:rsidRPr="00917C4B">
        <w:rPr>
          <w:sz w:val="18"/>
          <w:szCs w:val="18"/>
        </w:rPr>
        <w:t>880</w:t>
      </w:r>
    </w:p>
    <w:p w:rsidR="00BF767D"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rPr>
          <w:sz w:val="18"/>
          <w:szCs w:val="18"/>
        </w:rPr>
      </w:pPr>
      <w:r w:rsidRPr="00917C4B">
        <w:rPr>
          <w:sz w:val="18"/>
          <w:szCs w:val="18"/>
        </w:rPr>
        <w:t>7</w:t>
      </w:r>
      <w:r w:rsidRPr="00917C4B">
        <w:rPr>
          <w:sz w:val="18"/>
          <w:szCs w:val="18"/>
        </w:rPr>
        <w:tab/>
      </w:r>
      <w:r>
        <w:rPr>
          <w:sz w:val="18"/>
          <w:szCs w:val="18"/>
        </w:rPr>
        <w:t>$</w:t>
      </w:r>
      <w:r w:rsidRPr="00917C4B">
        <w:rPr>
          <w:sz w:val="18"/>
          <w:szCs w:val="18"/>
        </w:rPr>
        <w:t>139</w:t>
      </w:r>
      <w:r>
        <w:rPr>
          <w:sz w:val="18"/>
          <w:szCs w:val="18"/>
        </w:rPr>
        <w:t>,</w:t>
      </w:r>
      <w:r w:rsidRPr="00917C4B">
        <w:rPr>
          <w:sz w:val="18"/>
          <w:szCs w:val="18"/>
        </w:rPr>
        <w:t>720</w:t>
      </w:r>
    </w:p>
    <w:p w:rsidR="00BF767D" w:rsidRPr="00917C4B" w:rsidRDefault="00BF767D" w:rsidP="00BF767D">
      <w:pPr>
        <w:framePr w:w="1831" w:h="2915" w:hRule="exact" w:hSpace="180" w:wrap="around" w:vAnchor="text" w:hAnchor="page" w:x="9081" w:y="11"/>
        <w:pBdr>
          <w:top w:val="single" w:sz="6" w:space="4" w:color="000000" w:shadow="1"/>
          <w:left w:val="single" w:sz="6" w:space="7" w:color="000000" w:shadow="1"/>
          <w:bottom w:val="single" w:sz="6" w:space="4" w:color="000000" w:shadow="1"/>
          <w:right w:val="single" w:sz="6" w:space="7" w:color="000000" w:shadow="1"/>
        </w:pBdr>
        <w:rPr>
          <w:sz w:val="18"/>
          <w:szCs w:val="18"/>
        </w:rPr>
      </w:pPr>
      <w:r>
        <w:rPr>
          <w:sz w:val="18"/>
          <w:szCs w:val="18"/>
        </w:rPr>
        <w:t>8</w:t>
      </w:r>
      <w:r>
        <w:rPr>
          <w:sz w:val="18"/>
          <w:szCs w:val="18"/>
        </w:rPr>
        <w:tab/>
        <w:t>$155,560</w:t>
      </w:r>
    </w:p>
    <w:p w:rsidR="00C26009" w:rsidRDefault="00C26009" w:rsidP="003269FC">
      <w:pPr>
        <w:rPr>
          <w:rFonts w:asciiTheme="minorHAnsi" w:hAnsiTheme="minorHAnsi"/>
        </w:rPr>
      </w:pPr>
    </w:p>
    <w:p w:rsidR="00F71228" w:rsidRDefault="00627767" w:rsidP="003269FC">
      <w:pPr>
        <w:rPr>
          <w:rFonts w:asciiTheme="minorHAnsi" w:hAnsiTheme="minorHAnsi"/>
        </w:rPr>
      </w:pPr>
      <w:r>
        <w:rPr>
          <w:rFonts w:asciiTheme="minorHAnsi" w:hAnsiTheme="minorHAnsi"/>
        </w:rPr>
        <w:t>A</w:t>
      </w:r>
      <w:r w:rsidR="008F2654" w:rsidRPr="00486A01">
        <w:rPr>
          <w:rFonts w:asciiTheme="minorHAnsi" w:hAnsiTheme="minorHAnsi"/>
        </w:rPr>
        <w:t xml:space="preserve"> penalty </w:t>
      </w:r>
      <w:r>
        <w:rPr>
          <w:rFonts w:asciiTheme="minorHAnsi" w:hAnsiTheme="minorHAnsi"/>
        </w:rPr>
        <w:t xml:space="preserve">may </w:t>
      </w:r>
      <w:r w:rsidR="008F2654" w:rsidRPr="00486A01">
        <w:rPr>
          <w:rFonts w:asciiTheme="minorHAnsi" w:hAnsiTheme="minorHAnsi"/>
        </w:rPr>
        <w:t xml:space="preserve">apply to an employer if at least one full-time employee qualifies </w:t>
      </w:r>
      <w:r w:rsidR="003269FC" w:rsidRPr="00486A01">
        <w:rPr>
          <w:rFonts w:asciiTheme="minorHAnsi" w:hAnsiTheme="minorHAnsi"/>
        </w:rPr>
        <w:t xml:space="preserve">for </w:t>
      </w:r>
      <w:r w:rsidR="00F94EBB" w:rsidRPr="00486A01">
        <w:rPr>
          <w:rFonts w:asciiTheme="minorHAnsi" w:hAnsiTheme="minorHAnsi"/>
        </w:rPr>
        <w:t>subsidized coverage</w:t>
      </w:r>
      <w:r w:rsidR="003269FC" w:rsidRPr="00486A01">
        <w:rPr>
          <w:rFonts w:asciiTheme="minorHAnsi" w:hAnsiTheme="minorHAnsi"/>
        </w:rPr>
        <w:t xml:space="preserve"> </w:t>
      </w:r>
      <w:r w:rsidR="003269FC" w:rsidRPr="00326EF8">
        <w:rPr>
          <w:rFonts w:asciiTheme="minorHAnsi" w:hAnsiTheme="minorHAnsi"/>
          <w:u w:val="single"/>
        </w:rPr>
        <w:t>and</w:t>
      </w:r>
      <w:r w:rsidR="003269FC" w:rsidRPr="00486A01">
        <w:rPr>
          <w:rFonts w:asciiTheme="minorHAnsi" w:hAnsiTheme="minorHAnsi"/>
        </w:rPr>
        <w:t xml:space="preserve"> </w:t>
      </w:r>
      <w:r w:rsidR="00326EF8">
        <w:rPr>
          <w:rFonts w:asciiTheme="minorHAnsi" w:hAnsiTheme="minorHAnsi"/>
        </w:rPr>
        <w:t xml:space="preserve">actually </w:t>
      </w:r>
      <w:r w:rsidR="003269FC" w:rsidRPr="00486A01">
        <w:rPr>
          <w:rFonts w:asciiTheme="minorHAnsi" w:hAnsiTheme="minorHAnsi"/>
        </w:rPr>
        <w:t xml:space="preserve">purchases coverage through </w:t>
      </w:r>
      <w:r w:rsidR="00326EF8">
        <w:rPr>
          <w:rFonts w:asciiTheme="minorHAnsi" w:hAnsiTheme="minorHAnsi"/>
        </w:rPr>
        <w:t xml:space="preserve">an </w:t>
      </w:r>
      <w:r w:rsidR="001D3EEC">
        <w:rPr>
          <w:rFonts w:asciiTheme="minorHAnsi" w:hAnsiTheme="minorHAnsi"/>
        </w:rPr>
        <w:t>e</w:t>
      </w:r>
      <w:r w:rsidR="003269FC" w:rsidRPr="00486A01">
        <w:rPr>
          <w:rFonts w:asciiTheme="minorHAnsi" w:hAnsiTheme="minorHAnsi"/>
        </w:rPr>
        <w:t xml:space="preserve">xchange.  </w:t>
      </w:r>
      <w:r w:rsidR="00D75F1E" w:rsidRPr="00486A01">
        <w:rPr>
          <w:rFonts w:asciiTheme="minorHAnsi" w:hAnsiTheme="minorHAnsi"/>
        </w:rPr>
        <w:t>I</w:t>
      </w:r>
      <w:r w:rsidR="003269FC" w:rsidRPr="00486A01">
        <w:rPr>
          <w:rFonts w:asciiTheme="minorHAnsi" w:hAnsiTheme="minorHAnsi"/>
        </w:rPr>
        <w:t>ndividuals with income</w:t>
      </w:r>
      <w:r w:rsidR="00F1789A">
        <w:rPr>
          <w:rFonts w:asciiTheme="minorHAnsi" w:hAnsiTheme="minorHAnsi"/>
        </w:rPr>
        <w:t xml:space="preserve">s </w:t>
      </w:r>
      <w:r>
        <w:rPr>
          <w:rFonts w:asciiTheme="minorHAnsi" w:hAnsiTheme="minorHAnsi"/>
        </w:rPr>
        <w:t xml:space="preserve">up to </w:t>
      </w:r>
      <w:r w:rsidR="003269FC" w:rsidRPr="00486A01">
        <w:rPr>
          <w:rFonts w:asciiTheme="minorHAnsi" w:hAnsiTheme="minorHAnsi"/>
        </w:rPr>
        <w:t xml:space="preserve">400% of the federal poverty level (FPL) </w:t>
      </w:r>
      <w:r w:rsidR="00326EF8">
        <w:rPr>
          <w:rFonts w:asciiTheme="minorHAnsi" w:hAnsiTheme="minorHAnsi"/>
        </w:rPr>
        <w:t>may q</w:t>
      </w:r>
      <w:r w:rsidR="00D75F1E" w:rsidRPr="00486A01">
        <w:rPr>
          <w:rFonts w:asciiTheme="minorHAnsi" w:hAnsiTheme="minorHAnsi"/>
        </w:rPr>
        <w:t>ualify for subsidized coverage through an exchange.</w:t>
      </w:r>
      <w:r w:rsidR="00F94EBB" w:rsidRPr="00486A01">
        <w:rPr>
          <w:rFonts w:asciiTheme="minorHAnsi" w:hAnsiTheme="minorHAnsi"/>
        </w:rPr>
        <w:t xml:space="preserve"> </w:t>
      </w:r>
      <w:r w:rsidR="00D75F1E" w:rsidRPr="00486A01">
        <w:rPr>
          <w:rFonts w:asciiTheme="minorHAnsi" w:hAnsiTheme="minorHAnsi"/>
        </w:rPr>
        <w:t xml:space="preserve"> </w:t>
      </w:r>
    </w:p>
    <w:p w:rsidR="00627767" w:rsidRDefault="00627767" w:rsidP="003269FC">
      <w:pPr>
        <w:rPr>
          <w:rFonts w:asciiTheme="minorHAnsi" w:hAnsiTheme="minorHAnsi"/>
        </w:rPr>
      </w:pPr>
    </w:p>
    <w:p w:rsidR="00C941AD" w:rsidRPr="00486A01" w:rsidRDefault="00627767" w:rsidP="00627767">
      <w:pPr>
        <w:rPr>
          <w:rFonts w:asciiTheme="minorHAnsi" w:hAnsiTheme="minorHAnsi"/>
        </w:rPr>
      </w:pPr>
      <w:r>
        <w:rPr>
          <w:rFonts w:asciiTheme="minorHAnsi" w:hAnsiTheme="minorHAnsi"/>
        </w:rPr>
        <w:t>A</w:t>
      </w:r>
      <w:r w:rsidR="003269FC" w:rsidRPr="00486A01">
        <w:rPr>
          <w:rFonts w:asciiTheme="minorHAnsi" w:hAnsiTheme="minorHAnsi"/>
        </w:rPr>
        <w:t xml:space="preserve"> full-time</w:t>
      </w:r>
      <w:r w:rsidR="008F2654" w:rsidRPr="00486A01">
        <w:rPr>
          <w:rFonts w:asciiTheme="minorHAnsi" w:hAnsiTheme="minorHAnsi"/>
        </w:rPr>
        <w:t xml:space="preserve"> employee </w:t>
      </w:r>
      <w:r w:rsidR="003269FC" w:rsidRPr="00486A01">
        <w:rPr>
          <w:rFonts w:asciiTheme="minorHAnsi" w:hAnsiTheme="minorHAnsi"/>
        </w:rPr>
        <w:t xml:space="preserve">who meets the income qualifications </w:t>
      </w:r>
      <w:r>
        <w:rPr>
          <w:rFonts w:asciiTheme="minorHAnsi" w:hAnsiTheme="minorHAnsi"/>
        </w:rPr>
        <w:t xml:space="preserve">may </w:t>
      </w:r>
      <w:r w:rsidR="008F2654" w:rsidRPr="00486A01">
        <w:rPr>
          <w:rFonts w:asciiTheme="minorHAnsi" w:hAnsiTheme="minorHAnsi"/>
        </w:rPr>
        <w:t xml:space="preserve">qualify for subsidized </w:t>
      </w:r>
      <w:r w:rsidR="00F71228">
        <w:rPr>
          <w:rFonts w:asciiTheme="minorHAnsi" w:hAnsiTheme="minorHAnsi"/>
        </w:rPr>
        <w:t xml:space="preserve">individual </w:t>
      </w:r>
      <w:r w:rsidR="008F2654" w:rsidRPr="00486A01">
        <w:rPr>
          <w:rFonts w:asciiTheme="minorHAnsi" w:hAnsiTheme="minorHAnsi"/>
        </w:rPr>
        <w:t>coverage</w:t>
      </w:r>
      <w:r w:rsidR="00F71228">
        <w:rPr>
          <w:rFonts w:asciiTheme="minorHAnsi" w:hAnsiTheme="minorHAnsi"/>
        </w:rPr>
        <w:t xml:space="preserve"> through a</w:t>
      </w:r>
      <w:r>
        <w:rPr>
          <w:rFonts w:asciiTheme="minorHAnsi" w:hAnsiTheme="minorHAnsi"/>
        </w:rPr>
        <w:t xml:space="preserve"> public </w:t>
      </w:r>
      <w:r w:rsidR="001D3EEC">
        <w:rPr>
          <w:rFonts w:asciiTheme="minorHAnsi" w:hAnsiTheme="minorHAnsi"/>
        </w:rPr>
        <w:t>e</w:t>
      </w:r>
      <w:r w:rsidR="00F71228">
        <w:rPr>
          <w:rFonts w:asciiTheme="minorHAnsi" w:hAnsiTheme="minorHAnsi"/>
        </w:rPr>
        <w:t>xchange</w:t>
      </w:r>
      <w:r>
        <w:rPr>
          <w:rFonts w:asciiTheme="minorHAnsi" w:hAnsiTheme="minorHAnsi"/>
        </w:rPr>
        <w:t xml:space="preserve"> if:</w:t>
      </w:r>
    </w:p>
    <w:p w:rsidR="00627767" w:rsidRPr="00627767" w:rsidRDefault="007923FE" w:rsidP="00627767">
      <w:pPr>
        <w:numPr>
          <w:ilvl w:val="0"/>
          <w:numId w:val="5"/>
        </w:numPr>
        <w:rPr>
          <w:rFonts w:asciiTheme="minorHAnsi" w:hAnsiTheme="minorHAnsi"/>
        </w:rPr>
      </w:pPr>
      <w:r>
        <w:rPr>
          <w:rFonts w:asciiTheme="minorHAnsi" w:hAnsiTheme="minorHAnsi"/>
        </w:rPr>
        <w:t>T</w:t>
      </w:r>
      <w:r w:rsidR="00D75F1E" w:rsidRPr="00486A01">
        <w:rPr>
          <w:rFonts w:asciiTheme="minorHAnsi" w:hAnsiTheme="minorHAnsi"/>
        </w:rPr>
        <w:t xml:space="preserve">he required </w:t>
      </w:r>
      <w:r w:rsidR="00D75F1E" w:rsidRPr="00BE5C1B">
        <w:rPr>
          <w:rFonts w:asciiTheme="minorHAnsi" w:hAnsiTheme="minorHAnsi"/>
        </w:rPr>
        <w:t xml:space="preserve">employee contribution </w:t>
      </w:r>
      <w:r>
        <w:rPr>
          <w:rFonts w:asciiTheme="minorHAnsi" w:hAnsiTheme="minorHAnsi"/>
        </w:rPr>
        <w:t xml:space="preserve">for </w:t>
      </w:r>
      <w:r w:rsidR="00627767">
        <w:rPr>
          <w:rFonts w:asciiTheme="minorHAnsi" w:hAnsiTheme="minorHAnsi"/>
        </w:rPr>
        <w:t xml:space="preserve">single coverage </w:t>
      </w:r>
      <w:r w:rsidR="00D75F1E" w:rsidRPr="00BE5C1B">
        <w:rPr>
          <w:rFonts w:asciiTheme="minorHAnsi" w:hAnsiTheme="minorHAnsi"/>
        </w:rPr>
        <w:t>exceeds 9.5% of their household income</w:t>
      </w:r>
      <w:r w:rsidR="00FB37E3">
        <w:rPr>
          <w:rFonts w:asciiTheme="minorHAnsi" w:hAnsiTheme="minorHAnsi"/>
        </w:rPr>
        <w:t>;</w:t>
      </w:r>
      <w:r w:rsidR="00627767">
        <w:rPr>
          <w:rFonts w:asciiTheme="minorHAnsi" w:hAnsiTheme="minorHAnsi"/>
        </w:rPr>
        <w:t xml:space="preserve"> </w:t>
      </w:r>
      <w:r w:rsidR="00627767" w:rsidRPr="00627767">
        <w:rPr>
          <w:rFonts w:asciiTheme="minorHAnsi" w:hAnsiTheme="minorHAnsi"/>
        </w:rPr>
        <w:t>or</w:t>
      </w:r>
    </w:p>
    <w:p w:rsidR="00627767" w:rsidRPr="00486A01" w:rsidRDefault="00627767" w:rsidP="008F2654">
      <w:pPr>
        <w:numPr>
          <w:ilvl w:val="0"/>
          <w:numId w:val="5"/>
        </w:numPr>
        <w:rPr>
          <w:rFonts w:asciiTheme="minorHAnsi" w:hAnsiTheme="minorHAnsi"/>
        </w:rPr>
      </w:pPr>
      <w:r w:rsidRPr="00486A01">
        <w:rPr>
          <w:rFonts w:asciiTheme="minorHAnsi" w:hAnsiTheme="minorHAnsi"/>
        </w:rPr>
        <w:t xml:space="preserve">Their employer plan </w:t>
      </w:r>
      <w:r>
        <w:rPr>
          <w:rFonts w:asciiTheme="minorHAnsi" w:hAnsiTheme="minorHAnsi"/>
        </w:rPr>
        <w:t>does not provide minimum value</w:t>
      </w:r>
      <w:r w:rsidR="00FB37E3">
        <w:rPr>
          <w:rFonts w:asciiTheme="minorHAnsi" w:hAnsiTheme="minorHAnsi"/>
        </w:rPr>
        <w:t>.</w:t>
      </w:r>
    </w:p>
    <w:p w:rsidR="00D75F1E" w:rsidRDefault="00D75F1E" w:rsidP="00D75F1E">
      <w:pPr>
        <w:rPr>
          <w:rFonts w:asciiTheme="minorHAnsi" w:hAnsiTheme="minorHAnsi"/>
        </w:rPr>
      </w:pPr>
    </w:p>
    <w:p w:rsidR="00627767" w:rsidRDefault="00627767" w:rsidP="00D75F1E">
      <w:pPr>
        <w:rPr>
          <w:rFonts w:asciiTheme="minorHAnsi" w:hAnsiTheme="minorHAnsi"/>
        </w:rPr>
      </w:pPr>
      <w:r>
        <w:rPr>
          <w:rFonts w:asciiTheme="minorHAnsi" w:hAnsiTheme="minorHAnsi"/>
        </w:rPr>
        <w:t xml:space="preserve">All employees </w:t>
      </w:r>
      <w:r w:rsidR="008E00A6">
        <w:rPr>
          <w:rFonts w:asciiTheme="minorHAnsi" w:hAnsiTheme="minorHAnsi"/>
        </w:rPr>
        <w:t xml:space="preserve">who are </w:t>
      </w:r>
      <w:r>
        <w:rPr>
          <w:rFonts w:asciiTheme="minorHAnsi" w:hAnsiTheme="minorHAnsi"/>
        </w:rPr>
        <w:t>not eligible for an affordable minimum value plan may qualify for subsidized individual coverage</w:t>
      </w:r>
      <w:r w:rsidR="008E00A6">
        <w:rPr>
          <w:rFonts w:asciiTheme="minorHAnsi" w:hAnsiTheme="minorHAnsi"/>
        </w:rPr>
        <w:t xml:space="preserve"> if income requirements are met.</w:t>
      </w:r>
    </w:p>
    <w:p w:rsidR="00627767" w:rsidRDefault="00627767" w:rsidP="00D75F1E">
      <w:pPr>
        <w:rPr>
          <w:rFonts w:asciiTheme="minorHAnsi" w:hAnsiTheme="minorHAnsi"/>
        </w:rPr>
      </w:pPr>
    </w:p>
    <w:p w:rsidR="00627767" w:rsidRDefault="00BD2CDE" w:rsidP="00D75F1E">
      <w:pPr>
        <w:rPr>
          <w:rFonts w:asciiTheme="minorHAnsi" w:hAnsiTheme="minorHAnsi"/>
        </w:rPr>
      </w:pPr>
      <w:r>
        <w:rPr>
          <w:rFonts w:asciiTheme="minorHAnsi" w:hAnsiTheme="minorHAnsi"/>
        </w:rPr>
        <w:t xml:space="preserve">Individuals will need to apply to a state or federally run exchange to be “certified” as subsidy eligible.  The employer will then be notified </w:t>
      </w:r>
      <w:r w:rsidR="00627767">
        <w:rPr>
          <w:rFonts w:asciiTheme="minorHAnsi" w:hAnsiTheme="minorHAnsi"/>
        </w:rPr>
        <w:t xml:space="preserve">by the Exchange </w:t>
      </w:r>
      <w:r>
        <w:rPr>
          <w:rFonts w:asciiTheme="minorHAnsi" w:hAnsiTheme="minorHAnsi"/>
        </w:rPr>
        <w:t xml:space="preserve">if an employee has qualified for </w:t>
      </w:r>
      <w:r w:rsidR="00627767">
        <w:rPr>
          <w:rFonts w:asciiTheme="minorHAnsi" w:hAnsiTheme="minorHAnsi"/>
        </w:rPr>
        <w:t xml:space="preserve">and purchased </w:t>
      </w:r>
      <w:r>
        <w:rPr>
          <w:rFonts w:asciiTheme="minorHAnsi" w:hAnsiTheme="minorHAnsi"/>
        </w:rPr>
        <w:t>subsidized coverage</w:t>
      </w:r>
      <w:r w:rsidR="00627767">
        <w:rPr>
          <w:rFonts w:asciiTheme="minorHAnsi" w:hAnsiTheme="minorHAnsi"/>
        </w:rPr>
        <w:t>.</w:t>
      </w:r>
    </w:p>
    <w:p w:rsidR="009A33DE" w:rsidRDefault="009A33DE" w:rsidP="00D75F1E">
      <w:pPr>
        <w:rPr>
          <w:rFonts w:asciiTheme="minorHAnsi" w:hAnsiTheme="minorHAnsi"/>
        </w:rPr>
      </w:pPr>
    </w:p>
    <w:p w:rsidR="00C26009" w:rsidRDefault="00C26009">
      <w:pPr>
        <w:rPr>
          <w:b/>
          <w:color w:val="0070C0"/>
          <w:sz w:val="24"/>
          <w:szCs w:val="24"/>
        </w:rPr>
      </w:pPr>
      <w:r>
        <w:rPr>
          <w:color w:val="0070C0"/>
        </w:rPr>
        <w:br w:type="page"/>
      </w:r>
    </w:p>
    <w:p w:rsidR="00D75F1E" w:rsidRPr="00221B46" w:rsidRDefault="00D75F1E" w:rsidP="00D33FE0">
      <w:pPr>
        <w:pStyle w:val="Heading2"/>
        <w:spacing w:before="0"/>
        <w:rPr>
          <w:color w:val="0070C0"/>
        </w:rPr>
      </w:pPr>
      <w:r w:rsidRPr="00221B46">
        <w:rPr>
          <w:color w:val="0070C0"/>
        </w:rPr>
        <w:lastRenderedPageBreak/>
        <w:t xml:space="preserve">Employer </w:t>
      </w:r>
      <w:r w:rsidR="00BD2CDE" w:rsidRPr="00221B46">
        <w:rPr>
          <w:color w:val="0070C0"/>
        </w:rPr>
        <w:t xml:space="preserve">Shared Responsibility Rules and </w:t>
      </w:r>
      <w:r w:rsidRPr="00221B46">
        <w:rPr>
          <w:color w:val="0070C0"/>
        </w:rPr>
        <w:t>Penalties</w:t>
      </w:r>
    </w:p>
    <w:p w:rsidR="00C26009" w:rsidRDefault="00C26009" w:rsidP="00D33FE0">
      <w:pPr>
        <w:rPr>
          <w:rFonts w:asciiTheme="minorHAnsi" w:hAnsiTheme="minorHAnsi"/>
        </w:rPr>
      </w:pPr>
    </w:p>
    <w:p w:rsidR="00D75F1E" w:rsidRPr="00486A01" w:rsidRDefault="00BD2CDE" w:rsidP="00D33FE0">
      <w:pPr>
        <w:rPr>
          <w:rFonts w:asciiTheme="minorHAnsi" w:hAnsiTheme="minorHAnsi"/>
        </w:rPr>
      </w:pPr>
      <w:r>
        <w:rPr>
          <w:rFonts w:asciiTheme="minorHAnsi" w:hAnsiTheme="minorHAnsi"/>
        </w:rPr>
        <w:t xml:space="preserve">Under the </w:t>
      </w:r>
      <w:r w:rsidR="003643D9">
        <w:rPr>
          <w:rFonts w:asciiTheme="minorHAnsi" w:hAnsiTheme="minorHAnsi"/>
        </w:rPr>
        <w:t xml:space="preserve">ACA </w:t>
      </w:r>
      <w:r>
        <w:rPr>
          <w:rFonts w:asciiTheme="minorHAnsi" w:hAnsiTheme="minorHAnsi"/>
        </w:rPr>
        <w:t>shared responsibility rules</w:t>
      </w:r>
      <w:r w:rsidR="00DF75A6">
        <w:rPr>
          <w:rFonts w:asciiTheme="minorHAnsi" w:hAnsiTheme="minorHAnsi"/>
        </w:rPr>
        <w:t>,</w:t>
      </w:r>
      <w:r>
        <w:rPr>
          <w:rFonts w:asciiTheme="minorHAnsi" w:hAnsiTheme="minorHAnsi"/>
        </w:rPr>
        <w:t xml:space="preserve"> employers </w:t>
      </w:r>
      <w:r w:rsidR="008E00A6">
        <w:rPr>
          <w:rFonts w:asciiTheme="minorHAnsi" w:hAnsiTheme="minorHAnsi"/>
        </w:rPr>
        <w:t xml:space="preserve">may be liable for two different types of penalties. </w:t>
      </w:r>
      <w:r w:rsidR="003643D9">
        <w:rPr>
          <w:rFonts w:asciiTheme="minorHAnsi" w:hAnsiTheme="minorHAnsi"/>
        </w:rPr>
        <w:t xml:space="preserve"> </w:t>
      </w:r>
    </w:p>
    <w:p w:rsidR="001871D3" w:rsidRPr="00486A01" w:rsidRDefault="001871D3" w:rsidP="00D33FE0">
      <w:pPr>
        <w:rPr>
          <w:rFonts w:asciiTheme="minorHAnsi" w:hAnsiTheme="minorHAnsi"/>
        </w:rPr>
      </w:pPr>
    </w:p>
    <w:p w:rsidR="00F1789A" w:rsidRPr="00E275FC" w:rsidRDefault="00F1789A" w:rsidP="00F1789A">
      <w:pPr>
        <w:rPr>
          <w:rFonts w:asciiTheme="minorHAnsi" w:hAnsiTheme="minorHAnsi"/>
          <w:u w:val="single"/>
        </w:rPr>
      </w:pPr>
      <w:r>
        <w:rPr>
          <w:rFonts w:asciiTheme="minorHAnsi" w:hAnsiTheme="minorHAnsi"/>
          <w:u w:val="single"/>
        </w:rPr>
        <w:t xml:space="preserve">4980H(a) Penalty  - </w:t>
      </w:r>
      <w:r w:rsidRPr="00E275FC">
        <w:rPr>
          <w:rFonts w:asciiTheme="minorHAnsi" w:hAnsiTheme="minorHAnsi"/>
          <w:u w:val="single"/>
        </w:rPr>
        <w:t>Employers who do not offer minimum essential coverage to all full-time employees</w:t>
      </w:r>
    </w:p>
    <w:p w:rsidR="008E00A6" w:rsidRDefault="00F1789A" w:rsidP="008E00A6">
      <w:pPr>
        <w:rPr>
          <w:rFonts w:asciiTheme="minorHAnsi" w:hAnsiTheme="minorHAnsi"/>
        </w:rPr>
      </w:pPr>
      <w:r w:rsidRPr="008E00A6">
        <w:rPr>
          <w:rFonts w:asciiTheme="minorHAnsi" w:hAnsiTheme="minorHAnsi"/>
        </w:rPr>
        <w:t xml:space="preserve">If </w:t>
      </w:r>
      <w:r w:rsidR="008E00A6">
        <w:rPr>
          <w:rFonts w:asciiTheme="minorHAnsi" w:hAnsiTheme="minorHAnsi"/>
        </w:rPr>
        <w:t>an employer fails to offer minimum essential coverage to all full</w:t>
      </w:r>
      <w:r w:rsidR="00FB37E3">
        <w:rPr>
          <w:rFonts w:asciiTheme="minorHAnsi" w:hAnsiTheme="minorHAnsi"/>
        </w:rPr>
        <w:t>-</w:t>
      </w:r>
      <w:r w:rsidR="008E00A6">
        <w:rPr>
          <w:rFonts w:asciiTheme="minorHAnsi" w:hAnsiTheme="minorHAnsi"/>
        </w:rPr>
        <w:t xml:space="preserve">time employees, and </w:t>
      </w:r>
      <w:r w:rsidRPr="008E00A6">
        <w:rPr>
          <w:rFonts w:asciiTheme="minorHAnsi" w:hAnsiTheme="minorHAnsi"/>
        </w:rPr>
        <w:t xml:space="preserve">at least one employee is certified by the exchange </w:t>
      </w:r>
      <w:r w:rsidR="003643D9" w:rsidRPr="008E00A6">
        <w:rPr>
          <w:rFonts w:asciiTheme="minorHAnsi" w:hAnsiTheme="minorHAnsi"/>
        </w:rPr>
        <w:t xml:space="preserve">and purchases </w:t>
      </w:r>
      <w:r w:rsidRPr="008E00A6">
        <w:rPr>
          <w:rFonts w:asciiTheme="minorHAnsi" w:hAnsiTheme="minorHAnsi"/>
        </w:rPr>
        <w:t xml:space="preserve">subsidized coverage, the employer will pay a penalty of $166.67 per month ($2000 per year) times </w:t>
      </w:r>
      <w:r w:rsidRPr="008E00A6">
        <w:rPr>
          <w:rFonts w:asciiTheme="minorHAnsi" w:hAnsiTheme="minorHAnsi"/>
          <w:u w:val="single"/>
        </w:rPr>
        <w:t>the total number of full-time employees</w:t>
      </w:r>
      <w:r w:rsidRPr="008E00A6">
        <w:rPr>
          <w:rFonts w:asciiTheme="minorHAnsi" w:hAnsiTheme="minorHAnsi"/>
        </w:rPr>
        <w:t xml:space="preserve"> </w:t>
      </w:r>
      <w:r w:rsidR="003643D9" w:rsidRPr="008E00A6">
        <w:rPr>
          <w:rFonts w:asciiTheme="minorHAnsi" w:hAnsiTheme="minorHAnsi"/>
        </w:rPr>
        <w:t>including employee</w:t>
      </w:r>
      <w:r w:rsidR="00FB37E3">
        <w:rPr>
          <w:rFonts w:asciiTheme="minorHAnsi" w:hAnsiTheme="minorHAnsi"/>
        </w:rPr>
        <w:t>-</w:t>
      </w:r>
      <w:r w:rsidR="003643D9" w:rsidRPr="008E00A6">
        <w:rPr>
          <w:rFonts w:asciiTheme="minorHAnsi" w:hAnsiTheme="minorHAnsi"/>
        </w:rPr>
        <w:t xml:space="preserve">offered coverage </w:t>
      </w:r>
      <w:r w:rsidRPr="008E00A6">
        <w:rPr>
          <w:rFonts w:asciiTheme="minorHAnsi" w:hAnsiTheme="minorHAnsi"/>
        </w:rPr>
        <w:t>(excluding the first 30 employees)</w:t>
      </w:r>
      <w:r w:rsidR="008E00A6">
        <w:rPr>
          <w:rFonts w:asciiTheme="minorHAnsi" w:hAnsiTheme="minorHAnsi"/>
        </w:rPr>
        <w:t>.</w:t>
      </w:r>
    </w:p>
    <w:p w:rsidR="008E00A6" w:rsidRDefault="008E00A6" w:rsidP="008E00A6">
      <w:pPr>
        <w:pStyle w:val="ListParagraph"/>
        <w:numPr>
          <w:ilvl w:val="0"/>
          <w:numId w:val="36"/>
        </w:numPr>
        <w:rPr>
          <w:rFonts w:asciiTheme="minorHAnsi" w:hAnsiTheme="minorHAnsi"/>
        </w:rPr>
      </w:pPr>
      <w:r>
        <w:rPr>
          <w:rFonts w:asciiTheme="minorHAnsi" w:hAnsiTheme="minorHAnsi"/>
        </w:rPr>
        <w:t>There are special rules on the penalty calculation for employers that are part of a control group.</w:t>
      </w:r>
    </w:p>
    <w:p w:rsidR="008E00A6" w:rsidRPr="008E00A6" w:rsidRDefault="008E00A6" w:rsidP="008E00A6">
      <w:pPr>
        <w:pStyle w:val="ListParagraph"/>
        <w:numPr>
          <w:ilvl w:val="0"/>
          <w:numId w:val="36"/>
        </w:numPr>
        <w:rPr>
          <w:rFonts w:asciiTheme="minorHAnsi" w:hAnsiTheme="minorHAnsi"/>
        </w:rPr>
      </w:pPr>
      <w:r>
        <w:rPr>
          <w:rFonts w:asciiTheme="minorHAnsi" w:hAnsiTheme="minorHAnsi"/>
        </w:rPr>
        <w:t>The total liability is calculated monthly based on the total number of full-time employees each month, but paid on an annual basis.</w:t>
      </w:r>
    </w:p>
    <w:p w:rsidR="00F1789A" w:rsidRPr="007923FE" w:rsidRDefault="00F1789A" w:rsidP="00F1789A">
      <w:pPr>
        <w:pStyle w:val="ListParagraph"/>
        <w:ind w:left="720"/>
        <w:rPr>
          <w:rFonts w:asciiTheme="minorHAnsi" w:hAnsiTheme="minorHAnsi"/>
        </w:rPr>
      </w:pPr>
    </w:p>
    <w:p w:rsidR="00D75F1E" w:rsidRPr="00E275FC" w:rsidRDefault="00F1789A" w:rsidP="00D33FE0">
      <w:pPr>
        <w:pStyle w:val="Heading3"/>
      </w:pPr>
      <w:r>
        <w:t xml:space="preserve">4980H(b) </w:t>
      </w:r>
      <w:r w:rsidR="007923FE">
        <w:t xml:space="preserve">Penalty  - </w:t>
      </w:r>
      <w:r w:rsidR="00D75F1E" w:rsidRPr="00E275FC">
        <w:t>Employers who offer minimum essential coverage to all full-time employees</w:t>
      </w:r>
    </w:p>
    <w:p w:rsidR="00D75F1E" w:rsidRPr="008E00A6" w:rsidRDefault="008E00A6" w:rsidP="008E00A6">
      <w:pPr>
        <w:rPr>
          <w:rFonts w:asciiTheme="minorHAnsi" w:hAnsiTheme="minorHAnsi"/>
        </w:rPr>
      </w:pPr>
      <w:r>
        <w:rPr>
          <w:rFonts w:asciiTheme="minorHAnsi" w:hAnsiTheme="minorHAnsi"/>
        </w:rPr>
        <w:t xml:space="preserve">An </w:t>
      </w:r>
      <w:r w:rsidR="00D75F1E" w:rsidRPr="008E00A6">
        <w:rPr>
          <w:rFonts w:asciiTheme="minorHAnsi" w:hAnsiTheme="minorHAnsi"/>
        </w:rPr>
        <w:t xml:space="preserve">employer will pay a penalty of $250 per month ($3000 per year) </w:t>
      </w:r>
      <w:r w:rsidR="003643D9" w:rsidRPr="008E00A6">
        <w:rPr>
          <w:rFonts w:asciiTheme="minorHAnsi" w:hAnsiTheme="minorHAnsi"/>
        </w:rPr>
        <w:t xml:space="preserve">times the number of </w:t>
      </w:r>
      <w:r w:rsidR="00D75F1E" w:rsidRPr="008E00A6">
        <w:rPr>
          <w:rFonts w:asciiTheme="minorHAnsi" w:hAnsiTheme="minorHAnsi"/>
        </w:rPr>
        <w:t>employee</w:t>
      </w:r>
      <w:r w:rsidR="003643D9" w:rsidRPr="008E00A6">
        <w:rPr>
          <w:rFonts w:asciiTheme="minorHAnsi" w:hAnsiTheme="minorHAnsi"/>
        </w:rPr>
        <w:t>s</w:t>
      </w:r>
      <w:r w:rsidR="00D75F1E" w:rsidRPr="008E00A6">
        <w:rPr>
          <w:rFonts w:asciiTheme="minorHAnsi" w:hAnsiTheme="minorHAnsi"/>
        </w:rPr>
        <w:t xml:space="preserve"> who </w:t>
      </w:r>
      <w:r w:rsidR="003643D9" w:rsidRPr="008E00A6">
        <w:rPr>
          <w:rFonts w:asciiTheme="minorHAnsi" w:hAnsiTheme="minorHAnsi"/>
        </w:rPr>
        <w:t xml:space="preserve">are </w:t>
      </w:r>
      <w:r w:rsidR="00D75F1E" w:rsidRPr="008E00A6">
        <w:rPr>
          <w:rFonts w:asciiTheme="minorHAnsi" w:hAnsiTheme="minorHAnsi"/>
        </w:rPr>
        <w:t xml:space="preserve">certified by the exchange </w:t>
      </w:r>
      <w:r w:rsidR="003643D9" w:rsidRPr="008E00A6">
        <w:rPr>
          <w:rFonts w:asciiTheme="minorHAnsi" w:hAnsiTheme="minorHAnsi"/>
        </w:rPr>
        <w:t xml:space="preserve">and </w:t>
      </w:r>
      <w:r w:rsidR="00C26009">
        <w:rPr>
          <w:rFonts w:asciiTheme="minorHAnsi" w:hAnsiTheme="minorHAnsi"/>
        </w:rPr>
        <w:t xml:space="preserve">actually </w:t>
      </w:r>
      <w:r w:rsidR="003643D9" w:rsidRPr="008E00A6">
        <w:rPr>
          <w:rFonts w:asciiTheme="minorHAnsi" w:hAnsiTheme="minorHAnsi"/>
        </w:rPr>
        <w:t xml:space="preserve">purchase </w:t>
      </w:r>
      <w:r w:rsidR="00D75F1E" w:rsidRPr="008E00A6">
        <w:rPr>
          <w:rFonts w:asciiTheme="minorHAnsi" w:hAnsiTheme="minorHAnsi"/>
        </w:rPr>
        <w:t>subsidized coverage.</w:t>
      </w:r>
      <w:r w:rsidR="003643D9" w:rsidRPr="008E00A6">
        <w:rPr>
          <w:rFonts w:asciiTheme="minorHAnsi" w:hAnsiTheme="minorHAnsi"/>
        </w:rPr>
        <w:t xml:space="preserve"> </w:t>
      </w:r>
    </w:p>
    <w:p w:rsidR="00C26009" w:rsidRPr="00C26009" w:rsidRDefault="00C26009" w:rsidP="00C26009">
      <w:pPr>
        <w:rPr>
          <w:rFonts w:asciiTheme="minorHAnsi" w:hAnsiTheme="minorHAnsi"/>
        </w:rPr>
      </w:pPr>
    </w:p>
    <w:p w:rsidR="00F1789A" w:rsidRPr="00C26009" w:rsidRDefault="007923FE" w:rsidP="00C26009">
      <w:pPr>
        <w:rPr>
          <w:rFonts w:asciiTheme="minorHAnsi" w:hAnsiTheme="minorHAnsi"/>
        </w:rPr>
      </w:pPr>
      <w:r w:rsidRPr="00C26009">
        <w:rPr>
          <w:rFonts w:asciiTheme="minorHAnsi" w:hAnsiTheme="minorHAnsi"/>
        </w:rPr>
        <w:t xml:space="preserve">The IRS has </w:t>
      </w:r>
      <w:r w:rsidR="00C26009">
        <w:rPr>
          <w:rFonts w:asciiTheme="minorHAnsi" w:hAnsiTheme="minorHAnsi"/>
        </w:rPr>
        <w:t xml:space="preserve">introduced </w:t>
      </w:r>
      <w:r w:rsidR="00F1789A" w:rsidRPr="00C26009">
        <w:rPr>
          <w:rFonts w:asciiTheme="minorHAnsi" w:hAnsiTheme="minorHAnsi"/>
        </w:rPr>
        <w:t xml:space="preserve">3 safe harbors </w:t>
      </w:r>
      <w:r w:rsidRPr="00C26009">
        <w:rPr>
          <w:rFonts w:asciiTheme="minorHAnsi" w:hAnsiTheme="minorHAnsi"/>
        </w:rPr>
        <w:t xml:space="preserve">regarding the employer penalty.  Since employers do not typically know the </w:t>
      </w:r>
      <w:r w:rsidR="00D43200" w:rsidRPr="00C26009">
        <w:rPr>
          <w:rFonts w:asciiTheme="minorHAnsi" w:hAnsiTheme="minorHAnsi"/>
        </w:rPr>
        <w:t>employee’s household income, an</w:t>
      </w:r>
      <w:r w:rsidRPr="00C26009">
        <w:rPr>
          <w:rFonts w:asciiTheme="minorHAnsi" w:hAnsiTheme="minorHAnsi"/>
        </w:rPr>
        <w:t xml:space="preserve"> e</w:t>
      </w:r>
      <w:r w:rsidR="0062122E" w:rsidRPr="00C26009">
        <w:rPr>
          <w:rFonts w:asciiTheme="minorHAnsi" w:hAnsiTheme="minorHAnsi"/>
        </w:rPr>
        <w:t>mployer will not pay a penalty if the required contribution</w:t>
      </w:r>
      <w:r w:rsidRPr="00C26009">
        <w:rPr>
          <w:rFonts w:asciiTheme="minorHAnsi" w:hAnsiTheme="minorHAnsi"/>
        </w:rPr>
        <w:t xml:space="preserve"> for employee</w:t>
      </w:r>
      <w:r w:rsidR="0062122E" w:rsidRPr="00C26009">
        <w:rPr>
          <w:rFonts w:asciiTheme="minorHAnsi" w:hAnsiTheme="minorHAnsi"/>
        </w:rPr>
        <w:t>-</w:t>
      </w:r>
      <w:r w:rsidRPr="00C26009">
        <w:rPr>
          <w:rFonts w:asciiTheme="minorHAnsi" w:hAnsiTheme="minorHAnsi"/>
        </w:rPr>
        <w:t xml:space="preserve">only coverage </w:t>
      </w:r>
      <w:r w:rsidR="00F1789A" w:rsidRPr="00C26009">
        <w:rPr>
          <w:rFonts w:asciiTheme="minorHAnsi" w:hAnsiTheme="minorHAnsi"/>
        </w:rPr>
        <w:t>meets one of the following safe harbors</w:t>
      </w:r>
      <w:r w:rsidR="005E5C06">
        <w:rPr>
          <w:rFonts w:asciiTheme="minorHAnsi" w:hAnsiTheme="minorHAnsi"/>
        </w:rPr>
        <w:t xml:space="preserve">.  </w:t>
      </w:r>
      <w:r w:rsidR="00F1789A" w:rsidRPr="00C26009">
        <w:rPr>
          <w:rFonts w:asciiTheme="minorHAnsi" w:hAnsiTheme="minorHAnsi"/>
        </w:rPr>
        <w:t>Employee contribution for single</w:t>
      </w:r>
      <w:r w:rsidR="00FB37E3">
        <w:rPr>
          <w:rFonts w:asciiTheme="minorHAnsi" w:hAnsiTheme="minorHAnsi"/>
        </w:rPr>
        <w:t>-</w:t>
      </w:r>
      <w:r w:rsidR="00F1789A" w:rsidRPr="00C26009">
        <w:rPr>
          <w:rFonts w:asciiTheme="minorHAnsi" w:hAnsiTheme="minorHAnsi"/>
        </w:rPr>
        <w:t>only coverage is</w:t>
      </w:r>
      <w:r w:rsidR="00C26009">
        <w:rPr>
          <w:rFonts w:asciiTheme="minorHAnsi" w:hAnsiTheme="minorHAnsi"/>
        </w:rPr>
        <w:t xml:space="preserve"> no more than 9.5% of</w:t>
      </w:r>
      <w:r w:rsidR="00F1789A" w:rsidRPr="00C26009">
        <w:rPr>
          <w:rFonts w:asciiTheme="minorHAnsi" w:hAnsiTheme="minorHAnsi"/>
        </w:rPr>
        <w:t>:</w:t>
      </w:r>
    </w:p>
    <w:p w:rsidR="007923FE" w:rsidRDefault="00FB37E3" w:rsidP="00F1789A">
      <w:pPr>
        <w:pStyle w:val="ListParagraph"/>
        <w:numPr>
          <w:ilvl w:val="1"/>
          <w:numId w:val="23"/>
        </w:numPr>
        <w:rPr>
          <w:rFonts w:asciiTheme="minorHAnsi" w:hAnsiTheme="minorHAnsi"/>
        </w:rPr>
      </w:pPr>
      <w:r>
        <w:rPr>
          <w:rFonts w:asciiTheme="minorHAnsi" w:hAnsiTheme="minorHAnsi"/>
        </w:rPr>
        <w:t>T</w:t>
      </w:r>
      <w:r w:rsidR="007923FE" w:rsidRPr="007923FE">
        <w:rPr>
          <w:rFonts w:asciiTheme="minorHAnsi" w:hAnsiTheme="minorHAnsi"/>
        </w:rPr>
        <w:t>he employee’s wages from the employer</w:t>
      </w:r>
      <w:r w:rsidR="00F71228">
        <w:rPr>
          <w:rFonts w:asciiTheme="minorHAnsi" w:hAnsiTheme="minorHAnsi"/>
        </w:rPr>
        <w:t xml:space="preserve"> regardless of the employee</w:t>
      </w:r>
      <w:r w:rsidR="001D3EEC">
        <w:rPr>
          <w:rFonts w:asciiTheme="minorHAnsi" w:hAnsiTheme="minorHAnsi"/>
        </w:rPr>
        <w:t>’</w:t>
      </w:r>
      <w:r w:rsidR="00F71228">
        <w:rPr>
          <w:rFonts w:asciiTheme="minorHAnsi" w:hAnsiTheme="minorHAnsi"/>
        </w:rPr>
        <w:t>s household income</w:t>
      </w:r>
      <w:r w:rsidR="007923FE" w:rsidRPr="007923FE">
        <w:rPr>
          <w:rFonts w:asciiTheme="minorHAnsi" w:hAnsiTheme="minorHAnsi"/>
        </w:rPr>
        <w:t>.</w:t>
      </w:r>
    </w:p>
    <w:p w:rsidR="00F1789A" w:rsidRDefault="00FB37E3" w:rsidP="00F1789A">
      <w:pPr>
        <w:pStyle w:val="ListParagraph"/>
        <w:numPr>
          <w:ilvl w:val="1"/>
          <w:numId w:val="23"/>
        </w:numPr>
        <w:rPr>
          <w:rFonts w:asciiTheme="minorHAnsi" w:hAnsiTheme="minorHAnsi"/>
        </w:rPr>
      </w:pPr>
      <w:r>
        <w:rPr>
          <w:rFonts w:asciiTheme="minorHAnsi" w:hAnsiTheme="minorHAnsi"/>
        </w:rPr>
        <w:t>T</w:t>
      </w:r>
      <w:r w:rsidR="00C26009">
        <w:rPr>
          <w:rFonts w:asciiTheme="minorHAnsi" w:hAnsiTheme="minorHAnsi"/>
        </w:rPr>
        <w:t>h</w:t>
      </w:r>
      <w:r w:rsidR="00F1789A">
        <w:rPr>
          <w:rFonts w:asciiTheme="minorHAnsi" w:hAnsiTheme="minorHAnsi"/>
        </w:rPr>
        <w:t>e hourly pay rate of the lowest paid full-time employees</w:t>
      </w:r>
      <w:r w:rsidR="00C26009">
        <w:rPr>
          <w:rFonts w:asciiTheme="minorHAnsi" w:hAnsiTheme="minorHAnsi"/>
        </w:rPr>
        <w:t>.</w:t>
      </w:r>
    </w:p>
    <w:p w:rsidR="00C941AD" w:rsidRDefault="00FB37E3" w:rsidP="00D33FE0">
      <w:pPr>
        <w:pStyle w:val="ListParagraph"/>
        <w:numPr>
          <w:ilvl w:val="1"/>
          <w:numId w:val="23"/>
        </w:numPr>
        <w:rPr>
          <w:rFonts w:asciiTheme="minorHAnsi" w:hAnsiTheme="minorHAnsi"/>
        </w:rPr>
      </w:pPr>
      <w:r>
        <w:rPr>
          <w:rFonts w:asciiTheme="minorHAnsi" w:hAnsiTheme="minorHAnsi"/>
        </w:rPr>
        <w:t>T</w:t>
      </w:r>
      <w:r w:rsidR="00F1789A" w:rsidRPr="00C26009">
        <w:rPr>
          <w:rFonts w:asciiTheme="minorHAnsi" w:hAnsiTheme="minorHAnsi"/>
        </w:rPr>
        <w:t>he applicable Federal Poverty Level</w:t>
      </w:r>
      <w:r>
        <w:rPr>
          <w:rFonts w:asciiTheme="minorHAnsi" w:hAnsiTheme="minorHAnsi"/>
        </w:rPr>
        <w:t xml:space="preserve"> </w:t>
      </w:r>
      <w:r w:rsidR="00F1789A" w:rsidRPr="00C26009">
        <w:rPr>
          <w:rFonts w:asciiTheme="minorHAnsi" w:hAnsiTheme="minorHAnsi"/>
        </w:rPr>
        <w:t>(FPL) for a single individual</w:t>
      </w:r>
      <w:r w:rsidR="00C26009">
        <w:rPr>
          <w:rFonts w:asciiTheme="minorHAnsi" w:hAnsiTheme="minorHAnsi"/>
        </w:rPr>
        <w:t>.</w:t>
      </w:r>
    </w:p>
    <w:p w:rsidR="00C26009" w:rsidRPr="00C26009" w:rsidRDefault="00C26009" w:rsidP="00C26009">
      <w:pPr>
        <w:pStyle w:val="ListParagraph"/>
        <w:ind w:left="1440"/>
        <w:rPr>
          <w:rFonts w:asciiTheme="minorHAnsi" w:hAnsiTheme="minorHAnsi"/>
        </w:rPr>
      </w:pPr>
    </w:p>
    <w:p w:rsidR="00BD2CDE" w:rsidRPr="00221B46" w:rsidRDefault="00BD2CDE" w:rsidP="00D33FE0">
      <w:pPr>
        <w:pStyle w:val="Heading2"/>
        <w:spacing w:before="0"/>
        <w:rPr>
          <w:color w:val="0070C0"/>
        </w:rPr>
      </w:pPr>
      <w:r w:rsidRPr="00221B46">
        <w:rPr>
          <w:color w:val="0070C0"/>
        </w:rPr>
        <w:t>Medicaid Eligibility</w:t>
      </w:r>
    </w:p>
    <w:p w:rsidR="00C26009" w:rsidRDefault="00C26009" w:rsidP="00D33FE0">
      <w:pPr>
        <w:pStyle w:val="Heading2"/>
        <w:spacing w:before="0"/>
        <w:rPr>
          <w:b w:val="0"/>
          <w:sz w:val="20"/>
          <w:szCs w:val="20"/>
        </w:rPr>
      </w:pPr>
    </w:p>
    <w:p w:rsidR="00C26009" w:rsidRDefault="00F11492" w:rsidP="00D33FE0">
      <w:pPr>
        <w:pStyle w:val="Heading2"/>
        <w:spacing w:before="0"/>
        <w:rPr>
          <w:b w:val="0"/>
          <w:sz w:val="20"/>
          <w:szCs w:val="20"/>
        </w:rPr>
      </w:pPr>
      <w:r>
        <w:rPr>
          <w:b w:val="0"/>
          <w:sz w:val="20"/>
          <w:szCs w:val="20"/>
        </w:rPr>
        <w:t>Currently Medicaid eligibil</w:t>
      </w:r>
      <w:r w:rsidR="007923FE">
        <w:rPr>
          <w:b w:val="0"/>
          <w:sz w:val="20"/>
          <w:szCs w:val="20"/>
        </w:rPr>
        <w:t>ity varies by state. Beginning i</w:t>
      </w:r>
      <w:r>
        <w:rPr>
          <w:b w:val="0"/>
          <w:sz w:val="20"/>
          <w:szCs w:val="20"/>
        </w:rPr>
        <w:t>n 2014</w:t>
      </w:r>
      <w:r w:rsidR="00DF75A6">
        <w:rPr>
          <w:b w:val="0"/>
          <w:sz w:val="20"/>
          <w:szCs w:val="20"/>
        </w:rPr>
        <w:t>,</w:t>
      </w:r>
      <w:r>
        <w:rPr>
          <w:b w:val="0"/>
          <w:sz w:val="20"/>
          <w:szCs w:val="20"/>
        </w:rPr>
        <w:t xml:space="preserve"> Medicaid eligibility </w:t>
      </w:r>
      <w:r w:rsidR="00C26009">
        <w:rPr>
          <w:b w:val="0"/>
          <w:sz w:val="20"/>
          <w:szCs w:val="20"/>
        </w:rPr>
        <w:t xml:space="preserve">is </w:t>
      </w:r>
      <w:r>
        <w:rPr>
          <w:b w:val="0"/>
          <w:sz w:val="20"/>
          <w:szCs w:val="20"/>
        </w:rPr>
        <w:t xml:space="preserve">expanded nationwide to an individual </w:t>
      </w:r>
      <w:r w:rsidR="000727C5">
        <w:rPr>
          <w:b w:val="0"/>
          <w:sz w:val="20"/>
          <w:szCs w:val="20"/>
        </w:rPr>
        <w:t>whose</w:t>
      </w:r>
      <w:r>
        <w:rPr>
          <w:b w:val="0"/>
          <w:sz w:val="20"/>
          <w:szCs w:val="20"/>
        </w:rPr>
        <w:t xml:space="preserve"> household income </w:t>
      </w:r>
      <w:r w:rsidR="00B04FAF">
        <w:rPr>
          <w:b w:val="0"/>
          <w:sz w:val="20"/>
          <w:szCs w:val="20"/>
        </w:rPr>
        <w:t>is no</w:t>
      </w:r>
      <w:r>
        <w:rPr>
          <w:b w:val="0"/>
          <w:sz w:val="20"/>
          <w:szCs w:val="20"/>
        </w:rPr>
        <w:t xml:space="preserve"> more than 138% of Federal Poverty Level</w:t>
      </w:r>
      <w:r w:rsidR="007923FE">
        <w:rPr>
          <w:b w:val="0"/>
          <w:sz w:val="20"/>
          <w:szCs w:val="20"/>
        </w:rPr>
        <w:t xml:space="preserve"> (FPL)</w:t>
      </w:r>
      <w:r>
        <w:rPr>
          <w:b w:val="0"/>
          <w:sz w:val="20"/>
          <w:szCs w:val="20"/>
        </w:rPr>
        <w:t>.</w:t>
      </w:r>
      <w:r w:rsidR="00B04FAF">
        <w:rPr>
          <w:b w:val="0"/>
          <w:sz w:val="20"/>
          <w:szCs w:val="20"/>
        </w:rPr>
        <w:t xml:space="preserve">  </w:t>
      </w:r>
      <w:r w:rsidR="00C26009">
        <w:rPr>
          <w:b w:val="0"/>
          <w:sz w:val="20"/>
          <w:szCs w:val="20"/>
        </w:rPr>
        <w:t xml:space="preserve">The </w:t>
      </w:r>
      <w:r w:rsidR="00FB37E3">
        <w:rPr>
          <w:b w:val="0"/>
          <w:sz w:val="20"/>
          <w:szCs w:val="20"/>
        </w:rPr>
        <w:t>f</w:t>
      </w:r>
      <w:r w:rsidR="00C26009">
        <w:rPr>
          <w:b w:val="0"/>
          <w:sz w:val="20"/>
          <w:szCs w:val="20"/>
        </w:rPr>
        <w:t>ederal government will pay for 100% of the costs of newly eligible Medicaid recipients through 2016</w:t>
      </w:r>
      <w:r w:rsidR="00FB37E3">
        <w:rPr>
          <w:b w:val="0"/>
          <w:sz w:val="20"/>
          <w:szCs w:val="20"/>
        </w:rPr>
        <w:t>.</w:t>
      </w:r>
    </w:p>
    <w:p w:rsidR="00C26009" w:rsidRDefault="00C26009" w:rsidP="00D33FE0">
      <w:pPr>
        <w:pStyle w:val="Heading2"/>
        <w:spacing w:before="0"/>
        <w:rPr>
          <w:b w:val="0"/>
          <w:sz w:val="20"/>
          <w:szCs w:val="20"/>
        </w:rPr>
      </w:pPr>
    </w:p>
    <w:p w:rsidR="00C26009" w:rsidRDefault="00C26009" w:rsidP="00D33FE0">
      <w:pPr>
        <w:pStyle w:val="Heading2"/>
        <w:spacing w:before="0"/>
        <w:rPr>
          <w:b w:val="0"/>
          <w:sz w:val="20"/>
          <w:szCs w:val="20"/>
        </w:rPr>
      </w:pPr>
      <w:r>
        <w:rPr>
          <w:b w:val="0"/>
          <w:sz w:val="20"/>
          <w:szCs w:val="20"/>
        </w:rPr>
        <w:t>Current Medicaid eligibility rules vary significantly from state to state and now</w:t>
      </w:r>
      <w:r w:rsidR="00214EEC">
        <w:rPr>
          <w:b w:val="0"/>
          <w:sz w:val="20"/>
          <w:szCs w:val="20"/>
        </w:rPr>
        <w:t>,</w:t>
      </w:r>
      <w:r>
        <w:rPr>
          <w:b w:val="0"/>
          <w:sz w:val="20"/>
          <w:szCs w:val="20"/>
        </w:rPr>
        <w:t xml:space="preserve"> due to the 2012 Supreme Court decision</w:t>
      </w:r>
      <w:r w:rsidR="00214EEC">
        <w:rPr>
          <w:b w:val="0"/>
          <w:sz w:val="20"/>
          <w:szCs w:val="20"/>
        </w:rPr>
        <w:t>,</w:t>
      </w:r>
      <w:r>
        <w:rPr>
          <w:b w:val="0"/>
          <w:sz w:val="20"/>
          <w:szCs w:val="20"/>
        </w:rPr>
        <w:t xml:space="preserve"> states may individual</w:t>
      </w:r>
      <w:r w:rsidR="00214EEC">
        <w:rPr>
          <w:b w:val="0"/>
          <w:sz w:val="20"/>
          <w:szCs w:val="20"/>
        </w:rPr>
        <w:t>ly</w:t>
      </w:r>
      <w:r>
        <w:rPr>
          <w:b w:val="0"/>
          <w:sz w:val="20"/>
          <w:szCs w:val="20"/>
        </w:rPr>
        <w:t xml:space="preserve"> choose whether to participate in the ACA Medicaid expansion.  Consequently</w:t>
      </w:r>
      <w:r w:rsidR="00214EEC">
        <w:rPr>
          <w:b w:val="0"/>
          <w:sz w:val="20"/>
          <w:szCs w:val="20"/>
        </w:rPr>
        <w:t>,</w:t>
      </w:r>
      <w:r>
        <w:rPr>
          <w:b w:val="0"/>
          <w:sz w:val="20"/>
          <w:szCs w:val="20"/>
        </w:rPr>
        <w:t xml:space="preserve"> the impact that Medicaid expansion will have on any particular employer will be dependent on </w:t>
      </w:r>
      <w:r w:rsidR="00214EEC">
        <w:rPr>
          <w:b w:val="0"/>
          <w:sz w:val="20"/>
          <w:szCs w:val="20"/>
        </w:rPr>
        <w:t xml:space="preserve">the </w:t>
      </w:r>
      <w:r>
        <w:rPr>
          <w:b w:val="0"/>
          <w:sz w:val="20"/>
          <w:szCs w:val="20"/>
        </w:rPr>
        <w:t>number of employees living in states choosing to adopt the expanded Medicaid definition.</w:t>
      </w:r>
    </w:p>
    <w:p w:rsidR="00C26009" w:rsidRDefault="00C26009" w:rsidP="00D33FE0">
      <w:pPr>
        <w:pStyle w:val="Heading2"/>
        <w:spacing w:before="0"/>
        <w:rPr>
          <w:b w:val="0"/>
          <w:sz w:val="20"/>
          <w:szCs w:val="20"/>
        </w:rPr>
      </w:pPr>
    </w:p>
    <w:p w:rsidR="00E32395" w:rsidRPr="00E32395" w:rsidRDefault="005E5C06" w:rsidP="005E5C06">
      <w:pPr>
        <w:pStyle w:val="Heading2"/>
        <w:spacing w:before="0"/>
      </w:pPr>
      <w:r>
        <w:rPr>
          <w:b w:val="0"/>
          <w:sz w:val="20"/>
          <w:szCs w:val="20"/>
        </w:rPr>
        <w:t xml:space="preserve">States are expected to increase the use of the </w:t>
      </w:r>
      <w:r w:rsidR="00B04FAF">
        <w:rPr>
          <w:b w:val="0"/>
          <w:sz w:val="20"/>
          <w:szCs w:val="20"/>
        </w:rPr>
        <w:t xml:space="preserve">Medicaid </w:t>
      </w:r>
      <w:r w:rsidR="007923FE">
        <w:rPr>
          <w:b w:val="0"/>
          <w:sz w:val="20"/>
          <w:szCs w:val="20"/>
        </w:rPr>
        <w:t>Health insurance Premium Payment P</w:t>
      </w:r>
      <w:r w:rsidR="00B04FAF">
        <w:rPr>
          <w:b w:val="0"/>
          <w:sz w:val="20"/>
          <w:szCs w:val="20"/>
        </w:rPr>
        <w:t xml:space="preserve">rogram </w:t>
      </w:r>
      <w:r w:rsidR="007923FE">
        <w:rPr>
          <w:b w:val="0"/>
          <w:sz w:val="20"/>
          <w:szCs w:val="20"/>
        </w:rPr>
        <w:t>(HIPP)</w:t>
      </w:r>
      <w:r>
        <w:rPr>
          <w:b w:val="0"/>
          <w:sz w:val="20"/>
          <w:szCs w:val="20"/>
        </w:rPr>
        <w:t>.  HIPP allows st</w:t>
      </w:r>
      <w:r w:rsidR="00B04FAF">
        <w:rPr>
          <w:b w:val="0"/>
          <w:sz w:val="20"/>
          <w:szCs w:val="20"/>
        </w:rPr>
        <w:t xml:space="preserve">ates </w:t>
      </w:r>
      <w:r>
        <w:rPr>
          <w:b w:val="0"/>
          <w:sz w:val="20"/>
          <w:szCs w:val="20"/>
        </w:rPr>
        <w:t xml:space="preserve">to </w:t>
      </w:r>
      <w:r w:rsidR="00B04FAF">
        <w:rPr>
          <w:b w:val="0"/>
          <w:sz w:val="20"/>
          <w:szCs w:val="20"/>
        </w:rPr>
        <w:t>pay an employee’s contribution to an employer</w:t>
      </w:r>
      <w:r w:rsidR="00214EEC">
        <w:rPr>
          <w:b w:val="0"/>
          <w:sz w:val="20"/>
          <w:szCs w:val="20"/>
        </w:rPr>
        <w:t>-</w:t>
      </w:r>
      <w:r w:rsidR="00B04FAF">
        <w:rPr>
          <w:b w:val="0"/>
          <w:sz w:val="20"/>
          <w:szCs w:val="20"/>
        </w:rPr>
        <w:t xml:space="preserve">sponsored health plan </w:t>
      </w:r>
      <w:r>
        <w:rPr>
          <w:b w:val="0"/>
          <w:sz w:val="20"/>
          <w:szCs w:val="20"/>
        </w:rPr>
        <w:t xml:space="preserve">(if the employee is </w:t>
      </w:r>
      <w:r w:rsidR="00B04FAF">
        <w:rPr>
          <w:b w:val="0"/>
          <w:sz w:val="20"/>
          <w:szCs w:val="20"/>
        </w:rPr>
        <w:t>eligible</w:t>
      </w:r>
      <w:r>
        <w:rPr>
          <w:b w:val="0"/>
          <w:sz w:val="20"/>
          <w:szCs w:val="20"/>
        </w:rPr>
        <w:t>)</w:t>
      </w:r>
      <w:r w:rsidR="00B04FAF">
        <w:rPr>
          <w:b w:val="0"/>
          <w:sz w:val="20"/>
          <w:szCs w:val="20"/>
        </w:rPr>
        <w:t xml:space="preserve">.  </w:t>
      </w:r>
      <w:r>
        <w:rPr>
          <w:b w:val="0"/>
          <w:sz w:val="20"/>
          <w:szCs w:val="20"/>
        </w:rPr>
        <w:t xml:space="preserve">This </w:t>
      </w:r>
      <w:r w:rsidR="00214EEC">
        <w:rPr>
          <w:b w:val="0"/>
          <w:sz w:val="20"/>
          <w:szCs w:val="20"/>
        </w:rPr>
        <w:t xml:space="preserve">provision </w:t>
      </w:r>
      <w:r>
        <w:rPr>
          <w:b w:val="0"/>
          <w:sz w:val="20"/>
          <w:szCs w:val="20"/>
        </w:rPr>
        <w:t xml:space="preserve">may </w:t>
      </w:r>
      <w:r w:rsidR="00B04FAF">
        <w:rPr>
          <w:b w:val="0"/>
          <w:sz w:val="20"/>
          <w:szCs w:val="20"/>
        </w:rPr>
        <w:t>increase the number of Medicaid</w:t>
      </w:r>
      <w:r w:rsidR="00214EEC">
        <w:rPr>
          <w:b w:val="0"/>
          <w:sz w:val="20"/>
          <w:szCs w:val="20"/>
        </w:rPr>
        <w:t>-</w:t>
      </w:r>
      <w:r w:rsidR="00B04FAF">
        <w:rPr>
          <w:b w:val="0"/>
          <w:sz w:val="20"/>
          <w:szCs w:val="20"/>
        </w:rPr>
        <w:t xml:space="preserve">eligible employees </w:t>
      </w:r>
      <w:r w:rsidR="007923FE">
        <w:rPr>
          <w:b w:val="0"/>
          <w:sz w:val="20"/>
          <w:szCs w:val="20"/>
        </w:rPr>
        <w:t xml:space="preserve">and their families </w:t>
      </w:r>
      <w:r w:rsidR="00B04FAF">
        <w:rPr>
          <w:b w:val="0"/>
          <w:sz w:val="20"/>
          <w:szCs w:val="20"/>
        </w:rPr>
        <w:t>enrol</w:t>
      </w:r>
      <w:r w:rsidR="007923FE">
        <w:rPr>
          <w:b w:val="0"/>
          <w:sz w:val="20"/>
          <w:szCs w:val="20"/>
        </w:rPr>
        <w:t>led in employer</w:t>
      </w:r>
      <w:r w:rsidR="00214EEC">
        <w:rPr>
          <w:b w:val="0"/>
          <w:sz w:val="20"/>
          <w:szCs w:val="20"/>
        </w:rPr>
        <w:t>-</w:t>
      </w:r>
      <w:r w:rsidR="007923FE">
        <w:rPr>
          <w:b w:val="0"/>
          <w:sz w:val="20"/>
          <w:szCs w:val="20"/>
        </w:rPr>
        <w:t>sponsored plans</w:t>
      </w:r>
      <w:r>
        <w:rPr>
          <w:b w:val="0"/>
          <w:sz w:val="20"/>
          <w:szCs w:val="20"/>
        </w:rPr>
        <w:t xml:space="preserve">. </w:t>
      </w:r>
    </w:p>
    <w:p w:rsidR="0069644D" w:rsidRPr="00221B46" w:rsidRDefault="00BD2CDE" w:rsidP="00BD2CDE">
      <w:pPr>
        <w:pStyle w:val="Heading2"/>
        <w:rPr>
          <w:rFonts w:asciiTheme="minorHAnsi" w:hAnsiTheme="minorHAnsi" w:cs="Arial"/>
          <w:color w:val="0070C0"/>
          <w:szCs w:val="20"/>
        </w:rPr>
      </w:pPr>
      <w:r w:rsidRPr="00221B46">
        <w:rPr>
          <w:color w:val="0070C0"/>
        </w:rPr>
        <w:t>Analysis</w:t>
      </w:r>
      <w:r w:rsidR="00885565" w:rsidRPr="00221B46">
        <w:rPr>
          <w:rFonts w:asciiTheme="minorHAnsi" w:hAnsiTheme="minorHAnsi" w:cs="Arial"/>
          <w:color w:val="0070C0"/>
          <w:szCs w:val="20"/>
        </w:rPr>
        <w:t xml:space="preserve"> Process</w:t>
      </w:r>
    </w:p>
    <w:p w:rsidR="005E5C06" w:rsidRDefault="005E5C06" w:rsidP="00BD2CDE">
      <w:pPr>
        <w:rPr>
          <w:rFonts w:asciiTheme="minorHAnsi" w:hAnsiTheme="minorHAnsi" w:cs="Arial"/>
          <w:szCs w:val="20"/>
        </w:rPr>
      </w:pPr>
    </w:p>
    <w:p w:rsidR="00510B64" w:rsidRDefault="00BD2CDE" w:rsidP="00BD2CDE">
      <w:pPr>
        <w:rPr>
          <w:rFonts w:asciiTheme="minorHAnsi" w:hAnsiTheme="minorHAnsi" w:cs="Arial"/>
          <w:szCs w:val="20"/>
        </w:rPr>
      </w:pPr>
      <w:r>
        <w:rPr>
          <w:rFonts w:asciiTheme="minorHAnsi" w:hAnsiTheme="minorHAnsi" w:cs="Arial"/>
          <w:szCs w:val="20"/>
        </w:rPr>
        <w:t xml:space="preserve">This </w:t>
      </w:r>
      <w:r w:rsidRPr="00BD2CDE">
        <w:rPr>
          <w:rFonts w:asciiTheme="minorHAnsi" w:hAnsiTheme="minorHAnsi" w:cs="Arial"/>
          <w:i/>
          <w:szCs w:val="20"/>
        </w:rPr>
        <w:t>Health Reform Impact Analysis Report</w:t>
      </w:r>
      <w:r>
        <w:rPr>
          <w:rFonts w:asciiTheme="minorHAnsi" w:hAnsiTheme="minorHAnsi" w:cs="Arial"/>
          <w:szCs w:val="20"/>
        </w:rPr>
        <w:t xml:space="preserve"> has </w:t>
      </w:r>
      <w:r w:rsidR="00B04FAF">
        <w:rPr>
          <w:rFonts w:asciiTheme="minorHAnsi" w:hAnsiTheme="minorHAnsi" w:cs="Arial"/>
          <w:szCs w:val="20"/>
        </w:rPr>
        <w:t xml:space="preserve">analyzed </w:t>
      </w:r>
      <w:r>
        <w:rPr>
          <w:rFonts w:asciiTheme="minorHAnsi" w:hAnsiTheme="minorHAnsi" w:cs="Arial"/>
          <w:szCs w:val="20"/>
        </w:rPr>
        <w:t>census data provided by the employer and use</w:t>
      </w:r>
      <w:r w:rsidR="00B04FAF">
        <w:rPr>
          <w:rFonts w:asciiTheme="minorHAnsi" w:hAnsiTheme="minorHAnsi" w:cs="Arial"/>
          <w:szCs w:val="20"/>
        </w:rPr>
        <w:t>s</w:t>
      </w:r>
      <w:r>
        <w:rPr>
          <w:rFonts w:asciiTheme="minorHAnsi" w:hAnsiTheme="minorHAnsi" w:cs="Arial"/>
          <w:szCs w:val="20"/>
        </w:rPr>
        <w:t xml:space="preserve"> proprietary algorithms to calculate the estimated financial impact of various provisions of the health reform legislation.</w:t>
      </w:r>
      <w:r w:rsidR="007E50DB">
        <w:rPr>
          <w:rFonts w:asciiTheme="minorHAnsi" w:hAnsiTheme="minorHAnsi" w:cs="Arial"/>
          <w:szCs w:val="20"/>
        </w:rPr>
        <w:t xml:space="preserve"> </w:t>
      </w:r>
      <w:r w:rsidR="00214EEC">
        <w:rPr>
          <w:rFonts w:asciiTheme="minorHAnsi" w:hAnsiTheme="minorHAnsi" w:cs="Arial"/>
          <w:szCs w:val="20"/>
        </w:rPr>
        <w:t xml:space="preserve"> </w:t>
      </w:r>
      <w:r w:rsidR="007E50DB">
        <w:rPr>
          <w:rFonts w:asciiTheme="minorHAnsi" w:hAnsiTheme="minorHAnsi" w:cs="Arial"/>
          <w:szCs w:val="20"/>
        </w:rPr>
        <w:t xml:space="preserve">The actual results an employer will experience will depend on a number of factors </w:t>
      </w:r>
      <w:r w:rsidR="00214EEC">
        <w:rPr>
          <w:rFonts w:asciiTheme="minorHAnsi" w:hAnsiTheme="minorHAnsi" w:cs="Arial"/>
          <w:szCs w:val="20"/>
        </w:rPr>
        <w:t>that</w:t>
      </w:r>
      <w:r w:rsidR="007E50DB">
        <w:rPr>
          <w:rFonts w:asciiTheme="minorHAnsi" w:hAnsiTheme="minorHAnsi" w:cs="Arial"/>
          <w:szCs w:val="20"/>
        </w:rPr>
        <w:t xml:space="preserve"> are currently unknown</w:t>
      </w:r>
      <w:r w:rsidR="004A4B95">
        <w:rPr>
          <w:rFonts w:asciiTheme="minorHAnsi" w:hAnsiTheme="minorHAnsi" w:cs="Arial"/>
          <w:szCs w:val="20"/>
        </w:rPr>
        <w:t>.  A</w:t>
      </w:r>
      <w:r w:rsidR="007E50DB">
        <w:rPr>
          <w:rFonts w:asciiTheme="minorHAnsi" w:hAnsiTheme="minorHAnsi" w:cs="Arial"/>
          <w:szCs w:val="20"/>
        </w:rPr>
        <w:t xml:space="preserve">ctuarial and statistical assumptions were made to </w:t>
      </w:r>
      <w:r w:rsidR="007923FE">
        <w:rPr>
          <w:rFonts w:asciiTheme="minorHAnsi" w:hAnsiTheme="minorHAnsi" w:cs="Arial"/>
          <w:szCs w:val="20"/>
        </w:rPr>
        <w:t>estimate</w:t>
      </w:r>
      <w:r w:rsidR="007E50DB">
        <w:rPr>
          <w:rFonts w:asciiTheme="minorHAnsi" w:hAnsiTheme="minorHAnsi" w:cs="Arial"/>
          <w:szCs w:val="20"/>
        </w:rPr>
        <w:t xml:space="preserve"> results as accurately as possible</w:t>
      </w:r>
      <w:r w:rsidR="007923FE">
        <w:rPr>
          <w:rFonts w:asciiTheme="minorHAnsi" w:hAnsiTheme="minorHAnsi" w:cs="Arial"/>
          <w:szCs w:val="20"/>
        </w:rPr>
        <w:t xml:space="preserve"> at this time</w:t>
      </w:r>
      <w:r w:rsidR="007E50DB">
        <w:rPr>
          <w:rFonts w:asciiTheme="minorHAnsi" w:hAnsiTheme="minorHAnsi" w:cs="Arial"/>
          <w:szCs w:val="20"/>
        </w:rPr>
        <w:t>.</w:t>
      </w:r>
    </w:p>
    <w:p w:rsidR="00F612AB" w:rsidRDefault="00F612AB" w:rsidP="00BD2CDE">
      <w:pPr>
        <w:rPr>
          <w:rFonts w:asciiTheme="minorHAnsi" w:hAnsiTheme="minorHAnsi" w:cs="Arial"/>
          <w:szCs w:val="20"/>
        </w:rPr>
      </w:pPr>
    </w:p>
    <w:p w:rsidR="00F612AB" w:rsidRPr="007923FE" w:rsidRDefault="00F612AB" w:rsidP="007923FE">
      <w:pPr>
        <w:rPr>
          <w:rFonts w:asciiTheme="minorHAnsi" w:hAnsiTheme="minorHAnsi" w:cs="Arial"/>
          <w:szCs w:val="20"/>
        </w:rPr>
      </w:pPr>
      <w:r w:rsidRPr="007923FE">
        <w:rPr>
          <w:rFonts w:asciiTheme="minorHAnsi" w:hAnsiTheme="minorHAnsi" w:cs="Arial"/>
          <w:szCs w:val="20"/>
        </w:rPr>
        <w:t>Many results are a function of an employee’s household income</w:t>
      </w:r>
      <w:r w:rsidR="001D3EEC">
        <w:rPr>
          <w:rFonts w:asciiTheme="minorHAnsi" w:hAnsiTheme="minorHAnsi" w:cs="Arial"/>
          <w:szCs w:val="20"/>
        </w:rPr>
        <w:t>,</w:t>
      </w:r>
      <w:r w:rsidRPr="007923FE">
        <w:rPr>
          <w:rFonts w:asciiTheme="minorHAnsi" w:hAnsiTheme="minorHAnsi" w:cs="Arial"/>
          <w:szCs w:val="20"/>
        </w:rPr>
        <w:t xml:space="preserve"> which is not available to most employers. </w:t>
      </w:r>
      <w:r w:rsidR="00214EEC">
        <w:rPr>
          <w:rFonts w:asciiTheme="minorHAnsi" w:hAnsiTheme="minorHAnsi" w:cs="Arial"/>
          <w:szCs w:val="20"/>
        </w:rPr>
        <w:t xml:space="preserve"> </w:t>
      </w:r>
      <w:r w:rsidRPr="007923FE">
        <w:rPr>
          <w:rFonts w:asciiTheme="minorHAnsi" w:hAnsiTheme="minorHAnsi" w:cs="Arial"/>
          <w:szCs w:val="20"/>
        </w:rPr>
        <w:t xml:space="preserve">This report uses </w:t>
      </w:r>
      <w:r w:rsidR="005E5C06">
        <w:rPr>
          <w:rFonts w:asciiTheme="minorHAnsi" w:hAnsiTheme="minorHAnsi" w:cs="Arial"/>
          <w:szCs w:val="20"/>
        </w:rPr>
        <w:t xml:space="preserve">assumptions </w:t>
      </w:r>
      <w:r w:rsidRPr="007923FE">
        <w:rPr>
          <w:rFonts w:asciiTheme="minorHAnsi" w:hAnsiTheme="minorHAnsi" w:cs="Arial"/>
          <w:szCs w:val="20"/>
        </w:rPr>
        <w:t>that take into consideration a number of factors to attemp</w:t>
      </w:r>
      <w:r w:rsidR="005E5C06">
        <w:rPr>
          <w:rFonts w:asciiTheme="minorHAnsi" w:hAnsiTheme="minorHAnsi" w:cs="Arial"/>
          <w:szCs w:val="20"/>
        </w:rPr>
        <w:t>t to estimate household income.</w:t>
      </w:r>
      <w:r w:rsidRPr="007923FE">
        <w:rPr>
          <w:rFonts w:asciiTheme="minorHAnsi" w:hAnsiTheme="minorHAnsi" w:cs="Arial"/>
          <w:szCs w:val="20"/>
        </w:rPr>
        <w:t xml:space="preserve"> </w:t>
      </w:r>
      <w:r w:rsidR="00214EEC">
        <w:rPr>
          <w:rFonts w:asciiTheme="minorHAnsi" w:hAnsiTheme="minorHAnsi" w:cs="Arial"/>
          <w:szCs w:val="20"/>
        </w:rPr>
        <w:t xml:space="preserve"> </w:t>
      </w:r>
      <w:r w:rsidRPr="007923FE">
        <w:rPr>
          <w:rFonts w:asciiTheme="minorHAnsi" w:hAnsiTheme="minorHAnsi" w:cs="Arial"/>
          <w:szCs w:val="20"/>
        </w:rPr>
        <w:t>The calculation is based on censu</w:t>
      </w:r>
      <w:r w:rsidR="004A4B95" w:rsidRPr="007923FE">
        <w:rPr>
          <w:rFonts w:asciiTheme="minorHAnsi" w:hAnsiTheme="minorHAnsi" w:cs="Arial"/>
          <w:szCs w:val="20"/>
        </w:rPr>
        <w:t xml:space="preserve">s data, employee demographics, employee </w:t>
      </w:r>
      <w:r w:rsidRPr="007923FE">
        <w:rPr>
          <w:rFonts w:asciiTheme="minorHAnsi" w:hAnsiTheme="minorHAnsi" w:cs="Arial"/>
          <w:szCs w:val="20"/>
        </w:rPr>
        <w:t>income level,</w:t>
      </w:r>
      <w:r w:rsidR="005E5C06">
        <w:rPr>
          <w:rFonts w:asciiTheme="minorHAnsi" w:hAnsiTheme="minorHAnsi" w:cs="Arial"/>
          <w:szCs w:val="20"/>
        </w:rPr>
        <w:t xml:space="preserve"> and other factors.  </w:t>
      </w:r>
    </w:p>
    <w:p w:rsidR="007E50DB" w:rsidRDefault="007E50DB" w:rsidP="00BD2CDE">
      <w:pPr>
        <w:rPr>
          <w:rFonts w:asciiTheme="minorHAnsi" w:hAnsiTheme="minorHAnsi" w:cs="Arial"/>
          <w:szCs w:val="20"/>
        </w:rPr>
      </w:pPr>
    </w:p>
    <w:p w:rsidR="00CD7756" w:rsidRPr="007923FE" w:rsidRDefault="00CD7756">
      <w:pPr>
        <w:rPr>
          <w:rFonts w:asciiTheme="minorHAnsi" w:hAnsiTheme="minorHAnsi" w:cs="Arial"/>
          <w:b/>
          <w:i/>
          <w:sz w:val="18"/>
          <w:szCs w:val="18"/>
        </w:rPr>
      </w:pPr>
      <w:r w:rsidRPr="007923FE">
        <w:rPr>
          <w:rFonts w:asciiTheme="minorHAnsi" w:hAnsiTheme="minorHAnsi" w:cs="Arial"/>
          <w:b/>
          <w:i/>
          <w:sz w:val="18"/>
          <w:szCs w:val="18"/>
        </w:rPr>
        <w:t>Important Note:</w:t>
      </w:r>
    </w:p>
    <w:p w:rsidR="007E50DB" w:rsidRPr="007923FE" w:rsidRDefault="00CD7756">
      <w:pPr>
        <w:rPr>
          <w:rFonts w:asciiTheme="minorHAnsi" w:hAnsiTheme="minorHAnsi" w:cs="Arial"/>
          <w:sz w:val="18"/>
          <w:szCs w:val="18"/>
        </w:rPr>
      </w:pPr>
      <w:r w:rsidRPr="007923FE">
        <w:rPr>
          <w:rFonts w:asciiTheme="minorHAnsi" w:hAnsiTheme="minorHAnsi" w:cs="Arial"/>
          <w:b/>
          <w:i/>
          <w:sz w:val="18"/>
          <w:szCs w:val="18"/>
        </w:rPr>
        <w:t>All data provided is based on assumptions that may or may not reflect the actual behavior and choices made by individual</w:t>
      </w:r>
      <w:r w:rsidR="00DF75A6" w:rsidRPr="007923FE">
        <w:rPr>
          <w:rFonts w:asciiTheme="minorHAnsi" w:hAnsiTheme="minorHAnsi" w:cs="Arial"/>
          <w:b/>
          <w:i/>
          <w:sz w:val="18"/>
          <w:szCs w:val="18"/>
        </w:rPr>
        <w:t>s</w:t>
      </w:r>
      <w:r w:rsidRPr="007923FE">
        <w:rPr>
          <w:rFonts w:asciiTheme="minorHAnsi" w:hAnsiTheme="minorHAnsi" w:cs="Arial"/>
          <w:b/>
          <w:i/>
          <w:sz w:val="18"/>
          <w:szCs w:val="18"/>
        </w:rPr>
        <w:t xml:space="preserve"> based on their particular circumstances.  The results are designed to provide the employer with illustrations to assist in identifying the impact of various he</w:t>
      </w:r>
      <w:r w:rsidR="007923FE">
        <w:rPr>
          <w:rFonts w:asciiTheme="minorHAnsi" w:hAnsiTheme="minorHAnsi" w:cs="Arial"/>
          <w:b/>
          <w:i/>
          <w:sz w:val="18"/>
          <w:szCs w:val="18"/>
        </w:rPr>
        <w:t>alth reform changes.  The report</w:t>
      </w:r>
      <w:r w:rsidRPr="007923FE">
        <w:rPr>
          <w:rFonts w:asciiTheme="minorHAnsi" w:hAnsiTheme="minorHAnsi" w:cs="Arial"/>
          <w:b/>
          <w:i/>
          <w:sz w:val="18"/>
          <w:szCs w:val="18"/>
        </w:rPr>
        <w:t xml:space="preserve"> </w:t>
      </w:r>
      <w:r w:rsidR="007923FE">
        <w:rPr>
          <w:rFonts w:asciiTheme="minorHAnsi" w:hAnsiTheme="minorHAnsi" w:cs="Arial"/>
          <w:b/>
          <w:i/>
          <w:sz w:val="18"/>
          <w:szCs w:val="18"/>
        </w:rPr>
        <w:t>can</w:t>
      </w:r>
      <w:r w:rsidRPr="007923FE">
        <w:rPr>
          <w:rFonts w:asciiTheme="minorHAnsi" w:hAnsiTheme="minorHAnsi" w:cs="Arial"/>
          <w:b/>
          <w:i/>
          <w:sz w:val="18"/>
          <w:szCs w:val="18"/>
        </w:rPr>
        <w:t>not predict exact financial results.</w:t>
      </w:r>
    </w:p>
    <w:p w:rsidR="009A33DE" w:rsidRDefault="009A33DE">
      <w:pPr>
        <w:rPr>
          <w:rFonts w:asciiTheme="minorHAnsi" w:hAnsiTheme="minorHAnsi" w:cs="Arial"/>
          <w:b/>
          <w:sz w:val="28"/>
          <w:szCs w:val="28"/>
          <w:u w:val="single"/>
        </w:rPr>
      </w:pPr>
      <w:r>
        <w:rPr>
          <w:rFonts w:asciiTheme="minorHAnsi" w:hAnsiTheme="minorHAnsi" w:cs="Arial"/>
          <w:b/>
          <w:sz w:val="28"/>
          <w:szCs w:val="28"/>
          <w:u w:val="single"/>
        </w:rPr>
        <w:br w:type="page"/>
      </w:r>
    </w:p>
    <w:p w:rsidR="00885565" w:rsidRPr="00885565" w:rsidRDefault="00885565" w:rsidP="00531761">
      <w:pPr>
        <w:rPr>
          <w:rFonts w:asciiTheme="minorHAnsi" w:hAnsiTheme="minorHAnsi" w:cs="Arial"/>
          <w:b/>
          <w:sz w:val="28"/>
          <w:szCs w:val="28"/>
          <w:u w:val="single"/>
        </w:rPr>
      </w:pPr>
      <w:r w:rsidRPr="00885565">
        <w:rPr>
          <w:rFonts w:asciiTheme="minorHAnsi" w:hAnsiTheme="minorHAnsi" w:cs="Arial"/>
          <w:b/>
          <w:sz w:val="28"/>
          <w:szCs w:val="28"/>
          <w:u w:val="single"/>
        </w:rPr>
        <w:lastRenderedPageBreak/>
        <w:t>Impact of Health Reform Provisions</w:t>
      </w:r>
    </w:p>
    <w:p w:rsidR="00885565" w:rsidRDefault="00885565" w:rsidP="00531761">
      <w:pPr>
        <w:rPr>
          <w:rFonts w:asciiTheme="minorHAnsi" w:hAnsiTheme="minorHAnsi" w:cs="Arial"/>
          <w:b/>
          <w:szCs w:val="20"/>
        </w:rPr>
      </w:pPr>
    </w:p>
    <w:p w:rsidR="00221B46" w:rsidRPr="00221B46" w:rsidRDefault="00221B46" w:rsidP="00221B46">
      <w:pPr>
        <w:rPr>
          <w:rFonts w:asciiTheme="minorHAnsi" w:hAnsiTheme="minorHAnsi" w:cs="Arial"/>
          <w:b/>
          <w:color w:val="0070C0"/>
          <w:sz w:val="24"/>
          <w:szCs w:val="24"/>
        </w:rPr>
      </w:pPr>
      <w:r w:rsidRPr="00221B46">
        <w:rPr>
          <w:rFonts w:asciiTheme="minorHAnsi" w:hAnsiTheme="minorHAnsi" w:cs="Arial"/>
          <w:b/>
          <w:color w:val="0070C0"/>
          <w:sz w:val="24"/>
          <w:szCs w:val="24"/>
        </w:rPr>
        <w:t>Full-Time Eligibility</w:t>
      </w:r>
    </w:p>
    <w:p w:rsidR="00801096" w:rsidRDefault="00221B46" w:rsidP="00221B46">
      <w:pPr>
        <w:pStyle w:val="NoSpacing"/>
        <w:rPr>
          <w:rFonts w:asciiTheme="minorHAnsi" w:hAnsiTheme="minorHAnsi" w:cs="Arial"/>
          <w:szCs w:val="20"/>
        </w:rPr>
      </w:pPr>
      <w:r>
        <w:rPr>
          <w:rFonts w:asciiTheme="minorHAnsi" w:hAnsiTheme="minorHAnsi" w:cs="Arial"/>
          <w:szCs w:val="20"/>
        </w:rPr>
        <w:t xml:space="preserve">The employer shared responsibility rules require employers to offer coverage to all employees who work 30 hours or more per week.  This </w:t>
      </w:r>
      <w:r w:rsidR="00E964EC">
        <w:rPr>
          <w:rFonts w:asciiTheme="minorHAnsi" w:hAnsiTheme="minorHAnsi" w:cs="Arial"/>
          <w:szCs w:val="20"/>
        </w:rPr>
        <w:t xml:space="preserve">report analyzed </w:t>
      </w:r>
      <w:r>
        <w:rPr>
          <w:rFonts w:asciiTheme="minorHAnsi" w:hAnsiTheme="minorHAnsi" w:cs="Arial"/>
          <w:szCs w:val="20"/>
        </w:rPr>
        <w:t xml:space="preserve">the number of employees not eligible for coverage </w:t>
      </w:r>
      <w:r w:rsidR="00E964EC">
        <w:rPr>
          <w:rFonts w:asciiTheme="minorHAnsi" w:hAnsiTheme="minorHAnsi" w:cs="Arial"/>
          <w:szCs w:val="20"/>
        </w:rPr>
        <w:t xml:space="preserve">due to the employer’s </w:t>
      </w:r>
      <w:r w:rsidR="00801096">
        <w:rPr>
          <w:rFonts w:asciiTheme="minorHAnsi" w:hAnsiTheme="minorHAnsi" w:cs="Arial"/>
          <w:szCs w:val="20"/>
        </w:rPr>
        <w:t>current eligibility definition and estimates the additional employer cost to cover these newly eligible individuals.</w:t>
      </w:r>
    </w:p>
    <w:p w:rsidR="00801096" w:rsidRDefault="00801096" w:rsidP="00221B46">
      <w:pPr>
        <w:pStyle w:val="NoSpacing"/>
        <w:rPr>
          <w:rFonts w:asciiTheme="minorHAnsi" w:hAnsiTheme="minorHAnsi" w:cs="Arial"/>
          <w:szCs w:val="20"/>
        </w:rPr>
      </w:pPr>
    </w:p>
    <w:p w:rsidR="00801096" w:rsidRPr="00801096" w:rsidRDefault="00801096" w:rsidP="00221B46">
      <w:pPr>
        <w:pStyle w:val="NoSpacing"/>
        <w:rPr>
          <w:rFonts w:asciiTheme="minorHAnsi" w:hAnsiTheme="minorHAnsi" w:cs="Arial"/>
          <w:b/>
          <w:szCs w:val="20"/>
        </w:rPr>
      </w:pPr>
      <w:r w:rsidRPr="00801096">
        <w:rPr>
          <w:rFonts w:asciiTheme="minorHAnsi" w:hAnsiTheme="minorHAnsi" w:cs="Arial"/>
          <w:b/>
          <w:szCs w:val="20"/>
        </w:rPr>
        <w:t>Individuals working at least 30 hours a week but less than the employer</w:t>
      </w:r>
      <w:r w:rsidR="001D3EEC">
        <w:rPr>
          <w:rFonts w:asciiTheme="minorHAnsi" w:hAnsiTheme="minorHAnsi" w:cs="Arial"/>
          <w:b/>
          <w:szCs w:val="20"/>
        </w:rPr>
        <w:t>’s</w:t>
      </w:r>
      <w:r w:rsidRPr="00801096">
        <w:rPr>
          <w:rFonts w:asciiTheme="minorHAnsi" w:hAnsiTheme="minorHAnsi" w:cs="Arial"/>
          <w:b/>
          <w:szCs w:val="20"/>
        </w:rPr>
        <w:t xml:space="preserve"> current hours per week eligibility requirement</w:t>
      </w:r>
    </w:p>
    <w:p w:rsidR="00221B46" w:rsidRDefault="00801096" w:rsidP="00801096">
      <w:pPr>
        <w:pStyle w:val="NoSpacing"/>
        <w:rPr>
          <w:rFonts w:asciiTheme="minorHAnsi" w:hAnsiTheme="minorHAnsi" w:cs="Arial"/>
          <w:szCs w:val="20"/>
        </w:rPr>
      </w:pPr>
      <w:r>
        <w:rPr>
          <w:rFonts w:asciiTheme="minorHAnsi" w:hAnsiTheme="minorHAnsi" w:cs="Arial"/>
          <w:szCs w:val="20"/>
        </w:rPr>
        <w:t>The analysis includes individuals listed on the employer census with average work hours of at least 30 hours per week.  If average work hours were not included in the original employer census date then no cost can be estimated for these individuals.</w:t>
      </w:r>
    </w:p>
    <w:p w:rsidR="00801096" w:rsidRDefault="00801096" w:rsidP="00801096">
      <w:pPr>
        <w:pStyle w:val="NoSpacing"/>
        <w:rPr>
          <w:rFonts w:asciiTheme="minorHAnsi" w:hAnsiTheme="minorHAnsi" w:cs="Arial"/>
          <w:szCs w:val="20"/>
        </w:rPr>
      </w:pPr>
    </w:p>
    <w:p w:rsidR="00801096" w:rsidRPr="00801096" w:rsidRDefault="00801096" w:rsidP="00801096">
      <w:pPr>
        <w:pStyle w:val="NoSpacing"/>
        <w:rPr>
          <w:rFonts w:asciiTheme="minorHAnsi" w:hAnsiTheme="minorHAnsi" w:cs="Arial"/>
          <w:b/>
          <w:szCs w:val="20"/>
        </w:rPr>
      </w:pPr>
      <w:r w:rsidRPr="00801096">
        <w:rPr>
          <w:rFonts w:asciiTheme="minorHAnsi" w:hAnsiTheme="minorHAnsi" w:cs="Arial"/>
          <w:b/>
          <w:szCs w:val="20"/>
        </w:rPr>
        <w:t>Individuals working full time but currently ineligible for health benefits</w:t>
      </w:r>
    </w:p>
    <w:p w:rsidR="00801096" w:rsidRDefault="00801096" w:rsidP="00801096">
      <w:pPr>
        <w:pStyle w:val="NoSpacing"/>
        <w:rPr>
          <w:rFonts w:asciiTheme="minorHAnsi" w:hAnsiTheme="minorHAnsi" w:cs="Arial"/>
          <w:szCs w:val="20"/>
        </w:rPr>
      </w:pPr>
      <w:r>
        <w:rPr>
          <w:rFonts w:asciiTheme="minorHAnsi" w:hAnsiTheme="minorHAnsi" w:cs="Arial"/>
          <w:szCs w:val="20"/>
        </w:rPr>
        <w:t xml:space="preserve">The analysis also calculates an estimated cost for full-time employees currently ineligible for benefits based on employee classification if data on ineligible employees was provided in </w:t>
      </w:r>
      <w:r w:rsidR="001D3EEC">
        <w:rPr>
          <w:rFonts w:asciiTheme="minorHAnsi" w:hAnsiTheme="minorHAnsi" w:cs="Arial"/>
          <w:szCs w:val="20"/>
        </w:rPr>
        <w:t xml:space="preserve">the </w:t>
      </w:r>
      <w:r>
        <w:rPr>
          <w:rFonts w:asciiTheme="minorHAnsi" w:hAnsiTheme="minorHAnsi" w:cs="Arial"/>
          <w:szCs w:val="20"/>
        </w:rPr>
        <w:t>initial census.</w:t>
      </w:r>
    </w:p>
    <w:p w:rsidR="00801096" w:rsidRDefault="00801096" w:rsidP="00801096">
      <w:pPr>
        <w:pStyle w:val="NoSpacing"/>
        <w:rPr>
          <w:rFonts w:asciiTheme="minorHAnsi" w:hAnsiTheme="minorHAnsi" w:cs="Arial"/>
          <w:szCs w:val="20"/>
        </w:rPr>
      </w:pPr>
    </w:p>
    <w:p w:rsidR="00801096" w:rsidRPr="00801096" w:rsidRDefault="00801096" w:rsidP="00801096">
      <w:pPr>
        <w:pStyle w:val="NoSpacing"/>
        <w:rPr>
          <w:rFonts w:asciiTheme="minorHAnsi" w:hAnsiTheme="minorHAnsi" w:cs="Arial"/>
          <w:b/>
          <w:szCs w:val="20"/>
        </w:rPr>
      </w:pPr>
      <w:r w:rsidRPr="00801096">
        <w:rPr>
          <w:rFonts w:asciiTheme="minorHAnsi" w:hAnsiTheme="minorHAnsi" w:cs="Arial"/>
          <w:b/>
          <w:szCs w:val="20"/>
        </w:rPr>
        <w:t>Cost estimate development</w:t>
      </w:r>
    </w:p>
    <w:p w:rsidR="00FA755D" w:rsidRDefault="00801096" w:rsidP="00801096">
      <w:pPr>
        <w:pStyle w:val="NoSpacing"/>
        <w:rPr>
          <w:rFonts w:asciiTheme="minorHAnsi" w:hAnsiTheme="minorHAnsi" w:cs="Arial"/>
          <w:szCs w:val="20"/>
        </w:rPr>
      </w:pPr>
      <w:r>
        <w:rPr>
          <w:rFonts w:asciiTheme="minorHAnsi" w:hAnsiTheme="minorHAnsi" w:cs="Arial"/>
          <w:szCs w:val="20"/>
        </w:rPr>
        <w:t xml:space="preserve">To estimate the cost impact on the employer the analysis </w:t>
      </w:r>
      <w:r w:rsidR="00FA755D">
        <w:rPr>
          <w:rFonts w:asciiTheme="minorHAnsi" w:hAnsiTheme="minorHAnsi" w:cs="Arial"/>
          <w:szCs w:val="20"/>
        </w:rPr>
        <w:t>makes the following assumptions:</w:t>
      </w:r>
    </w:p>
    <w:p w:rsidR="00801096" w:rsidRDefault="00FA755D" w:rsidP="00FA755D">
      <w:pPr>
        <w:pStyle w:val="NoSpacing"/>
        <w:numPr>
          <w:ilvl w:val="0"/>
          <w:numId w:val="30"/>
        </w:numPr>
        <w:rPr>
          <w:rFonts w:asciiTheme="minorHAnsi" w:hAnsiTheme="minorHAnsi" w:cs="Arial"/>
          <w:szCs w:val="20"/>
        </w:rPr>
      </w:pPr>
      <w:r>
        <w:rPr>
          <w:rFonts w:asciiTheme="minorHAnsi" w:hAnsiTheme="minorHAnsi" w:cs="Arial"/>
          <w:szCs w:val="20"/>
        </w:rPr>
        <w:t>Newly eligible employees will participate in the plan at a participation rate of 50%.  (The assumed participation rate can be changed to a different percentage if desired</w:t>
      </w:r>
      <w:r w:rsidR="00214EEC">
        <w:rPr>
          <w:rFonts w:asciiTheme="minorHAnsi" w:hAnsiTheme="minorHAnsi" w:cs="Arial"/>
          <w:szCs w:val="20"/>
        </w:rPr>
        <w:t>.</w:t>
      </w:r>
      <w:r>
        <w:rPr>
          <w:rFonts w:asciiTheme="minorHAnsi" w:hAnsiTheme="minorHAnsi" w:cs="Arial"/>
          <w:szCs w:val="20"/>
        </w:rPr>
        <w:t>)</w:t>
      </w:r>
    </w:p>
    <w:p w:rsidR="00FA755D" w:rsidRDefault="00FA755D" w:rsidP="00FA755D">
      <w:pPr>
        <w:pStyle w:val="NoSpacing"/>
        <w:numPr>
          <w:ilvl w:val="0"/>
          <w:numId w:val="30"/>
        </w:numPr>
        <w:rPr>
          <w:rFonts w:asciiTheme="minorHAnsi" w:hAnsiTheme="minorHAnsi" w:cs="Arial"/>
          <w:szCs w:val="20"/>
        </w:rPr>
      </w:pPr>
      <w:r>
        <w:rPr>
          <w:rFonts w:asciiTheme="minorHAnsi" w:hAnsiTheme="minorHAnsi" w:cs="Arial"/>
          <w:szCs w:val="20"/>
        </w:rPr>
        <w:t>If an employer offers multiple plan options, the analysis bases the cost assumption on the employer’s low</w:t>
      </w:r>
      <w:r w:rsidR="00214EEC">
        <w:rPr>
          <w:rFonts w:asciiTheme="minorHAnsi" w:hAnsiTheme="minorHAnsi" w:cs="Arial"/>
          <w:szCs w:val="20"/>
        </w:rPr>
        <w:t>-</w:t>
      </w:r>
      <w:r>
        <w:rPr>
          <w:rFonts w:asciiTheme="minorHAnsi" w:hAnsiTheme="minorHAnsi" w:cs="Arial"/>
          <w:szCs w:val="20"/>
        </w:rPr>
        <w:t>cost plan option.</w:t>
      </w:r>
    </w:p>
    <w:p w:rsidR="00275AD8" w:rsidRDefault="006F3188" w:rsidP="00275AD8">
      <w:pPr>
        <w:rPr>
          <w:rFonts w:asciiTheme="minorHAnsi" w:hAnsiTheme="minorHAnsi" w:cs="Arial"/>
          <w:szCs w:val="20"/>
        </w:rPr>
      </w:pPr>
      <w:r>
        <w:rPr>
          <w:rFonts w:asciiTheme="minorHAnsi" w:hAnsiTheme="minorHAnsi" w:cs="Arial"/>
          <w:szCs w:val="20"/>
        </w:rPr>
        <w:t>Chart</w:t>
      </w:r>
      <w:r w:rsidR="008F52A2">
        <w:rPr>
          <w:rFonts w:asciiTheme="minorHAnsi" w:hAnsiTheme="minorHAnsi" w:cs="Arial"/>
          <w:szCs w:val="20"/>
        </w:rPr>
        <w:t xml:space="preserve"> </w:t>
      </w:r>
      <w:r>
        <w:rPr>
          <w:rFonts w:asciiTheme="minorHAnsi" w:hAnsiTheme="minorHAnsi" w:cs="Arial"/>
          <w:szCs w:val="20"/>
        </w:rPr>
        <w:t>2</w:t>
      </w:r>
    </w:p>
    <w:p w:rsidR="003E2A85" w:rsidRDefault="00512070" w:rsidP="00275AD8">
      <w:pPr>
        <w:rPr>
          <w:rFonts w:asciiTheme="minorHAnsi" w:hAnsiTheme="minorHAnsi" w:cs="Arial"/>
          <w:szCs w:val="20"/>
        </w:rPr>
      </w:pPr>
      <w:bookmarkStart w:id="1" w:name="Chart2"/>
      <w:bookmarkEnd w:id="1"/>
      <w:r>
        <w:rPr>
          <w:rFonts w:asciiTheme="minorHAnsi" w:hAnsiTheme="minorHAnsi" w:cs="Arial"/>
          <w:noProof/>
          <w:szCs w:val="20"/>
          <w:lang w:bidi="ar-SA"/>
        </w:rPr>
        <w:drawing>
          <wp:inline distT="0" distB="0" distL="0" distR="0">
            <wp:extent cx="3456940" cy="27559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456940" cy="2755900"/>
                    </a:xfrm>
                    <a:prstGeom prst="rect">
                      <a:avLst/>
                    </a:prstGeom>
                    <a:noFill/>
                  </pic:spPr>
                </pic:pic>
              </a:graphicData>
            </a:graphic>
          </wp:inline>
        </w:drawing>
      </w:r>
    </w:p>
    <w:p w:rsidR="003E2A85" w:rsidRDefault="006F3188" w:rsidP="00275AD8">
      <w:pPr>
        <w:rPr>
          <w:rFonts w:asciiTheme="minorHAnsi" w:hAnsiTheme="minorHAnsi" w:cs="Arial"/>
          <w:szCs w:val="20"/>
        </w:rPr>
      </w:pPr>
      <w:r>
        <w:rPr>
          <w:rFonts w:asciiTheme="minorHAnsi" w:hAnsiTheme="minorHAnsi" w:cs="Arial"/>
          <w:szCs w:val="20"/>
        </w:rPr>
        <w:t>Table</w:t>
      </w:r>
      <w:r w:rsidR="008F52A2">
        <w:rPr>
          <w:rFonts w:asciiTheme="minorHAnsi" w:hAnsiTheme="minorHAnsi" w:cs="Arial"/>
          <w:szCs w:val="20"/>
        </w:rPr>
        <w:t xml:space="preserve"> </w:t>
      </w:r>
      <w:r>
        <w:rPr>
          <w:rFonts w:asciiTheme="minorHAnsi" w:hAnsiTheme="minorHAnsi" w:cs="Arial"/>
          <w:szCs w:val="20"/>
        </w:rPr>
        <w:t>2</w:t>
      </w:r>
    </w:p>
    <w:tbl>
      <w:tblPr>
        <w:tblW w:w="0" w:type="auto"/>
        <w:tblInd w:w="78" w:type="dxa"/>
        <w:tblLayout w:type="fixed"/>
        <w:tblLook w:val="0000" w:firstRow="0" w:lastRow="0" w:firstColumn="0" w:lastColumn="0" w:noHBand="0" w:noVBand="0"/>
      </w:tblPr>
      <w:tblGrid>
        <w:gridCol w:w="4270"/>
        <w:gridCol w:w="1161"/>
      </w:tblGrid>
      <w:tr w:rsidR="00512070" w:rsidTr="00512070">
        <w:trPr>
          <w:trHeight w:val="187"/>
        </w:trPr>
        <w:tc>
          <w:tcPr>
            <w:tcW w:w="4270" w:type="dxa"/>
            <w:tcBorders>
              <w:top w:val="single" w:sz="12" w:space="0" w:color="auto"/>
              <w:left w:val="single" w:sz="12" w:space="0" w:color="auto"/>
              <w:bottom w:val="single" w:sz="2" w:space="0" w:color="000000"/>
              <w:right w:val="single" w:sz="6" w:space="0" w:color="auto"/>
            </w:tcBorders>
            <w:shd w:val="solid" w:color="C0C0C0" w:fill="auto"/>
          </w:tcPr>
          <w:p w:rsidR="00512070" w:rsidRDefault="00512070">
            <w:pPr>
              <w:autoSpaceDE w:val="0"/>
              <w:autoSpaceDN w:val="0"/>
              <w:adjustRightInd w:val="0"/>
              <w:rPr>
                <w:rFonts w:cs="Calibri"/>
                <w:b/>
                <w:bCs/>
                <w:color w:val="000000"/>
                <w:sz w:val="16"/>
                <w:szCs w:val="16"/>
                <w:lang w:bidi="ar-SA"/>
              </w:rPr>
            </w:pPr>
            <w:r>
              <w:rPr>
                <w:rFonts w:cs="Calibri"/>
                <w:b/>
                <w:bCs/>
                <w:color w:val="000000"/>
                <w:sz w:val="16"/>
                <w:szCs w:val="16"/>
                <w:lang w:bidi="ar-SA"/>
              </w:rPr>
              <w:t>Eligibility</w:t>
            </w:r>
          </w:p>
        </w:tc>
        <w:tc>
          <w:tcPr>
            <w:tcW w:w="1161" w:type="dxa"/>
            <w:tcBorders>
              <w:top w:val="single" w:sz="12" w:space="0" w:color="auto"/>
              <w:left w:val="single" w:sz="6" w:space="0" w:color="auto"/>
              <w:bottom w:val="single" w:sz="2" w:space="0" w:color="000000"/>
              <w:right w:val="single" w:sz="12" w:space="0" w:color="auto"/>
            </w:tcBorders>
            <w:shd w:val="solid" w:color="C0C0C0" w:fill="auto"/>
          </w:tcPr>
          <w:p w:rsidR="00512070" w:rsidRDefault="00512070">
            <w:pPr>
              <w:autoSpaceDE w:val="0"/>
              <w:autoSpaceDN w:val="0"/>
              <w:adjustRightInd w:val="0"/>
              <w:jc w:val="right"/>
              <w:rPr>
                <w:rFonts w:cs="Calibri"/>
                <w:color w:val="000000"/>
                <w:sz w:val="16"/>
                <w:szCs w:val="16"/>
                <w:lang w:bidi="ar-SA"/>
              </w:rPr>
            </w:pPr>
          </w:p>
        </w:tc>
      </w:tr>
      <w:tr w:rsidR="00512070" w:rsidTr="00512070">
        <w:trPr>
          <w:trHeight w:val="187"/>
        </w:trPr>
        <w:tc>
          <w:tcPr>
            <w:tcW w:w="4270" w:type="dxa"/>
            <w:tcBorders>
              <w:top w:val="single" w:sz="2" w:space="0" w:color="000000"/>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Current plan eligibility (hours per week)</w:t>
            </w:r>
          </w:p>
        </w:tc>
        <w:tc>
          <w:tcPr>
            <w:tcW w:w="1161" w:type="dxa"/>
            <w:tcBorders>
              <w:top w:val="single" w:sz="2" w:space="0" w:color="000000"/>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40 </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Number of full-time employees not currently eligible</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0 </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Assumed participation rate for newly eligible employees</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50.0%</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 xml:space="preserve">Current </w:t>
            </w:r>
            <w:r w:rsidR="00214EEC">
              <w:rPr>
                <w:rFonts w:cs="Calibri"/>
                <w:color w:val="000000"/>
                <w:sz w:val="16"/>
                <w:szCs w:val="16"/>
                <w:lang w:bidi="ar-SA"/>
              </w:rPr>
              <w:t>p</w:t>
            </w:r>
            <w:r>
              <w:rPr>
                <w:rFonts w:cs="Calibri"/>
                <w:color w:val="000000"/>
                <w:sz w:val="16"/>
                <w:szCs w:val="16"/>
                <w:lang w:bidi="ar-SA"/>
              </w:rPr>
              <w:t xml:space="preserve">lan </w:t>
            </w:r>
            <w:r w:rsidR="00214EEC">
              <w:rPr>
                <w:rFonts w:cs="Calibri"/>
                <w:color w:val="000000"/>
                <w:sz w:val="16"/>
                <w:szCs w:val="16"/>
                <w:lang w:bidi="ar-SA"/>
              </w:rPr>
              <w:t>c</w:t>
            </w:r>
            <w:r>
              <w:rPr>
                <w:rFonts w:cs="Calibri"/>
                <w:color w:val="000000"/>
                <w:sz w:val="16"/>
                <w:szCs w:val="16"/>
                <w:lang w:bidi="ar-SA"/>
              </w:rPr>
              <w:t>ost</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$ 1,062,599</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Plan cost of newly eligible employees</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$ 0</w:t>
            </w:r>
          </w:p>
        </w:tc>
      </w:tr>
      <w:tr w:rsidR="00512070" w:rsidTr="00512070">
        <w:trPr>
          <w:trHeight w:val="187"/>
        </w:trPr>
        <w:tc>
          <w:tcPr>
            <w:tcW w:w="4270" w:type="dxa"/>
            <w:tcBorders>
              <w:top w:val="single" w:sz="6" w:space="0" w:color="auto"/>
              <w:left w:val="single" w:sz="12" w:space="0" w:color="auto"/>
              <w:bottom w:val="single" w:sz="12"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Employer cost inc. new eligible employees</w:t>
            </w:r>
          </w:p>
        </w:tc>
        <w:tc>
          <w:tcPr>
            <w:tcW w:w="1161" w:type="dxa"/>
            <w:tcBorders>
              <w:top w:val="single" w:sz="6" w:space="0" w:color="auto"/>
              <w:left w:val="single" w:sz="6" w:space="0" w:color="auto"/>
              <w:bottom w:val="single" w:sz="12" w:space="0" w:color="auto"/>
              <w:right w:val="single" w:sz="12" w:space="0" w:color="auto"/>
            </w:tcBorders>
          </w:tcPr>
          <w:p w:rsidR="00512070" w:rsidRDefault="00512070">
            <w:pPr>
              <w:autoSpaceDE w:val="0"/>
              <w:autoSpaceDN w:val="0"/>
              <w:adjustRightInd w:val="0"/>
              <w:jc w:val="right"/>
              <w:rPr>
                <w:rFonts w:cs="Calibri"/>
                <w:b/>
                <w:bCs/>
                <w:color w:val="000000"/>
                <w:sz w:val="16"/>
                <w:szCs w:val="16"/>
                <w:lang w:bidi="ar-SA"/>
              </w:rPr>
            </w:pPr>
            <w:r>
              <w:rPr>
                <w:rFonts w:cs="Calibri"/>
                <w:b/>
                <w:bCs/>
                <w:color w:val="000000"/>
                <w:sz w:val="16"/>
                <w:szCs w:val="16"/>
                <w:lang w:bidi="ar-SA"/>
              </w:rPr>
              <w:t>$ 1,062,599</w:t>
            </w:r>
          </w:p>
        </w:tc>
      </w:tr>
    </w:tbl>
    <w:p w:rsidR="003E2A85" w:rsidRDefault="003E2A85" w:rsidP="00275AD8">
      <w:pPr>
        <w:rPr>
          <w:rFonts w:asciiTheme="minorHAnsi" w:hAnsiTheme="minorHAnsi" w:cs="Arial"/>
          <w:szCs w:val="20"/>
        </w:rPr>
      </w:pPr>
      <w:bookmarkStart w:id="2" w:name="Table2"/>
      <w:bookmarkEnd w:id="2"/>
    </w:p>
    <w:p w:rsidR="00275AD8" w:rsidRDefault="00275AD8" w:rsidP="00FA755D">
      <w:pPr>
        <w:pStyle w:val="NoSpacing"/>
        <w:rPr>
          <w:rFonts w:asciiTheme="minorHAnsi" w:hAnsiTheme="minorHAnsi" w:cs="Arial"/>
          <w:szCs w:val="20"/>
        </w:rPr>
      </w:pPr>
    </w:p>
    <w:p w:rsidR="00275AD8" w:rsidRDefault="00275AD8" w:rsidP="00FA755D">
      <w:pPr>
        <w:pStyle w:val="NoSpacing"/>
        <w:rPr>
          <w:rFonts w:asciiTheme="minorHAnsi" w:hAnsiTheme="minorHAnsi" w:cs="Arial"/>
          <w:szCs w:val="20"/>
        </w:rPr>
      </w:pPr>
    </w:p>
    <w:p w:rsidR="00272A1F" w:rsidRDefault="00272A1F">
      <w:pPr>
        <w:rPr>
          <w:rFonts w:asciiTheme="minorHAnsi" w:hAnsiTheme="minorHAnsi" w:cs="Arial"/>
          <w:b/>
          <w:color w:val="0070C0"/>
          <w:sz w:val="28"/>
          <w:szCs w:val="28"/>
        </w:rPr>
      </w:pPr>
      <w:r>
        <w:rPr>
          <w:rFonts w:asciiTheme="minorHAnsi" w:hAnsiTheme="minorHAnsi" w:cs="Arial"/>
          <w:b/>
          <w:color w:val="0070C0"/>
          <w:sz w:val="28"/>
          <w:szCs w:val="28"/>
        </w:rPr>
        <w:br w:type="page"/>
      </w:r>
    </w:p>
    <w:p w:rsidR="00510B64" w:rsidRPr="00FA755D" w:rsidRDefault="006B19D1" w:rsidP="00531761">
      <w:pPr>
        <w:rPr>
          <w:rFonts w:asciiTheme="minorHAnsi" w:hAnsiTheme="minorHAnsi" w:cs="Arial"/>
          <w:b/>
          <w:color w:val="0070C0"/>
          <w:sz w:val="28"/>
          <w:szCs w:val="28"/>
        </w:rPr>
      </w:pPr>
      <w:r w:rsidRPr="00FA755D">
        <w:rPr>
          <w:rFonts w:asciiTheme="minorHAnsi" w:hAnsiTheme="minorHAnsi" w:cs="Arial"/>
          <w:b/>
          <w:color w:val="0070C0"/>
          <w:sz w:val="28"/>
          <w:szCs w:val="28"/>
        </w:rPr>
        <w:lastRenderedPageBreak/>
        <w:t>Employer Penalty</w:t>
      </w:r>
      <w:r w:rsidR="00C17834" w:rsidRPr="00FA755D">
        <w:rPr>
          <w:rFonts w:asciiTheme="minorHAnsi" w:hAnsiTheme="minorHAnsi" w:cs="Arial"/>
          <w:b/>
          <w:color w:val="0070C0"/>
          <w:sz w:val="28"/>
          <w:szCs w:val="28"/>
        </w:rPr>
        <w:t xml:space="preserve"> </w:t>
      </w:r>
      <w:r w:rsidR="00FA755D" w:rsidRPr="00FA755D">
        <w:rPr>
          <w:rFonts w:asciiTheme="minorHAnsi" w:hAnsiTheme="minorHAnsi" w:cs="Arial"/>
          <w:b/>
          <w:color w:val="0070C0"/>
          <w:sz w:val="28"/>
          <w:szCs w:val="28"/>
        </w:rPr>
        <w:t xml:space="preserve">#1 </w:t>
      </w:r>
      <w:r w:rsidR="005361E9">
        <w:rPr>
          <w:rFonts w:asciiTheme="minorHAnsi" w:hAnsiTheme="minorHAnsi" w:cs="Arial"/>
          <w:b/>
          <w:color w:val="0070C0"/>
          <w:sz w:val="28"/>
          <w:szCs w:val="28"/>
        </w:rPr>
        <w:t>Results</w:t>
      </w:r>
    </w:p>
    <w:p w:rsidR="00A14F7C" w:rsidRDefault="00A14F7C" w:rsidP="00593B81">
      <w:pPr>
        <w:rPr>
          <w:rFonts w:asciiTheme="minorHAnsi" w:hAnsiTheme="minorHAnsi" w:cs="Arial"/>
          <w:szCs w:val="20"/>
        </w:rPr>
      </w:pPr>
      <w:r>
        <w:rPr>
          <w:rFonts w:asciiTheme="minorHAnsi" w:hAnsiTheme="minorHAnsi" w:cs="Arial"/>
          <w:szCs w:val="20"/>
        </w:rPr>
        <w:t>This e</w:t>
      </w:r>
      <w:r w:rsidR="00B447A7">
        <w:rPr>
          <w:rFonts w:asciiTheme="minorHAnsi" w:hAnsiTheme="minorHAnsi" w:cs="Arial"/>
          <w:szCs w:val="20"/>
        </w:rPr>
        <w:t>mployer penalty may apply when co</w:t>
      </w:r>
      <w:r w:rsidR="00FA755D" w:rsidRPr="00A14F7C">
        <w:rPr>
          <w:rFonts w:asciiTheme="minorHAnsi" w:hAnsiTheme="minorHAnsi" w:cs="Arial"/>
          <w:szCs w:val="20"/>
        </w:rPr>
        <w:t xml:space="preserve">verage </w:t>
      </w:r>
      <w:r w:rsidR="00E52AA0" w:rsidRPr="00A14F7C">
        <w:rPr>
          <w:rFonts w:asciiTheme="minorHAnsi" w:hAnsiTheme="minorHAnsi" w:cs="Arial"/>
          <w:szCs w:val="20"/>
        </w:rPr>
        <w:t>is u</w:t>
      </w:r>
      <w:r w:rsidR="00FA755D" w:rsidRPr="00A14F7C">
        <w:rPr>
          <w:rFonts w:asciiTheme="minorHAnsi" w:hAnsiTheme="minorHAnsi" w:cs="Arial"/>
          <w:szCs w:val="20"/>
        </w:rPr>
        <w:t xml:space="preserve">naffordable </w:t>
      </w:r>
      <w:r w:rsidR="00E52AA0" w:rsidRPr="00A14F7C">
        <w:rPr>
          <w:rFonts w:asciiTheme="minorHAnsi" w:hAnsiTheme="minorHAnsi" w:cs="Arial"/>
          <w:szCs w:val="20"/>
        </w:rPr>
        <w:t xml:space="preserve">for some </w:t>
      </w:r>
      <w:r w:rsidR="00B447A7">
        <w:rPr>
          <w:rFonts w:asciiTheme="minorHAnsi" w:hAnsiTheme="minorHAnsi" w:cs="Arial"/>
          <w:szCs w:val="20"/>
        </w:rPr>
        <w:t xml:space="preserve">employees.  </w:t>
      </w:r>
      <w:r w:rsidRPr="00065703">
        <w:rPr>
          <w:rFonts w:asciiTheme="minorHAnsi" w:hAnsiTheme="minorHAnsi" w:cs="Arial"/>
          <w:szCs w:val="20"/>
        </w:rPr>
        <w:t>The following</w:t>
      </w:r>
      <w:r>
        <w:rPr>
          <w:rFonts w:asciiTheme="minorHAnsi" w:hAnsiTheme="minorHAnsi" w:cs="Arial"/>
          <w:szCs w:val="20"/>
        </w:rPr>
        <w:t xml:space="preserve"> results represent the estimated maximum </w:t>
      </w:r>
      <w:r w:rsidR="00593B81">
        <w:rPr>
          <w:rFonts w:asciiTheme="minorHAnsi" w:hAnsiTheme="minorHAnsi" w:cs="Arial"/>
          <w:szCs w:val="20"/>
        </w:rPr>
        <w:t xml:space="preserve">annual </w:t>
      </w:r>
      <w:r>
        <w:rPr>
          <w:rFonts w:asciiTheme="minorHAnsi" w:hAnsiTheme="minorHAnsi" w:cs="Arial"/>
          <w:szCs w:val="20"/>
        </w:rPr>
        <w:t xml:space="preserve">penalty risk an employer faces based on the data provided.  </w:t>
      </w:r>
      <w:r w:rsidR="00593B81">
        <w:rPr>
          <w:rFonts w:asciiTheme="minorHAnsi" w:hAnsiTheme="minorHAnsi" w:cs="Arial"/>
          <w:szCs w:val="20"/>
        </w:rPr>
        <w:t>T</w:t>
      </w:r>
      <w:r>
        <w:rPr>
          <w:rFonts w:asciiTheme="minorHAnsi" w:hAnsiTheme="minorHAnsi" w:cs="Arial"/>
          <w:szCs w:val="20"/>
        </w:rPr>
        <w:t xml:space="preserve">hese </w:t>
      </w:r>
      <w:r w:rsidR="00593B81">
        <w:rPr>
          <w:rFonts w:asciiTheme="minorHAnsi" w:hAnsiTheme="minorHAnsi" w:cs="Arial"/>
          <w:szCs w:val="20"/>
        </w:rPr>
        <w:t>results assume that a</w:t>
      </w:r>
      <w:r w:rsidRPr="00593B81">
        <w:rPr>
          <w:rFonts w:asciiTheme="minorHAnsi" w:hAnsiTheme="minorHAnsi" w:cs="Arial"/>
          <w:szCs w:val="20"/>
        </w:rPr>
        <w:t>ll individuals</w:t>
      </w:r>
      <w:r w:rsidR="00593B81" w:rsidRPr="00593B81">
        <w:rPr>
          <w:rFonts w:asciiTheme="minorHAnsi" w:hAnsiTheme="minorHAnsi" w:cs="Arial"/>
          <w:szCs w:val="20"/>
        </w:rPr>
        <w:t xml:space="preserve"> who are</w:t>
      </w:r>
      <w:r w:rsidRPr="00593B81">
        <w:rPr>
          <w:rFonts w:asciiTheme="minorHAnsi" w:hAnsiTheme="minorHAnsi" w:cs="Arial"/>
          <w:szCs w:val="20"/>
        </w:rPr>
        <w:t xml:space="preserve"> eligible for subsidized individual health </w:t>
      </w:r>
      <w:r w:rsidR="00593B81" w:rsidRPr="00593B81">
        <w:rPr>
          <w:rFonts w:asciiTheme="minorHAnsi" w:hAnsiTheme="minorHAnsi" w:cs="Arial"/>
          <w:szCs w:val="20"/>
        </w:rPr>
        <w:t>insurance</w:t>
      </w:r>
      <w:r w:rsidRPr="00593B81">
        <w:rPr>
          <w:rFonts w:asciiTheme="minorHAnsi" w:hAnsiTheme="minorHAnsi" w:cs="Arial"/>
          <w:szCs w:val="20"/>
        </w:rPr>
        <w:t xml:space="preserve"> will leave the employer plan and purchase that coverage if its </w:t>
      </w:r>
      <w:r w:rsidR="00593B81" w:rsidRPr="00593B81">
        <w:rPr>
          <w:rFonts w:asciiTheme="minorHAnsi" w:hAnsiTheme="minorHAnsi" w:cs="Arial"/>
          <w:szCs w:val="20"/>
        </w:rPr>
        <w:t xml:space="preserve">relative value is better than the employer plan.  </w:t>
      </w:r>
      <w:r w:rsidR="007E52C1">
        <w:rPr>
          <w:rFonts w:asciiTheme="minorHAnsi" w:hAnsiTheme="minorHAnsi" w:cs="Arial"/>
          <w:szCs w:val="20"/>
        </w:rPr>
        <w:t xml:space="preserve">Note that actual results will depend on choices made by individual employees.  It is possible employees will choose to stay on the employer plan even when eligible for subsidized individual coverage </w:t>
      </w:r>
      <w:r w:rsidR="00214EEC">
        <w:rPr>
          <w:rFonts w:asciiTheme="minorHAnsi" w:hAnsiTheme="minorHAnsi" w:cs="Arial"/>
          <w:szCs w:val="20"/>
        </w:rPr>
        <w:t>that</w:t>
      </w:r>
      <w:r w:rsidR="007E52C1">
        <w:rPr>
          <w:rFonts w:asciiTheme="minorHAnsi" w:hAnsiTheme="minorHAnsi" w:cs="Arial"/>
          <w:szCs w:val="20"/>
        </w:rPr>
        <w:t xml:space="preserve"> is better than the employer plan.  </w:t>
      </w:r>
    </w:p>
    <w:p w:rsidR="0052390D" w:rsidRDefault="0052390D" w:rsidP="00593B81">
      <w:pPr>
        <w:rPr>
          <w:rFonts w:asciiTheme="minorHAnsi" w:hAnsiTheme="minorHAnsi" w:cs="Arial"/>
          <w:szCs w:val="20"/>
        </w:rPr>
      </w:pPr>
    </w:p>
    <w:p w:rsidR="0052390D" w:rsidRPr="0052390D" w:rsidRDefault="0052390D" w:rsidP="00593B81">
      <w:pPr>
        <w:rPr>
          <w:rFonts w:asciiTheme="minorHAnsi" w:hAnsiTheme="minorHAnsi" w:cs="Arial"/>
          <w:color w:val="FF0000"/>
          <w:szCs w:val="20"/>
        </w:rPr>
      </w:pPr>
      <w:r w:rsidRPr="0052390D">
        <w:rPr>
          <w:rFonts w:asciiTheme="minorHAnsi" w:hAnsiTheme="minorHAnsi" w:cs="Arial"/>
          <w:color w:val="FF0000"/>
          <w:szCs w:val="20"/>
        </w:rPr>
        <w:t>Current employee required contributions for employee</w:t>
      </w:r>
      <w:r w:rsidR="00214EEC">
        <w:rPr>
          <w:rFonts w:asciiTheme="minorHAnsi" w:hAnsiTheme="minorHAnsi" w:cs="Arial"/>
          <w:color w:val="FF0000"/>
          <w:szCs w:val="20"/>
        </w:rPr>
        <w:t>-</w:t>
      </w:r>
      <w:r w:rsidRPr="0052390D">
        <w:rPr>
          <w:rFonts w:asciiTheme="minorHAnsi" w:hAnsiTheme="minorHAnsi" w:cs="Arial"/>
          <w:color w:val="FF0000"/>
          <w:szCs w:val="20"/>
        </w:rPr>
        <w:t>only coverage in low</w:t>
      </w:r>
      <w:r w:rsidR="00214EEC">
        <w:rPr>
          <w:rFonts w:asciiTheme="minorHAnsi" w:hAnsiTheme="minorHAnsi" w:cs="Arial"/>
          <w:color w:val="FF0000"/>
          <w:szCs w:val="20"/>
        </w:rPr>
        <w:t>-</w:t>
      </w:r>
      <w:r w:rsidRPr="0052390D">
        <w:rPr>
          <w:rFonts w:asciiTheme="minorHAnsi" w:hAnsiTheme="minorHAnsi" w:cs="Arial"/>
          <w:color w:val="FF0000"/>
          <w:szCs w:val="20"/>
        </w:rPr>
        <w:t>cost plan (Silver PPO)</w:t>
      </w:r>
    </w:p>
    <w:p w:rsidR="0052390D" w:rsidRPr="0052390D" w:rsidRDefault="0052390D" w:rsidP="0052390D">
      <w:pPr>
        <w:pStyle w:val="ListParagraph"/>
        <w:numPr>
          <w:ilvl w:val="0"/>
          <w:numId w:val="35"/>
        </w:numPr>
        <w:rPr>
          <w:rFonts w:asciiTheme="minorHAnsi" w:hAnsiTheme="minorHAnsi" w:cs="Arial"/>
          <w:color w:val="FF0000"/>
          <w:szCs w:val="20"/>
        </w:rPr>
      </w:pPr>
      <w:r w:rsidRPr="0052390D">
        <w:rPr>
          <w:rFonts w:asciiTheme="minorHAnsi" w:hAnsiTheme="minorHAnsi" w:cs="Arial"/>
          <w:color w:val="FF0000"/>
          <w:szCs w:val="20"/>
        </w:rPr>
        <w:t xml:space="preserve">Non-tobacco user = </w:t>
      </w:r>
      <w:r w:rsidR="00991739">
        <w:rPr>
          <w:rFonts w:asciiTheme="minorHAnsi" w:hAnsiTheme="minorHAnsi" w:cs="Arial"/>
          <w:color w:val="FF0000"/>
          <w:szCs w:val="20"/>
        </w:rPr>
        <w:t>$</w:t>
      </w:r>
      <w:r w:rsidRPr="0052390D">
        <w:rPr>
          <w:rFonts w:asciiTheme="minorHAnsi" w:hAnsiTheme="minorHAnsi" w:cs="Arial"/>
          <w:color w:val="FF0000"/>
          <w:szCs w:val="20"/>
        </w:rPr>
        <w:t>108.24/mo.</w:t>
      </w:r>
    </w:p>
    <w:p w:rsidR="0052390D" w:rsidRPr="0052390D" w:rsidRDefault="0052390D" w:rsidP="0052390D">
      <w:pPr>
        <w:pStyle w:val="ListParagraph"/>
        <w:numPr>
          <w:ilvl w:val="0"/>
          <w:numId w:val="35"/>
        </w:numPr>
        <w:rPr>
          <w:rFonts w:asciiTheme="minorHAnsi" w:hAnsiTheme="minorHAnsi" w:cs="Arial"/>
          <w:color w:val="FF0000"/>
          <w:szCs w:val="20"/>
        </w:rPr>
      </w:pPr>
      <w:r w:rsidRPr="0052390D">
        <w:rPr>
          <w:rFonts w:asciiTheme="minorHAnsi" w:hAnsiTheme="minorHAnsi" w:cs="Arial"/>
          <w:color w:val="FF0000"/>
          <w:szCs w:val="20"/>
        </w:rPr>
        <w:t xml:space="preserve">Tobacco user = </w:t>
      </w:r>
      <w:r w:rsidR="00991739">
        <w:rPr>
          <w:rFonts w:asciiTheme="minorHAnsi" w:hAnsiTheme="minorHAnsi" w:cs="Arial"/>
          <w:color w:val="FF0000"/>
          <w:szCs w:val="20"/>
        </w:rPr>
        <w:t>$</w:t>
      </w:r>
      <w:r w:rsidRPr="0052390D">
        <w:rPr>
          <w:rFonts w:asciiTheme="minorHAnsi" w:hAnsiTheme="minorHAnsi" w:cs="Arial"/>
          <w:color w:val="FF0000"/>
          <w:szCs w:val="20"/>
        </w:rPr>
        <w:t>121.85/mo.</w:t>
      </w:r>
    </w:p>
    <w:p w:rsidR="0052390D" w:rsidRPr="0052390D" w:rsidRDefault="004A4950" w:rsidP="00593B81">
      <w:pPr>
        <w:pStyle w:val="ListParagraph"/>
        <w:numPr>
          <w:ilvl w:val="0"/>
          <w:numId w:val="35"/>
        </w:numPr>
        <w:rPr>
          <w:rFonts w:asciiTheme="minorHAnsi" w:hAnsiTheme="minorHAnsi" w:cs="Arial"/>
          <w:color w:val="FF0000"/>
          <w:szCs w:val="20"/>
        </w:rPr>
      </w:pPr>
      <w:r>
        <w:rPr>
          <w:rFonts w:asciiTheme="minorHAnsi" w:hAnsiTheme="minorHAnsi" w:cs="Arial"/>
          <w:color w:val="FF0000"/>
          <w:szCs w:val="20"/>
        </w:rPr>
        <w:t>S</w:t>
      </w:r>
      <w:r w:rsidR="0052390D" w:rsidRPr="0052390D">
        <w:rPr>
          <w:rFonts w:asciiTheme="minorHAnsi" w:hAnsiTheme="minorHAnsi" w:cs="Arial"/>
          <w:color w:val="FF0000"/>
          <w:szCs w:val="20"/>
        </w:rPr>
        <w:t>ubgroup</w:t>
      </w:r>
      <w:r>
        <w:rPr>
          <w:rFonts w:asciiTheme="minorHAnsi" w:hAnsiTheme="minorHAnsi" w:cs="Arial"/>
          <w:color w:val="FF0000"/>
          <w:szCs w:val="20"/>
        </w:rPr>
        <w:t xml:space="preserve"> #2</w:t>
      </w:r>
      <w:r w:rsidR="0052390D" w:rsidRPr="0052390D">
        <w:rPr>
          <w:rFonts w:asciiTheme="minorHAnsi" w:hAnsiTheme="minorHAnsi" w:cs="Arial"/>
          <w:color w:val="FF0000"/>
          <w:szCs w:val="20"/>
        </w:rPr>
        <w:t xml:space="preserve"> = $233.56/mo.</w:t>
      </w:r>
    </w:p>
    <w:p w:rsidR="00D50747" w:rsidRDefault="00D50747" w:rsidP="00531761">
      <w:pPr>
        <w:rPr>
          <w:rFonts w:asciiTheme="minorHAnsi" w:hAnsiTheme="minorHAnsi" w:cs="Arial"/>
          <w:szCs w:val="20"/>
        </w:rPr>
      </w:pPr>
    </w:p>
    <w:p w:rsidR="00416F95" w:rsidRDefault="006F3188" w:rsidP="00531761">
      <w:pPr>
        <w:rPr>
          <w:rFonts w:asciiTheme="minorHAnsi" w:hAnsiTheme="minorHAnsi" w:cs="Arial"/>
          <w:szCs w:val="20"/>
        </w:rPr>
      </w:pPr>
      <w:r>
        <w:rPr>
          <w:rFonts w:asciiTheme="minorHAnsi" w:hAnsiTheme="minorHAnsi" w:cs="Arial"/>
          <w:szCs w:val="20"/>
        </w:rPr>
        <w:t>Table</w:t>
      </w:r>
      <w:r w:rsidR="008F52A2">
        <w:rPr>
          <w:rFonts w:asciiTheme="minorHAnsi" w:hAnsiTheme="minorHAnsi" w:cs="Arial"/>
          <w:szCs w:val="20"/>
        </w:rPr>
        <w:t xml:space="preserve"> </w:t>
      </w:r>
      <w:r>
        <w:rPr>
          <w:rFonts w:asciiTheme="minorHAnsi" w:hAnsiTheme="minorHAnsi" w:cs="Arial"/>
          <w:szCs w:val="20"/>
        </w:rPr>
        <w:t>1</w:t>
      </w:r>
    </w:p>
    <w:tbl>
      <w:tblPr>
        <w:tblW w:w="0" w:type="auto"/>
        <w:tblInd w:w="78" w:type="dxa"/>
        <w:tblLayout w:type="fixed"/>
        <w:tblLook w:val="0000" w:firstRow="0" w:lastRow="0" w:firstColumn="0" w:lastColumn="0" w:noHBand="0" w:noVBand="0"/>
      </w:tblPr>
      <w:tblGrid>
        <w:gridCol w:w="4270"/>
        <w:gridCol w:w="1161"/>
      </w:tblGrid>
      <w:tr w:rsidR="00512070" w:rsidTr="00512070">
        <w:trPr>
          <w:trHeight w:val="187"/>
        </w:trPr>
        <w:tc>
          <w:tcPr>
            <w:tcW w:w="4270" w:type="dxa"/>
            <w:tcBorders>
              <w:top w:val="single" w:sz="12" w:space="0" w:color="auto"/>
              <w:left w:val="single" w:sz="12" w:space="0" w:color="auto"/>
              <w:bottom w:val="single" w:sz="2" w:space="0" w:color="000000"/>
              <w:right w:val="single" w:sz="6" w:space="0" w:color="auto"/>
            </w:tcBorders>
            <w:shd w:val="solid" w:color="C0C0C0" w:fill="auto"/>
          </w:tcPr>
          <w:p w:rsidR="00512070" w:rsidRDefault="00512070">
            <w:pPr>
              <w:autoSpaceDE w:val="0"/>
              <w:autoSpaceDN w:val="0"/>
              <w:adjustRightInd w:val="0"/>
              <w:rPr>
                <w:rFonts w:cs="Calibri"/>
                <w:b/>
                <w:bCs/>
                <w:color w:val="000000"/>
                <w:sz w:val="16"/>
                <w:szCs w:val="16"/>
                <w:lang w:bidi="ar-SA"/>
              </w:rPr>
            </w:pPr>
            <w:r>
              <w:rPr>
                <w:rFonts w:cs="Calibri"/>
                <w:b/>
                <w:bCs/>
                <w:color w:val="000000"/>
                <w:sz w:val="16"/>
                <w:szCs w:val="16"/>
                <w:lang w:bidi="ar-SA"/>
              </w:rPr>
              <w:t>Employer Statistics</w:t>
            </w:r>
          </w:p>
        </w:tc>
        <w:tc>
          <w:tcPr>
            <w:tcW w:w="1161" w:type="dxa"/>
            <w:tcBorders>
              <w:top w:val="single" w:sz="12" w:space="0" w:color="auto"/>
              <w:left w:val="single" w:sz="6" w:space="0" w:color="auto"/>
              <w:bottom w:val="single" w:sz="2" w:space="0" w:color="000000"/>
              <w:right w:val="single" w:sz="12" w:space="0" w:color="auto"/>
            </w:tcBorders>
            <w:shd w:val="solid" w:color="C0C0C0" w:fill="auto"/>
          </w:tcPr>
          <w:p w:rsidR="00512070" w:rsidRDefault="00512070">
            <w:pPr>
              <w:autoSpaceDE w:val="0"/>
              <w:autoSpaceDN w:val="0"/>
              <w:adjustRightInd w:val="0"/>
              <w:jc w:val="center"/>
              <w:rPr>
                <w:rFonts w:cs="Calibri"/>
                <w:color w:val="000000"/>
                <w:sz w:val="16"/>
                <w:szCs w:val="16"/>
                <w:lang w:bidi="ar-SA"/>
              </w:rPr>
            </w:pPr>
          </w:p>
        </w:tc>
      </w:tr>
      <w:tr w:rsidR="00512070" w:rsidTr="00512070">
        <w:trPr>
          <w:trHeight w:val="187"/>
        </w:trPr>
        <w:tc>
          <w:tcPr>
            <w:tcW w:w="4270" w:type="dxa"/>
            <w:tcBorders>
              <w:top w:val="single" w:sz="2" w:space="0" w:color="000000"/>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Total employees</w:t>
            </w:r>
          </w:p>
        </w:tc>
        <w:tc>
          <w:tcPr>
            <w:tcW w:w="1161" w:type="dxa"/>
            <w:tcBorders>
              <w:top w:val="single" w:sz="2" w:space="0" w:color="000000"/>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336 </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 xml:space="preserve">Total </w:t>
            </w:r>
            <w:r w:rsidR="00214EEC">
              <w:rPr>
                <w:rFonts w:cs="Calibri"/>
                <w:color w:val="000000"/>
                <w:sz w:val="16"/>
                <w:szCs w:val="16"/>
                <w:lang w:bidi="ar-SA"/>
              </w:rPr>
              <w:t>c</w:t>
            </w:r>
            <w:r>
              <w:rPr>
                <w:rFonts w:cs="Calibri"/>
                <w:color w:val="000000"/>
                <w:sz w:val="16"/>
                <w:szCs w:val="16"/>
                <w:lang w:bidi="ar-SA"/>
              </w:rPr>
              <w:t xml:space="preserve">urrently </w:t>
            </w:r>
            <w:r w:rsidR="00214EEC">
              <w:rPr>
                <w:rFonts w:cs="Calibri"/>
                <w:color w:val="000000"/>
                <w:sz w:val="16"/>
                <w:szCs w:val="16"/>
                <w:lang w:bidi="ar-SA"/>
              </w:rPr>
              <w:t>p</w:t>
            </w:r>
            <w:r>
              <w:rPr>
                <w:rFonts w:cs="Calibri"/>
                <w:color w:val="000000"/>
                <w:sz w:val="16"/>
                <w:szCs w:val="16"/>
                <w:lang w:bidi="ar-SA"/>
              </w:rPr>
              <w:t>articipating</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203 </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Household income &lt; 400% FPL</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210 </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rsidP="00214EEC">
            <w:pPr>
              <w:autoSpaceDE w:val="0"/>
              <w:autoSpaceDN w:val="0"/>
              <w:adjustRightInd w:val="0"/>
              <w:rPr>
                <w:rFonts w:cs="Calibri"/>
                <w:color w:val="000000"/>
                <w:sz w:val="16"/>
                <w:szCs w:val="16"/>
                <w:lang w:bidi="ar-SA"/>
              </w:rPr>
            </w:pPr>
            <w:r>
              <w:rPr>
                <w:rFonts w:cs="Calibri"/>
                <w:color w:val="000000"/>
                <w:sz w:val="16"/>
                <w:szCs w:val="16"/>
                <w:lang w:bidi="ar-SA"/>
              </w:rPr>
              <w:t>Total subsidy</w:t>
            </w:r>
            <w:r w:rsidR="00214EEC">
              <w:rPr>
                <w:rFonts w:cs="Calibri"/>
                <w:color w:val="000000"/>
                <w:sz w:val="16"/>
                <w:szCs w:val="16"/>
                <w:lang w:bidi="ar-SA"/>
              </w:rPr>
              <w:t>-</w:t>
            </w:r>
            <w:r>
              <w:rPr>
                <w:rFonts w:cs="Calibri"/>
                <w:color w:val="000000"/>
                <w:sz w:val="16"/>
                <w:szCs w:val="16"/>
                <w:lang w:bidi="ar-SA"/>
              </w:rPr>
              <w:t>eligible</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9 </w:t>
            </w:r>
          </w:p>
        </w:tc>
      </w:tr>
      <w:tr w:rsidR="00512070" w:rsidTr="00512070">
        <w:trPr>
          <w:trHeight w:val="187"/>
        </w:trPr>
        <w:tc>
          <w:tcPr>
            <w:tcW w:w="4270" w:type="dxa"/>
            <w:tcBorders>
              <w:top w:val="single" w:sz="6" w:space="0" w:color="auto"/>
              <w:left w:val="single" w:sz="12" w:space="0" w:color="auto"/>
              <w:bottom w:val="single" w:sz="12" w:space="0" w:color="auto"/>
              <w:right w:val="single" w:sz="6" w:space="0" w:color="auto"/>
            </w:tcBorders>
          </w:tcPr>
          <w:p w:rsidR="00512070" w:rsidRDefault="00512070" w:rsidP="00214EEC">
            <w:pPr>
              <w:autoSpaceDE w:val="0"/>
              <w:autoSpaceDN w:val="0"/>
              <w:adjustRightInd w:val="0"/>
              <w:rPr>
                <w:rFonts w:cs="Calibri"/>
                <w:color w:val="000000"/>
                <w:sz w:val="16"/>
                <w:szCs w:val="16"/>
                <w:lang w:bidi="ar-SA"/>
              </w:rPr>
            </w:pPr>
            <w:r>
              <w:rPr>
                <w:rFonts w:cs="Calibri"/>
                <w:color w:val="000000"/>
                <w:sz w:val="16"/>
                <w:szCs w:val="16"/>
                <w:lang w:bidi="ar-SA"/>
              </w:rPr>
              <w:t>Subsidy</w:t>
            </w:r>
            <w:r w:rsidR="00214EEC">
              <w:rPr>
                <w:rFonts w:cs="Calibri"/>
                <w:color w:val="000000"/>
                <w:sz w:val="16"/>
                <w:szCs w:val="16"/>
                <w:lang w:bidi="ar-SA"/>
              </w:rPr>
              <w:t>-</w:t>
            </w:r>
            <w:r>
              <w:rPr>
                <w:rFonts w:cs="Calibri"/>
                <w:color w:val="000000"/>
                <w:sz w:val="16"/>
                <w:szCs w:val="16"/>
                <w:lang w:bidi="ar-SA"/>
              </w:rPr>
              <w:t>eligible likely to purchase individual coverage</w:t>
            </w:r>
          </w:p>
        </w:tc>
        <w:tc>
          <w:tcPr>
            <w:tcW w:w="1161" w:type="dxa"/>
            <w:tcBorders>
              <w:top w:val="single" w:sz="6" w:space="0" w:color="auto"/>
              <w:left w:val="single" w:sz="6" w:space="0" w:color="auto"/>
              <w:bottom w:val="single" w:sz="12"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9 </w:t>
            </w:r>
          </w:p>
        </w:tc>
      </w:tr>
    </w:tbl>
    <w:p w:rsidR="003E2A85" w:rsidRDefault="003E2A85" w:rsidP="00531761">
      <w:pPr>
        <w:rPr>
          <w:rFonts w:asciiTheme="minorHAnsi" w:hAnsiTheme="minorHAnsi" w:cs="Arial"/>
          <w:szCs w:val="20"/>
        </w:rPr>
      </w:pPr>
      <w:bookmarkStart w:id="3" w:name="Table1"/>
      <w:bookmarkEnd w:id="3"/>
    </w:p>
    <w:p w:rsidR="003E2A85" w:rsidRDefault="006F3188" w:rsidP="00531761">
      <w:pPr>
        <w:rPr>
          <w:rFonts w:asciiTheme="minorHAnsi" w:hAnsiTheme="minorHAnsi" w:cs="Arial"/>
          <w:szCs w:val="20"/>
        </w:rPr>
      </w:pPr>
      <w:r>
        <w:rPr>
          <w:rFonts w:asciiTheme="minorHAnsi" w:hAnsiTheme="minorHAnsi" w:cs="Arial"/>
          <w:szCs w:val="20"/>
        </w:rPr>
        <w:t>Table</w:t>
      </w:r>
      <w:r w:rsidR="008F52A2">
        <w:rPr>
          <w:rFonts w:asciiTheme="minorHAnsi" w:hAnsiTheme="minorHAnsi" w:cs="Arial"/>
          <w:szCs w:val="20"/>
        </w:rPr>
        <w:t xml:space="preserve"> </w:t>
      </w:r>
      <w:r>
        <w:rPr>
          <w:rFonts w:asciiTheme="minorHAnsi" w:hAnsiTheme="minorHAnsi" w:cs="Arial"/>
          <w:szCs w:val="20"/>
        </w:rPr>
        <w:t>3a</w:t>
      </w:r>
    </w:p>
    <w:tbl>
      <w:tblPr>
        <w:tblW w:w="0" w:type="auto"/>
        <w:tblInd w:w="78" w:type="dxa"/>
        <w:tblLayout w:type="fixed"/>
        <w:tblLook w:val="0000" w:firstRow="0" w:lastRow="0" w:firstColumn="0" w:lastColumn="0" w:noHBand="0" w:noVBand="0"/>
      </w:tblPr>
      <w:tblGrid>
        <w:gridCol w:w="4270"/>
        <w:gridCol w:w="1161"/>
        <w:gridCol w:w="1162"/>
        <w:gridCol w:w="1161"/>
        <w:gridCol w:w="1162"/>
      </w:tblGrid>
      <w:tr w:rsidR="00512070" w:rsidTr="00512070">
        <w:trPr>
          <w:trHeight w:val="187"/>
        </w:trPr>
        <w:tc>
          <w:tcPr>
            <w:tcW w:w="4270" w:type="dxa"/>
            <w:tcBorders>
              <w:top w:val="single" w:sz="12" w:space="0" w:color="auto"/>
              <w:left w:val="single" w:sz="12" w:space="0" w:color="auto"/>
              <w:bottom w:val="single" w:sz="2" w:space="0" w:color="000000"/>
              <w:right w:val="single" w:sz="6" w:space="0" w:color="auto"/>
            </w:tcBorders>
            <w:shd w:val="solid" w:color="C0C0C0" w:fill="auto"/>
          </w:tcPr>
          <w:p w:rsidR="00512070" w:rsidRDefault="00512070">
            <w:pPr>
              <w:autoSpaceDE w:val="0"/>
              <w:autoSpaceDN w:val="0"/>
              <w:adjustRightInd w:val="0"/>
              <w:rPr>
                <w:rFonts w:cs="Calibri"/>
                <w:b/>
                <w:bCs/>
                <w:color w:val="000000"/>
                <w:sz w:val="16"/>
                <w:szCs w:val="16"/>
                <w:lang w:bidi="ar-SA"/>
              </w:rPr>
            </w:pPr>
            <w:r>
              <w:rPr>
                <w:rFonts w:cs="Calibri"/>
                <w:b/>
                <w:bCs/>
                <w:color w:val="000000"/>
                <w:sz w:val="16"/>
                <w:szCs w:val="16"/>
                <w:lang w:bidi="ar-SA"/>
              </w:rPr>
              <w:t>Employer Penalty</w:t>
            </w:r>
          </w:p>
        </w:tc>
        <w:tc>
          <w:tcPr>
            <w:tcW w:w="1161" w:type="dxa"/>
            <w:tcBorders>
              <w:top w:val="single" w:sz="12" w:space="0" w:color="auto"/>
              <w:left w:val="single" w:sz="6" w:space="0" w:color="auto"/>
              <w:bottom w:val="single" w:sz="2" w:space="0" w:color="000000"/>
              <w:right w:val="single" w:sz="6" w:space="0" w:color="auto"/>
            </w:tcBorders>
            <w:shd w:val="solid" w:color="C0C0C0" w:fill="auto"/>
          </w:tcPr>
          <w:p w:rsidR="00512070" w:rsidRDefault="00512070">
            <w:pPr>
              <w:autoSpaceDE w:val="0"/>
              <w:autoSpaceDN w:val="0"/>
              <w:adjustRightInd w:val="0"/>
              <w:jc w:val="center"/>
              <w:rPr>
                <w:rFonts w:cs="Calibri"/>
                <w:color w:val="000000"/>
                <w:sz w:val="16"/>
                <w:szCs w:val="16"/>
                <w:lang w:bidi="ar-SA"/>
              </w:rPr>
            </w:pPr>
            <w:r>
              <w:rPr>
                <w:rFonts w:cs="Calibri"/>
                <w:color w:val="000000"/>
                <w:sz w:val="16"/>
                <w:szCs w:val="16"/>
                <w:lang w:bidi="ar-SA"/>
              </w:rPr>
              <w:t>Number</w:t>
            </w:r>
          </w:p>
        </w:tc>
        <w:tc>
          <w:tcPr>
            <w:tcW w:w="1162" w:type="dxa"/>
            <w:tcBorders>
              <w:top w:val="single" w:sz="12" w:space="0" w:color="auto"/>
              <w:left w:val="single" w:sz="6" w:space="0" w:color="auto"/>
              <w:bottom w:val="single" w:sz="2" w:space="0" w:color="000000"/>
              <w:right w:val="single" w:sz="6" w:space="0" w:color="auto"/>
            </w:tcBorders>
            <w:shd w:val="solid" w:color="C0C0C0" w:fill="auto"/>
          </w:tcPr>
          <w:p w:rsidR="00512070" w:rsidRDefault="00512070">
            <w:pPr>
              <w:autoSpaceDE w:val="0"/>
              <w:autoSpaceDN w:val="0"/>
              <w:adjustRightInd w:val="0"/>
              <w:jc w:val="center"/>
              <w:rPr>
                <w:rFonts w:cs="Calibri"/>
                <w:color w:val="000000"/>
                <w:sz w:val="16"/>
                <w:szCs w:val="16"/>
                <w:lang w:bidi="ar-SA"/>
              </w:rPr>
            </w:pPr>
            <w:r>
              <w:rPr>
                <w:rFonts w:cs="Calibri"/>
                <w:color w:val="000000"/>
                <w:sz w:val="16"/>
                <w:szCs w:val="16"/>
                <w:lang w:bidi="ar-SA"/>
              </w:rPr>
              <w:t>Current Plan Cost</w:t>
            </w:r>
          </w:p>
        </w:tc>
        <w:tc>
          <w:tcPr>
            <w:tcW w:w="1161" w:type="dxa"/>
            <w:tcBorders>
              <w:top w:val="single" w:sz="12" w:space="0" w:color="auto"/>
              <w:left w:val="single" w:sz="6" w:space="0" w:color="auto"/>
              <w:bottom w:val="single" w:sz="2" w:space="0" w:color="000000"/>
              <w:right w:val="single" w:sz="6" w:space="0" w:color="auto"/>
            </w:tcBorders>
            <w:shd w:val="solid" w:color="C0C0C0" w:fill="auto"/>
          </w:tcPr>
          <w:p w:rsidR="00512070" w:rsidRDefault="00512070">
            <w:pPr>
              <w:autoSpaceDE w:val="0"/>
              <w:autoSpaceDN w:val="0"/>
              <w:adjustRightInd w:val="0"/>
              <w:jc w:val="center"/>
              <w:rPr>
                <w:rFonts w:cs="Calibri"/>
                <w:color w:val="000000"/>
                <w:sz w:val="16"/>
                <w:szCs w:val="16"/>
                <w:lang w:bidi="ar-SA"/>
              </w:rPr>
            </w:pPr>
            <w:r>
              <w:rPr>
                <w:rFonts w:cs="Calibri"/>
                <w:color w:val="000000"/>
                <w:sz w:val="16"/>
                <w:szCs w:val="16"/>
                <w:lang w:bidi="ar-SA"/>
              </w:rPr>
              <w:t>Cost of Penalty</w:t>
            </w:r>
          </w:p>
        </w:tc>
        <w:tc>
          <w:tcPr>
            <w:tcW w:w="1162" w:type="dxa"/>
            <w:tcBorders>
              <w:top w:val="single" w:sz="12" w:space="0" w:color="auto"/>
              <w:left w:val="single" w:sz="6" w:space="0" w:color="auto"/>
              <w:bottom w:val="single" w:sz="2" w:space="0" w:color="000000"/>
              <w:right w:val="single" w:sz="12" w:space="0" w:color="auto"/>
            </w:tcBorders>
            <w:shd w:val="solid" w:color="C0C0C0" w:fill="auto"/>
          </w:tcPr>
          <w:p w:rsidR="00512070" w:rsidRDefault="00512070">
            <w:pPr>
              <w:autoSpaceDE w:val="0"/>
              <w:autoSpaceDN w:val="0"/>
              <w:adjustRightInd w:val="0"/>
              <w:jc w:val="center"/>
              <w:rPr>
                <w:rFonts w:cs="Calibri"/>
                <w:color w:val="000000"/>
                <w:sz w:val="16"/>
                <w:szCs w:val="16"/>
                <w:lang w:bidi="ar-SA"/>
              </w:rPr>
            </w:pPr>
            <w:r>
              <w:rPr>
                <w:rFonts w:cs="Calibri"/>
                <w:color w:val="000000"/>
                <w:sz w:val="16"/>
                <w:szCs w:val="16"/>
                <w:lang w:bidi="ar-SA"/>
              </w:rPr>
              <w:t>Net Cost</w:t>
            </w:r>
          </w:p>
        </w:tc>
      </w:tr>
      <w:tr w:rsidR="00512070" w:rsidTr="00512070">
        <w:trPr>
          <w:trHeight w:val="187"/>
        </w:trPr>
        <w:tc>
          <w:tcPr>
            <w:tcW w:w="4270" w:type="dxa"/>
            <w:tcBorders>
              <w:top w:val="single" w:sz="2" w:space="0" w:color="000000"/>
              <w:left w:val="single" w:sz="12" w:space="0" w:color="auto"/>
              <w:bottom w:val="single" w:sz="6" w:space="0" w:color="auto"/>
              <w:right w:val="single" w:sz="6" w:space="0" w:color="auto"/>
            </w:tcBorders>
          </w:tcPr>
          <w:p w:rsidR="00512070" w:rsidRDefault="00512070" w:rsidP="00214EEC">
            <w:pPr>
              <w:autoSpaceDE w:val="0"/>
              <w:autoSpaceDN w:val="0"/>
              <w:adjustRightInd w:val="0"/>
              <w:rPr>
                <w:rFonts w:cs="Calibri"/>
                <w:color w:val="000000"/>
                <w:sz w:val="16"/>
                <w:szCs w:val="16"/>
                <w:lang w:bidi="ar-SA"/>
              </w:rPr>
            </w:pPr>
            <w:r>
              <w:rPr>
                <w:rFonts w:cs="Calibri"/>
                <w:color w:val="000000"/>
                <w:sz w:val="16"/>
                <w:szCs w:val="16"/>
                <w:lang w:bidi="ar-SA"/>
              </w:rPr>
              <w:t>Subsidy</w:t>
            </w:r>
            <w:r w:rsidR="00214EEC">
              <w:rPr>
                <w:rFonts w:cs="Calibri"/>
                <w:color w:val="000000"/>
                <w:sz w:val="16"/>
                <w:szCs w:val="16"/>
                <w:lang w:bidi="ar-SA"/>
              </w:rPr>
              <w:t>-</w:t>
            </w:r>
            <w:r>
              <w:rPr>
                <w:rFonts w:cs="Calibri"/>
                <w:color w:val="000000"/>
                <w:sz w:val="16"/>
                <w:szCs w:val="16"/>
                <w:lang w:bidi="ar-SA"/>
              </w:rPr>
              <w:t>likely employees currently on employer plan</w:t>
            </w:r>
          </w:p>
        </w:tc>
        <w:tc>
          <w:tcPr>
            <w:tcW w:w="1161" w:type="dxa"/>
            <w:tcBorders>
              <w:top w:val="single" w:sz="2" w:space="0" w:color="000000"/>
              <w:left w:val="single" w:sz="6" w:space="0" w:color="auto"/>
              <w:bottom w:val="single" w:sz="6" w:space="0" w:color="auto"/>
              <w:right w:val="single" w:sz="6"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5 </w:t>
            </w:r>
          </w:p>
        </w:tc>
        <w:tc>
          <w:tcPr>
            <w:tcW w:w="1162" w:type="dxa"/>
            <w:tcBorders>
              <w:top w:val="single" w:sz="2" w:space="0" w:color="000000"/>
              <w:left w:val="single" w:sz="6" w:space="0" w:color="auto"/>
              <w:bottom w:val="single" w:sz="6" w:space="0" w:color="auto"/>
              <w:right w:val="single" w:sz="6"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$ 17,383</w:t>
            </w:r>
          </w:p>
        </w:tc>
        <w:tc>
          <w:tcPr>
            <w:tcW w:w="1161" w:type="dxa"/>
            <w:tcBorders>
              <w:top w:val="single" w:sz="2" w:space="0" w:color="000000"/>
              <w:left w:val="single" w:sz="6" w:space="0" w:color="auto"/>
              <w:bottom w:val="single" w:sz="6" w:space="0" w:color="auto"/>
              <w:right w:val="single" w:sz="6"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$ 15,000</w:t>
            </w:r>
          </w:p>
        </w:tc>
        <w:tc>
          <w:tcPr>
            <w:tcW w:w="1162" w:type="dxa"/>
            <w:tcBorders>
              <w:top w:val="single" w:sz="2" w:space="0" w:color="000000"/>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-$ 2,383</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rsidP="00214EEC">
            <w:pPr>
              <w:autoSpaceDE w:val="0"/>
              <w:autoSpaceDN w:val="0"/>
              <w:adjustRightInd w:val="0"/>
              <w:rPr>
                <w:rFonts w:cs="Calibri"/>
                <w:color w:val="000000"/>
                <w:sz w:val="16"/>
                <w:szCs w:val="16"/>
                <w:lang w:bidi="ar-SA"/>
              </w:rPr>
            </w:pPr>
            <w:r>
              <w:rPr>
                <w:rFonts w:cs="Calibri"/>
                <w:color w:val="000000"/>
                <w:sz w:val="16"/>
                <w:szCs w:val="16"/>
                <w:lang w:bidi="ar-SA"/>
              </w:rPr>
              <w:t>Subsidy</w:t>
            </w:r>
            <w:r w:rsidR="00214EEC">
              <w:rPr>
                <w:rFonts w:cs="Calibri"/>
                <w:color w:val="000000"/>
                <w:sz w:val="16"/>
                <w:szCs w:val="16"/>
                <w:lang w:bidi="ar-SA"/>
              </w:rPr>
              <w:t>-</w:t>
            </w:r>
            <w:r>
              <w:rPr>
                <w:rFonts w:cs="Calibri"/>
                <w:color w:val="000000"/>
                <w:sz w:val="16"/>
                <w:szCs w:val="16"/>
                <w:lang w:bidi="ar-SA"/>
              </w:rPr>
              <w:t>likely employee</w:t>
            </w:r>
            <w:r w:rsidR="00214EEC">
              <w:rPr>
                <w:rFonts w:cs="Calibri"/>
                <w:color w:val="000000"/>
                <w:sz w:val="16"/>
                <w:szCs w:val="16"/>
                <w:lang w:bidi="ar-SA"/>
              </w:rPr>
              <w:t>s</w:t>
            </w:r>
            <w:r>
              <w:rPr>
                <w:rFonts w:cs="Calibri"/>
                <w:color w:val="000000"/>
                <w:sz w:val="16"/>
                <w:szCs w:val="16"/>
                <w:lang w:bidi="ar-SA"/>
              </w:rPr>
              <w:t xml:space="preserve"> not currently on employer plan</w:t>
            </w:r>
          </w:p>
        </w:tc>
        <w:tc>
          <w:tcPr>
            <w:tcW w:w="1161" w:type="dxa"/>
            <w:tcBorders>
              <w:top w:val="single" w:sz="6" w:space="0" w:color="auto"/>
              <w:left w:val="single" w:sz="6" w:space="0" w:color="auto"/>
              <w:bottom w:val="single" w:sz="6" w:space="0" w:color="auto"/>
              <w:right w:val="single" w:sz="6"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4 </w:t>
            </w:r>
          </w:p>
        </w:tc>
        <w:tc>
          <w:tcPr>
            <w:tcW w:w="1162" w:type="dxa"/>
            <w:tcBorders>
              <w:top w:val="single" w:sz="6" w:space="0" w:color="auto"/>
              <w:left w:val="single" w:sz="6" w:space="0" w:color="auto"/>
              <w:bottom w:val="single" w:sz="6" w:space="0" w:color="auto"/>
              <w:right w:val="single" w:sz="6"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$ 0</w:t>
            </w:r>
          </w:p>
        </w:tc>
        <w:tc>
          <w:tcPr>
            <w:tcW w:w="1161" w:type="dxa"/>
            <w:tcBorders>
              <w:top w:val="single" w:sz="6" w:space="0" w:color="auto"/>
              <w:left w:val="single" w:sz="6" w:space="0" w:color="auto"/>
              <w:bottom w:val="single" w:sz="6" w:space="0" w:color="auto"/>
              <w:right w:val="single" w:sz="6"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$ 12,000</w:t>
            </w:r>
          </w:p>
        </w:tc>
        <w:tc>
          <w:tcPr>
            <w:tcW w:w="1162"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$ 12,000</w:t>
            </w:r>
          </w:p>
        </w:tc>
      </w:tr>
      <w:tr w:rsidR="00512070" w:rsidTr="00512070">
        <w:trPr>
          <w:trHeight w:val="187"/>
        </w:trPr>
        <w:tc>
          <w:tcPr>
            <w:tcW w:w="4270" w:type="dxa"/>
            <w:tcBorders>
              <w:top w:val="single" w:sz="6" w:space="0" w:color="auto"/>
              <w:left w:val="single" w:sz="12" w:space="0" w:color="auto"/>
              <w:bottom w:val="single" w:sz="12" w:space="0" w:color="auto"/>
              <w:right w:val="single" w:sz="2" w:space="0" w:color="000000"/>
            </w:tcBorders>
            <w:shd w:val="solid" w:color="C0C0C0" w:fill="auto"/>
          </w:tcPr>
          <w:p w:rsidR="00512070" w:rsidRDefault="00512070">
            <w:pPr>
              <w:autoSpaceDE w:val="0"/>
              <w:autoSpaceDN w:val="0"/>
              <w:adjustRightInd w:val="0"/>
              <w:jc w:val="right"/>
              <w:rPr>
                <w:rFonts w:cs="Calibri"/>
                <w:color w:val="000000"/>
                <w:sz w:val="16"/>
                <w:szCs w:val="16"/>
                <w:lang w:bidi="ar-SA"/>
              </w:rPr>
            </w:pPr>
          </w:p>
        </w:tc>
        <w:tc>
          <w:tcPr>
            <w:tcW w:w="1161" w:type="dxa"/>
            <w:gridSpan w:val="2"/>
            <w:tcBorders>
              <w:top w:val="single" w:sz="6" w:space="0" w:color="auto"/>
              <w:left w:val="single" w:sz="2" w:space="0" w:color="000000"/>
              <w:bottom w:val="single" w:sz="12" w:space="0" w:color="auto"/>
              <w:right w:val="single" w:sz="6" w:space="0" w:color="auto"/>
            </w:tcBorders>
            <w:shd w:val="solid" w:color="C0C0C0" w:fill="auto"/>
          </w:tcPr>
          <w:p w:rsidR="00512070" w:rsidRDefault="00512070">
            <w:pPr>
              <w:autoSpaceDE w:val="0"/>
              <w:autoSpaceDN w:val="0"/>
              <w:adjustRightInd w:val="0"/>
              <w:jc w:val="right"/>
              <w:rPr>
                <w:rFonts w:cs="Calibri"/>
                <w:b/>
                <w:bCs/>
                <w:color w:val="000000"/>
                <w:sz w:val="16"/>
                <w:szCs w:val="16"/>
                <w:lang w:bidi="ar-SA"/>
              </w:rPr>
            </w:pPr>
            <w:r>
              <w:rPr>
                <w:rFonts w:cs="Calibri"/>
                <w:b/>
                <w:bCs/>
                <w:color w:val="000000"/>
                <w:sz w:val="16"/>
                <w:szCs w:val="16"/>
                <w:lang w:bidi="ar-SA"/>
              </w:rPr>
              <w:t>Total Estimated Cost</w:t>
            </w:r>
          </w:p>
        </w:tc>
        <w:tc>
          <w:tcPr>
            <w:tcW w:w="1161" w:type="dxa"/>
            <w:tcBorders>
              <w:top w:val="single" w:sz="6" w:space="0" w:color="auto"/>
              <w:left w:val="single" w:sz="6" w:space="0" w:color="auto"/>
              <w:bottom w:val="single" w:sz="12" w:space="0" w:color="auto"/>
              <w:right w:val="single" w:sz="6" w:space="0" w:color="auto"/>
            </w:tcBorders>
            <w:shd w:val="solid" w:color="C0C0C0" w:fill="auto"/>
          </w:tcPr>
          <w:p w:rsidR="00512070" w:rsidRDefault="00512070">
            <w:pPr>
              <w:autoSpaceDE w:val="0"/>
              <w:autoSpaceDN w:val="0"/>
              <w:adjustRightInd w:val="0"/>
              <w:jc w:val="right"/>
              <w:rPr>
                <w:rFonts w:cs="Calibri"/>
                <w:b/>
                <w:bCs/>
                <w:color w:val="000000"/>
                <w:sz w:val="16"/>
                <w:szCs w:val="16"/>
                <w:lang w:bidi="ar-SA"/>
              </w:rPr>
            </w:pPr>
            <w:r>
              <w:rPr>
                <w:rFonts w:cs="Calibri"/>
                <w:b/>
                <w:bCs/>
                <w:color w:val="000000"/>
                <w:sz w:val="16"/>
                <w:szCs w:val="16"/>
                <w:lang w:bidi="ar-SA"/>
              </w:rPr>
              <w:t>$ 27,000</w:t>
            </w:r>
          </w:p>
        </w:tc>
        <w:tc>
          <w:tcPr>
            <w:tcW w:w="1162" w:type="dxa"/>
            <w:tcBorders>
              <w:top w:val="single" w:sz="6" w:space="0" w:color="auto"/>
              <w:left w:val="single" w:sz="6" w:space="0" w:color="auto"/>
              <w:bottom w:val="single" w:sz="12" w:space="0" w:color="auto"/>
              <w:right w:val="single" w:sz="12" w:space="0" w:color="auto"/>
            </w:tcBorders>
            <w:shd w:val="solid" w:color="C0C0C0" w:fill="auto"/>
          </w:tcPr>
          <w:p w:rsidR="00512070" w:rsidRDefault="00512070">
            <w:pPr>
              <w:autoSpaceDE w:val="0"/>
              <w:autoSpaceDN w:val="0"/>
              <w:adjustRightInd w:val="0"/>
              <w:jc w:val="right"/>
              <w:rPr>
                <w:rFonts w:cs="Calibri"/>
                <w:b/>
                <w:bCs/>
                <w:color w:val="000000"/>
                <w:sz w:val="16"/>
                <w:szCs w:val="16"/>
                <w:lang w:bidi="ar-SA"/>
              </w:rPr>
            </w:pPr>
            <w:r>
              <w:rPr>
                <w:rFonts w:cs="Calibri"/>
                <w:b/>
                <w:bCs/>
                <w:color w:val="000000"/>
                <w:sz w:val="16"/>
                <w:szCs w:val="16"/>
                <w:lang w:bidi="ar-SA"/>
              </w:rPr>
              <w:t>$ 9,617</w:t>
            </w:r>
          </w:p>
        </w:tc>
      </w:tr>
      <w:tr w:rsidR="00512070" w:rsidTr="00512070">
        <w:trPr>
          <w:trHeight w:val="187"/>
        </w:trPr>
        <w:tc>
          <w:tcPr>
            <w:tcW w:w="4270" w:type="dxa"/>
            <w:gridSpan w:val="2"/>
            <w:tcBorders>
              <w:top w:val="single" w:sz="12" w:space="0" w:color="auto"/>
              <w:left w:val="single" w:sz="12" w:space="0" w:color="auto"/>
              <w:bottom w:val="single" w:sz="12" w:space="0" w:color="auto"/>
              <w:right w:val="single" w:sz="2" w:space="0" w:color="000000"/>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Note: Penalty capped at $2000 times number of FTEs (not counting first 30)</w:t>
            </w:r>
          </w:p>
        </w:tc>
        <w:tc>
          <w:tcPr>
            <w:tcW w:w="1162" w:type="dxa"/>
            <w:tcBorders>
              <w:top w:val="single" w:sz="12" w:space="0" w:color="auto"/>
              <w:left w:val="single" w:sz="2" w:space="0" w:color="000000"/>
              <w:bottom w:val="single" w:sz="12" w:space="0" w:color="auto"/>
              <w:right w:val="single" w:sz="6" w:space="0" w:color="auto"/>
            </w:tcBorders>
            <w:shd w:val="solid" w:color="FFFFFF" w:fill="auto"/>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Max. Penalty</w:t>
            </w:r>
          </w:p>
        </w:tc>
        <w:tc>
          <w:tcPr>
            <w:tcW w:w="1161" w:type="dxa"/>
            <w:tcBorders>
              <w:top w:val="single" w:sz="12" w:space="0" w:color="auto"/>
              <w:left w:val="single" w:sz="6" w:space="0" w:color="auto"/>
              <w:bottom w:val="single" w:sz="12"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$ 612,000 </w:t>
            </w:r>
          </w:p>
        </w:tc>
        <w:tc>
          <w:tcPr>
            <w:tcW w:w="1162" w:type="dxa"/>
            <w:tcBorders>
              <w:top w:val="single" w:sz="12" w:space="0" w:color="auto"/>
              <w:left w:val="single" w:sz="12" w:space="0" w:color="auto"/>
              <w:bottom w:val="single" w:sz="2" w:space="0" w:color="000000"/>
              <w:right w:val="single" w:sz="2" w:space="0" w:color="000000"/>
            </w:tcBorders>
          </w:tcPr>
          <w:p w:rsidR="00512070" w:rsidRDefault="00512070">
            <w:pPr>
              <w:autoSpaceDE w:val="0"/>
              <w:autoSpaceDN w:val="0"/>
              <w:adjustRightInd w:val="0"/>
              <w:jc w:val="right"/>
              <w:rPr>
                <w:rFonts w:cs="Calibri"/>
                <w:color w:val="000000"/>
                <w:sz w:val="16"/>
                <w:szCs w:val="16"/>
                <w:lang w:bidi="ar-SA"/>
              </w:rPr>
            </w:pPr>
          </w:p>
        </w:tc>
      </w:tr>
    </w:tbl>
    <w:p w:rsidR="003E2A85" w:rsidRDefault="003E2A85" w:rsidP="00AA63BE">
      <w:pPr>
        <w:rPr>
          <w:rFonts w:asciiTheme="minorHAnsi" w:hAnsiTheme="minorHAnsi" w:cs="Arial"/>
          <w:szCs w:val="20"/>
        </w:rPr>
      </w:pPr>
      <w:bookmarkStart w:id="4" w:name="Table3a"/>
      <w:bookmarkEnd w:id="4"/>
    </w:p>
    <w:p w:rsidR="003E2A85" w:rsidRDefault="006F3188" w:rsidP="00AA63BE">
      <w:pPr>
        <w:rPr>
          <w:rFonts w:asciiTheme="minorHAnsi" w:hAnsiTheme="minorHAnsi" w:cs="Arial"/>
          <w:szCs w:val="20"/>
        </w:rPr>
      </w:pPr>
      <w:r>
        <w:rPr>
          <w:rFonts w:asciiTheme="minorHAnsi" w:hAnsiTheme="minorHAnsi" w:cs="Arial"/>
          <w:szCs w:val="20"/>
        </w:rPr>
        <w:t>Chart</w:t>
      </w:r>
      <w:r w:rsidR="008F52A2">
        <w:rPr>
          <w:rFonts w:asciiTheme="minorHAnsi" w:hAnsiTheme="minorHAnsi" w:cs="Arial"/>
          <w:szCs w:val="20"/>
        </w:rPr>
        <w:t xml:space="preserve"> </w:t>
      </w:r>
      <w:r>
        <w:rPr>
          <w:rFonts w:asciiTheme="minorHAnsi" w:hAnsiTheme="minorHAnsi" w:cs="Arial"/>
          <w:szCs w:val="20"/>
        </w:rPr>
        <w:t>3</w:t>
      </w:r>
    </w:p>
    <w:p w:rsidR="003E2A85" w:rsidRDefault="00512070">
      <w:pPr>
        <w:rPr>
          <w:rFonts w:asciiTheme="minorHAnsi" w:hAnsiTheme="minorHAnsi" w:cs="Arial"/>
          <w:szCs w:val="20"/>
        </w:rPr>
      </w:pPr>
      <w:bookmarkStart w:id="5" w:name="Chart3"/>
      <w:bookmarkEnd w:id="5"/>
      <w:r>
        <w:rPr>
          <w:rFonts w:asciiTheme="minorHAnsi" w:hAnsiTheme="minorHAnsi" w:cs="Arial"/>
          <w:noProof/>
          <w:szCs w:val="20"/>
          <w:lang w:bidi="ar-SA"/>
        </w:rPr>
        <w:drawing>
          <wp:inline distT="0" distB="0" distL="0" distR="0">
            <wp:extent cx="4053220" cy="2719611"/>
            <wp:effectExtent l="19050" t="0" r="443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048549" cy="2716477"/>
                    </a:xfrm>
                    <a:prstGeom prst="rect">
                      <a:avLst/>
                    </a:prstGeom>
                    <a:noFill/>
                  </pic:spPr>
                </pic:pic>
              </a:graphicData>
            </a:graphic>
          </wp:inline>
        </w:drawing>
      </w:r>
    </w:p>
    <w:p w:rsidR="003E2A85" w:rsidRDefault="006F3188">
      <w:pPr>
        <w:rPr>
          <w:rFonts w:asciiTheme="minorHAnsi" w:hAnsiTheme="minorHAnsi" w:cs="Arial"/>
          <w:szCs w:val="20"/>
        </w:rPr>
      </w:pPr>
      <w:r>
        <w:rPr>
          <w:rFonts w:asciiTheme="minorHAnsi" w:hAnsiTheme="minorHAnsi" w:cs="Arial"/>
          <w:szCs w:val="20"/>
        </w:rPr>
        <w:t>Table</w:t>
      </w:r>
      <w:r w:rsidR="008F52A2">
        <w:rPr>
          <w:rFonts w:asciiTheme="minorHAnsi" w:hAnsiTheme="minorHAnsi" w:cs="Arial"/>
          <w:szCs w:val="20"/>
        </w:rPr>
        <w:t xml:space="preserve"> </w:t>
      </w:r>
      <w:r>
        <w:rPr>
          <w:rFonts w:asciiTheme="minorHAnsi" w:hAnsiTheme="minorHAnsi" w:cs="Arial"/>
          <w:szCs w:val="20"/>
        </w:rPr>
        <w:t>3b</w:t>
      </w:r>
    </w:p>
    <w:tbl>
      <w:tblPr>
        <w:tblW w:w="0" w:type="auto"/>
        <w:tblInd w:w="78" w:type="dxa"/>
        <w:tblLayout w:type="fixed"/>
        <w:tblLook w:val="0000" w:firstRow="0" w:lastRow="0" w:firstColumn="0" w:lastColumn="0" w:noHBand="0" w:noVBand="0"/>
      </w:tblPr>
      <w:tblGrid>
        <w:gridCol w:w="4270"/>
        <w:gridCol w:w="1161"/>
        <w:gridCol w:w="1162"/>
      </w:tblGrid>
      <w:tr w:rsidR="00512070" w:rsidTr="00512070">
        <w:trPr>
          <w:trHeight w:val="187"/>
        </w:trPr>
        <w:tc>
          <w:tcPr>
            <w:tcW w:w="4270" w:type="dxa"/>
            <w:tcBorders>
              <w:top w:val="single" w:sz="12" w:space="0" w:color="auto"/>
              <w:left w:val="single" w:sz="12" w:space="0" w:color="auto"/>
              <w:bottom w:val="single" w:sz="6" w:space="0" w:color="auto"/>
              <w:right w:val="single" w:sz="6" w:space="0" w:color="auto"/>
            </w:tcBorders>
            <w:shd w:val="solid" w:color="C0C0C0" w:fill="auto"/>
          </w:tcPr>
          <w:p w:rsidR="00512070" w:rsidRDefault="00512070">
            <w:pPr>
              <w:autoSpaceDE w:val="0"/>
              <w:autoSpaceDN w:val="0"/>
              <w:adjustRightInd w:val="0"/>
              <w:rPr>
                <w:rFonts w:cs="Calibri"/>
                <w:b/>
                <w:bCs/>
                <w:color w:val="000000"/>
                <w:sz w:val="16"/>
                <w:szCs w:val="16"/>
                <w:lang w:bidi="ar-SA"/>
              </w:rPr>
            </w:pPr>
            <w:r>
              <w:rPr>
                <w:rFonts w:cs="Calibri"/>
                <w:b/>
                <w:bCs/>
                <w:color w:val="000000"/>
                <w:sz w:val="16"/>
                <w:szCs w:val="16"/>
                <w:lang w:bidi="ar-SA"/>
              </w:rPr>
              <w:t>Summary of Impact of Shared Responsibility Penalty</w:t>
            </w:r>
          </w:p>
        </w:tc>
        <w:tc>
          <w:tcPr>
            <w:tcW w:w="1161" w:type="dxa"/>
            <w:tcBorders>
              <w:top w:val="single" w:sz="12" w:space="0" w:color="auto"/>
              <w:left w:val="single" w:sz="6" w:space="0" w:color="auto"/>
              <w:bottom w:val="single" w:sz="6" w:space="0" w:color="auto"/>
              <w:right w:val="single" w:sz="6" w:space="0" w:color="auto"/>
            </w:tcBorders>
            <w:shd w:val="solid" w:color="C0C0C0" w:fill="auto"/>
          </w:tcPr>
          <w:p w:rsidR="00512070" w:rsidRDefault="00512070">
            <w:pPr>
              <w:autoSpaceDE w:val="0"/>
              <w:autoSpaceDN w:val="0"/>
              <w:adjustRightInd w:val="0"/>
              <w:rPr>
                <w:rFonts w:cs="Calibri"/>
                <w:b/>
                <w:bCs/>
                <w:color w:val="000000"/>
                <w:sz w:val="16"/>
                <w:szCs w:val="16"/>
                <w:lang w:bidi="ar-SA"/>
              </w:rPr>
            </w:pPr>
            <w:r>
              <w:rPr>
                <w:rFonts w:cs="Calibri"/>
                <w:b/>
                <w:bCs/>
                <w:color w:val="000000"/>
                <w:sz w:val="16"/>
                <w:szCs w:val="16"/>
                <w:lang w:bidi="ar-SA"/>
              </w:rPr>
              <w:t>Current</w:t>
            </w:r>
          </w:p>
        </w:tc>
        <w:tc>
          <w:tcPr>
            <w:tcW w:w="1162" w:type="dxa"/>
            <w:tcBorders>
              <w:top w:val="single" w:sz="12" w:space="0" w:color="auto"/>
              <w:left w:val="single" w:sz="6" w:space="0" w:color="auto"/>
              <w:bottom w:val="single" w:sz="6" w:space="0" w:color="auto"/>
              <w:right w:val="single" w:sz="12" w:space="0" w:color="auto"/>
            </w:tcBorders>
            <w:shd w:val="solid" w:color="C0C0C0" w:fill="auto"/>
          </w:tcPr>
          <w:p w:rsidR="00512070" w:rsidRDefault="00512070">
            <w:pPr>
              <w:autoSpaceDE w:val="0"/>
              <w:autoSpaceDN w:val="0"/>
              <w:adjustRightInd w:val="0"/>
              <w:rPr>
                <w:rFonts w:cs="Calibri"/>
                <w:b/>
                <w:bCs/>
                <w:color w:val="000000"/>
                <w:sz w:val="16"/>
                <w:szCs w:val="16"/>
                <w:lang w:bidi="ar-SA"/>
              </w:rPr>
            </w:pPr>
            <w:r>
              <w:rPr>
                <w:rFonts w:cs="Calibri"/>
                <w:b/>
                <w:bCs/>
                <w:color w:val="000000"/>
                <w:sz w:val="16"/>
                <w:szCs w:val="16"/>
                <w:lang w:bidi="ar-SA"/>
              </w:rPr>
              <w:t>After ACA</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 xml:space="preserve">Plan </w:t>
            </w:r>
            <w:r w:rsidR="00C17203">
              <w:rPr>
                <w:rFonts w:cs="Calibri"/>
                <w:color w:val="000000"/>
                <w:sz w:val="16"/>
                <w:szCs w:val="16"/>
                <w:lang w:bidi="ar-SA"/>
              </w:rPr>
              <w:t>c</w:t>
            </w:r>
            <w:r>
              <w:rPr>
                <w:rFonts w:cs="Calibri"/>
                <w:color w:val="000000"/>
                <w:sz w:val="16"/>
                <w:szCs w:val="16"/>
                <w:lang w:bidi="ar-SA"/>
              </w:rPr>
              <w:t>ost</w:t>
            </w:r>
          </w:p>
        </w:tc>
        <w:tc>
          <w:tcPr>
            <w:tcW w:w="1161" w:type="dxa"/>
            <w:tcBorders>
              <w:top w:val="single" w:sz="6" w:space="0" w:color="auto"/>
              <w:left w:val="single" w:sz="6" w:space="0" w:color="auto"/>
              <w:bottom w:val="single" w:sz="6" w:space="0" w:color="auto"/>
              <w:right w:val="single" w:sz="6"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$ 1,062,599 </w:t>
            </w:r>
          </w:p>
        </w:tc>
        <w:tc>
          <w:tcPr>
            <w:tcW w:w="1162"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$ 1,045,217 </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Employer penalty</w:t>
            </w:r>
          </w:p>
        </w:tc>
        <w:tc>
          <w:tcPr>
            <w:tcW w:w="1161" w:type="dxa"/>
            <w:tcBorders>
              <w:top w:val="single" w:sz="6" w:space="0" w:color="auto"/>
              <w:left w:val="single" w:sz="6" w:space="0" w:color="auto"/>
              <w:bottom w:val="single" w:sz="6" w:space="0" w:color="auto"/>
              <w:right w:val="single" w:sz="6"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$ 0 </w:t>
            </w:r>
          </w:p>
        </w:tc>
        <w:tc>
          <w:tcPr>
            <w:tcW w:w="1162"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$ 27,000 </w:t>
            </w:r>
          </w:p>
        </w:tc>
      </w:tr>
      <w:tr w:rsidR="00512070" w:rsidTr="00512070">
        <w:trPr>
          <w:trHeight w:val="187"/>
        </w:trPr>
        <w:tc>
          <w:tcPr>
            <w:tcW w:w="4270" w:type="dxa"/>
            <w:tcBorders>
              <w:top w:val="single" w:sz="6" w:space="0" w:color="auto"/>
              <w:left w:val="single" w:sz="12" w:space="0" w:color="auto"/>
              <w:bottom w:val="single" w:sz="12" w:space="0" w:color="auto"/>
              <w:right w:val="single" w:sz="6" w:space="0" w:color="auto"/>
            </w:tcBorders>
          </w:tcPr>
          <w:p w:rsidR="00512070" w:rsidRDefault="00512070">
            <w:pPr>
              <w:autoSpaceDE w:val="0"/>
              <w:autoSpaceDN w:val="0"/>
              <w:adjustRightInd w:val="0"/>
              <w:rPr>
                <w:rFonts w:cs="Calibri"/>
                <w:b/>
                <w:bCs/>
                <w:color w:val="000000"/>
                <w:sz w:val="16"/>
                <w:szCs w:val="16"/>
                <w:lang w:bidi="ar-SA"/>
              </w:rPr>
            </w:pPr>
            <w:r>
              <w:rPr>
                <w:rFonts w:cs="Calibri"/>
                <w:b/>
                <w:bCs/>
                <w:color w:val="000000"/>
                <w:sz w:val="16"/>
                <w:szCs w:val="16"/>
                <w:lang w:bidi="ar-SA"/>
              </w:rPr>
              <w:t>Total</w:t>
            </w:r>
          </w:p>
        </w:tc>
        <w:tc>
          <w:tcPr>
            <w:tcW w:w="1161" w:type="dxa"/>
            <w:tcBorders>
              <w:top w:val="single" w:sz="6" w:space="0" w:color="auto"/>
              <w:left w:val="single" w:sz="6" w:space="0" w:color="auto"/>
              <w:bottom w:val="single" w:sz="12" w:space="0" w:color="auto"/>
              <w:right w:val="single" w:sz="6" w:space="0" w:color="auto"/>
            </w:tcBorders>
          </w:tcPr>
          <w:p w:rsidR="00512070" w:rsidRDefault="00512070">
            <w:pPr>
              <w:autoSpaceDE w:val="0"/>
              <w:autoSpaceDN w:val="0"/>
              <w:adjustRightInd w:val="0"/>
              <w:jc w:val="right"/>
              <w:rPr>
                <w:rFonts w:cs="Calibri"/>
                <w:b/>
                <w:bCs/>
                <w:color w:val="000000"/>
                <w:sz w:val="16"/>
                <w:szCs w:val="16"/>
                <w:lang w:bidi="ar-SA"/>
              </w:rPr>
            </w:pPr>
            <w:r>
              <w:rPr>
                <w:rFonts w:cs="Calibri"/>
                <w:b/>
                <w:bCs/>
                <w:color w:val="000000"/>
                <w:sz w:val="16"/>
                <w:szCs w:val="16"/>
                <w:lang w:bidi="ar-SA"/>
              </w:rPr>
              <w:t>$ 1,062,599</w:t>
            </w:r>
          </w:p>
        </w:tc>
        <w:tc>
          <w:tcPr>
            <w:tcW w:w="1162" w:type="dxa"/>
            <w:tcBorders>
              <w:top w:val="single" w:sz="6" w:space="0" w:color="auto"/>
              <w:left w:val="single" w:sz="6" w:space="0" w:color="auto"/>
              <w:bottom w:val="single" w:sz="12" w:space="0" w:color="auto"/>
              <w:right w:val="single" w:sz="12" w:space="0" w:color="auto"/>
            </w:tcBorders>
          </w:tcPr>
          <w:p w:rsidR="00512070" w:rsidRDefault="00512070">
            <w:pPr>
              <w:autoSpaceDE w:val="0"/>
              <w:autoSpaceDN w:val="0"/>
              <w:adjustRightInd w:val="0"/>
              <w:jc w:val="right"/>
              <w:rPr>
                <w:rFonts w:cs="Calibri"/>
                <w:b/>
                <w:bCs/>
                <w:color w:val="000000"/>
                <w:sz w:val="16"/>
                <w:szCs w:val="16"/>
                <w:lang w:bidi="ar-SA"/>
              </w:rPr>
            </w:pPr>
            <w:r>
              <w:rPr>
                <w:rFonts w:cs="Calibri"/>
                <w:b/>
                <w:bCs/>
                <w:color w:val="000000"/>
                <w:sz w:val="16"/>
                <w:szCs w:val="16"/>
                <w:lang w:bidi="ar-SA"/>
              </w:rPr>
              <w:t>$ 1,072,217</w:t>
            </w:r>
          </w:p>
        </w:tc>
      </w:tr>
    </w:tbl>
    <w:p w:rsidR="003E2A85" w:rsidRDefault="003E2A85" w:rsidP="00531761">
      <w:pPr>
        <w:rPr>
          <w:rFonts w:asciiTheme="minorHAnsi" w:hAnsiTheme="minorHAnsi" w:cs="Arial"/>
          <w:szCs w:val="20"/>
        </w:rPr>
      </w:pPr>
      <w:bookmarkStart w:id="6" w:name="Table3b"/>
      <w:bookmarkEnd w:id="6"/>
    </w:p>
    <w:p w:rsidR="004A4950" w:rsidRDefault="004A4950">
      <w:pPr>
        <w:rPr>
          <w:rFonts w:asciiTheme="minorHAnsi" w:hAnsiTheme="minorHAnsi" w:cs="Arial"/>
          <w:b/>
          <w:sz w:val="24"/>
          <w:szCs w:val="24"/>
        </w:rPr>
      </w:pPr>
    </w:p>
    <w:p w:rsidR="004A4950" w:rsidRPr="00885565" w:rsidRDefault="004A4950" w:rsidP="004A4950">
      <w:pPr>
        <w:rPr>
          <w:b/>
          <w:sz w:val="28"/>
          <w:szCs w:val="28"/>
          <w:u w:val="single"/>
        </w:rPr>
      </w:pPr>
      <w:r w:rsidRPr="00885565">
        <w:rPr>
          <w:b/>
          <w:sz w:val="28"/>
          <w:szCs w:val="28"/>
          <w:u w:val="single"/>
        </w:rPr>
        <w:lastRenderedPageBreak/>
        <w:t>Alternative Scenario</w:t>
      </w:r>
      <w:r>
        <w:rPr>
          <w:b/>
          <w:sz w:val="28"/>
          <w:szCs w:val="28"/>
          <w:u w:val="single"/>
        </w:rPr>
        <w:t xml:space="preserve"> 2</w:t>
      </w:r>
    </w:p>
    <w:p w:rsidR="004A4950" w:rsidRDefault="004A4950" w:rsidP="004A4950">
      <w:pPr>
        <w:pStyle w:val="NoSpacing"/>
        <w:rPr>
          <w:szCs w:val="20"/>
        </w:rPr>
      </w:pPr>
    </w:p>
    <w:p w:rsidR="004A4950" w:rsidRDefault="004A4950" w:rsidP="004A4950">
      <w:pPr>
        <w:pStyle w:val="NoSpacing"/>
        <w:rPr>
          <w:szCs w:val="20"/>
        </w:rPr>
      </w:pPr>
      <w:r>
        <w:rPr>
          <w:szCs w:val="20"/>
        </w:rPr>
        <w:t xml:space="preserve">This analysis allows for the presentation of alternative employer contributions or plan design arrangements, and estimates the effect the changes would have on expected employer costs.  </w:t>
      </w:r>
    </w:p>
    <w:p w:rsidR="004A4950" w:rsidRDefault="004A4950" w:rsidP="004A4950">
      <w:pPr>
        <w:pStyle w:val="NoSpacing"/>
        <w:rPr>
          <w:szCs w:val="20"/>
        </w:rPr>
      </w:pPr>
    </w:p>
    <w:p w:rsidR="004A4950" w:rsidRPr="00BF767D" w:rsidRDefault="004A4950" w:rsidP="004A4950">
      <w:pPr>
        <w:pStyle w:val="NoSpacing"/>
        <w:rPr>
          <w:color w:val="FF0000"/>
          <w:szCs w:val="20"/>
        </w:rPr>
      </w:pPr>
      <w:r w:rsidRPr="00BF767D">
        <w:rPr>
          <w:color w:val="FF0000"/>
          <w:szCs w:val="20"/>
        </w:rPr>
        <w:t>In this scenario we increased t</w:t>
      </w:r>
      <w:r>
        <w:rPr>
          <w:color w:val="FF0000"/>
          <w:szCs w:val="20"/>
        </w:rPr>
        <w:t xml:space="preserve">he employer contribution to </w:t>
      </w:r>
      <w:r w:rsidRPr="00BF767D">
        <w:rPr>
          <w:color w:val="FF0000"/>
          <w:szCs w:val="20"/>
        </w:rPr>
        <w:t>subgroup</w:t>
      </w:r>
      <w:r>
        <w:rPr>
          <w:color w:val="FF0000"/>
          <w:szCs w:val="20"/>
        </w:rPr>
        <w:t xml:space="preserve"> #2 </w:t>
      </w:r>
      <w:r w:rsidRPr="00BF767D">
        <w:rPr>
          <w:color w:val="FF0000"/>
          <w:szCs w:val="20"/>
        </w:rPr>
        <w:t xml:space="preserve">to $350/mo., reducing the </w:t>
      </w:r>
      <w:r w:rsidRPr="00BF767D">
        <w:rPr>
          <w:rFonts w:asciiTheme="minorHAnsi" w:hAnsiTheme="minorHAnsi" w:cs="Arial"/>
          <w:color w:val="FF0000"/>
          <w:szCs w:val="20"/>
        </w:rPr>
        <w:t>required contributions for employee</w:t>
      </w:r>
      <w:r>
        <w:rPr>
          <w:rFonts w:asciiTheme="minorHAnsi" w:hAnsiTheme="minorHAnsi" w:cs="Arial"/>
          <w:color w:val="FF0000"/>
          <w:szCs w:val="20"/>
        </w:rPr>
        <w:t>-</w:t>
      </w:r>
      <w:r w:rsidRPr="00BF767D">
        <w:rPr>
          <w:rFonts w:asciiTheme="minorHAnsi" w:hAnsiTheme="minorHAnsi" w:cs="Arial"/>
          <w:color w:val="FF0000"/>
          <w:szCs w:val="20"/>
        </w:rPr>
        <w:t>only coverage in low</w:t>
      </w:r>
      <w:r>
        <w:rPr>
          <w:rFonts w:asciiTheme="minorHAnsi" w:hAnsiTheme="minorHAnsi" w:cs="Arial"/>
          <w:color w:val="FF0000"/>
          <w:szCs w:val="20"/>
        </w:rPr>
        <w:t>-</w:t>
      </w:r>
      <w:r w:rsidRPr="00BF767D">
        <w:rPr>
          <w:rFonts w:asciiTheme="minorHAnsi" w:hAnsiTheme="minorHAnsi" w:cs="Arial"/>
          <w:color w:val="FF0000"/>
          <w:szCs w:val="20"/>
        </w:rPr>
        <w:t>cost plan (Silver PPO) to $174.57</w:t>
      </w:r>
    </w:p>
    <w:p w:rsidR="004A4950" w:rsidRDefault="004A4950" w:rsidP="004A4950">
      <w:pPr>
        <w:pStyle w:val="NoSpacing"/>
        <w:rPr>
          <w:szCs w:val="20"/>
        </w:rPr>
      </w:pPr>
    </w:p>
    <w:p w:rsidR="004A4950" w:rsidRDefault="004A4950" w:rsidP="004A4950">
      <w:pPr>
        <w:pStyle w:val="NoSpacing"/>
        <w:rPr>
          <w:szCs w:val="20"/>
        </w:rPr>
      </w:pPr>
    </w:p>
    <w:p w:rsidR="004A4950" w:rsidRDefault="004A4950" w:rsidP="004A4950">
      <w:pPr>
        <w:pStyle w:val="NoSpacing"/>
        <w:rPr>
          <w:szCs w:val="20"/>
        </w:rPr>
      </w:pPr>
      <w:r>
        <w:rPr>
          <w:szCs w:val="20"/>
        </w:rPr>
        <w:t xml:space="preserve">Table 1.2 </w:t>
      </w:r>
    </w:p>
    <w:tbl>
      <w:tblPr>
        <w:tblW w:w="0" w:type="auto"/>
        <w:tblInd w:w="78" w:type="dxa"/>
        <w:tblLayout w:type="fixed"/>
        <w:tblLook w:val="0000" w:firstRow="0" w:lastRow="0" w:firstColumn="0" w:lastColumn="0" w:noHBand="0" w:noVBand="0"/>
      </w:tblPr>
      <w:tblGrid>
        <w:gridCol w:w="4270"/>
        <w:gridCol w:w="1161"/>
      </w:tblGrid>
      <w:tr w:rsidR="004A4950" w:rsidTr="00B700E1">
        <w:trPr>
          <w:trHeight w:val="187"/>
        </w:trPr>
        <w:tc>
          <w:tcPr>
            <w:tcW w:w="4270" w:type="dxa"/>
            <w:tcBorders>
              <w:top w:val="single" w:sz="12" w:space="0" w:color="auto"/>
              <w:left w:val="single" w:sz="12" w:space="0" w:color="auto"/>
              <w:bottom w:val="single" w:sz="2" w:space="0" w:color="000000"/>
              <w:right w:val="single" w:sz="6" w:space="0" w:color="auto"/>
            </w:tcBorders>
            <w:shd w:val="solid" w:color="C0C0C0" w:fill="auto"/>
          </w:tcPr>
          <w:p w:rsidR="004A4950" w:rsidRDefault="004A4950" w:rsidP="00B700E1">
            <w:pPr>
              <w:autoSpaceDE w:val="0"/>
              <w:autoSpaceDN w:val="0"/>
              <w:adjustRightInd w:val="0"/>
              <w:rPr>
                <w:rFonts w:cs="Calibri"/>
                <w:b/>
                <w:bCs/>
                <w:color w:val="000000"/>
                <w:sz w:val="16"/>
                <w:szCs w:val="16"/>
                <w:lang w:bidi="ar-SA"/>
              </w:rPr>
            </w:pPr>
            <w:r>
              <w:rPr>
                <w:rFonts w:cs="Calibri"/>
                <w:b/>
                <w:bCs/>
                <w:color w:val="000000"/>
                <w:sz w:val="16"/>
                <w:szCs w:val="16"/>
                <w:lang w:bidi="ar-SA"/>
              </w:rPr>
              <w:t>Employer Statistics</w:t>
            </w:r>
          </w:p>
        </w:tc>
        <w:tc>
          <w:tcPr>
            <w:tcW w:w="1161" w:type="dxa"/>
            <w:tcBorders>
              <w:top w:val="single" w:sz="12" w:space="0" w:color="auto"/>
              <w:left w:val="single" w:sz="6" w:space="0" w:color="auto"/>
              <w:bottom w:val="single" w:sz="2" w:space="0" w:color="000000"/>
              <w:right w:val="single" w:sz="12" w:space="0" w:color="auto"/>
            </w:tcBorders>
            <w:shd w:val="solid" w:color="C0C0C0" w:fill="auto"/>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Scenario 2</w:t>
            </w:r>
          </w:p>
        </w:tc>
      </w:tr>
      <w:tr w:rsidR="004A4950" w:rsidTr="00B700E1">
        <w:trPr>
          <w:trHeight w:val="187"/>
        </w:trPr>
        <w:tc>
          <w:tcPr>
            <w:tcW w:w="4270" w:type="dxa"/>
            <w:tcBorders>
              <w:top w:val="single" w:sz="2" w:space="0" w:color="000000"/>
              <w:left w:val="single" w:sz="12" w:space="0" w:color="auto"/>
              <w:bottom w:val="single" w:sz="6" w:space="0" w:color="auto"/>
              <w:right w:val="single" w:sz="6" w:space="0" w:color="auto"/>
            </w:tcBorders>
          </w:tcPr>
          <w:p w:rsidR="004A4950" w:rsidRDefault="004A4950" w:rsidP="00B700E1">
            <w:pPr>
              <w:autoSpaceDE w:val="0"/>
              <w:autoSpaceDN w:val="0"/>
              <w:adjustRightInd w:val="0"/>
              <w:rPr>
                <w:rFonts w:cs="Calibri"/>
                <w:color w:val="000000"/>
                <w:sz w:val="16"/>
                <w:szCs w:val="16"/>
                <w:lang w:bidi="ar-SA"/>
              </w:rPr>
            </w:pPr>
            <w:r>
              <w:rPr>
                <w:rFonts w:cs="Calibri"/>
                <w:color w:val="000000"/>
                <w:sz w:val="16"/>
                <w:szCs w:val="16"/>
                <w:lang w:bidi="ar-SA"/>
              </w:rPr>
              <w:t>Total employees</w:t>
            </w:r>
          </w:p>
        </w:tc>
        <w:tc>
          <w:tcPr>
            <w:tcW w:w="1161" w:type="dxa"/>
            <w:tcBorders>
              <w:top w:val="single" w:sz="2" w:space="0" w:color="000000"/>
              <w:left w:val="single" w:sz="6" w:space="0" w:color="auto"/>
              <w:bottom w:val="single" w:sz="6" w:space="0" w:color="auto"/>
              <w:right w:val="single" w:sz="12"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336 </w:t>
            </w:r>
          </w:p>
        </w:tc>
      </w:tr>
      <w:tr w:rsidR="004A4950" w:rsidTr="00B700E1">
        <w:trPr>
          <w:trHeight w:val="187"/>
        </w:trPr>
        <w:tc>
          <w:tcPr>
            <w:tcW w:w="4270" w:type="dxa"/>
            <w:tcBorders>
              <w:top w:val="single" w:sz="6" w:space="0" w:color="auto"/>
              <w:left w:val="single" w:sz="12" w:space="0" w:color="auto"/>
              <w:bottom w:val="single" w:sz="6" w:space="0" w:color="auto"/>
              <w:right w:val="single" w:sz="6" w:space="0" w:color="auto"/>
            </w:tcBorders>
          </w:tcPr>
          <w:p w:rsidR="004A4950" w:rsidRDefault="004A4950" w:rsidP="00B700E1">
            <w:pPr>
              <w:autoSpaceDE w:val="0"/>
              <w:autoSpaceDN w:val="0"/>
              <w:adjustRightInd w:val="0"/>
              <w:rPr>
                <w:rFonts w:cs="Calibri"/>
                <w:color w:val="000000"/>
                <w:sz w:val="16"/>
                <w:szCs w:val="16"/>
                <w:lang w:bidi="ar-SA"/>
              </w:rPr>
            </w:pPr>
            <w:r>
              <w:rPr>
                <w:rFonts w:cs="Calibri"/>
                <w:color w:val="000000"/>
                <w:sz w:val="16"/>
                <w:szCs w:val="16"/>
                <w:lang w:bidi="ar-SA"/>
              </w:rPr>
              <w:t>Total subsidy-eligible</w:t>
            </w:r>
          </w:p>
        </w:tc>
        <w:tc>
          <w:tcPr>
            <w:tcW w:w="1161" w:type="dxa"/>
            <w:tcBorders>
              <w:top w:val="single" w:sz="6" w:space="0" w:color="auto"/>
              <w:left w:val="single" w:sz="6" w:space="0" w:color="auto"/>
              <w:bottom w:val="single" w:sz="6" w:space="0" w:color="auto"/>
              <w:right w:val="single" w:sz="12"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0 </w:t>
            </w:r>
          </w:p>
        </w:tc>
      </w:tr>
      <w:tr w:rsidR="004A4950" w:rsidTr="00B700E1">
        <w:trPr>
          <w:trHeight w:val="187"/>
        </w:trPr>
        <w:tc>
          <w:tcPr>
            <w:tcW w:w="4270" w:type="dxa"/>
            <w:tcBorders>
              <w:top w:val="single" w:sz="6" w:space="0" w:color="auto"/>
              <w:left w:val="single" w:sz="12" w:space="0" w:color="auto"/>
              <w:bottom w:val="single" w:sz="12" w:space="0" w:color="auto"/>
              <w:right w:val="single" w:sz="6" w:space="0" w:color="auto"/>
            </w:tcBorders>
          </w:tcPr>
          <w:p w:rsidR="004A4950" w:rsidRDefault="004A4950" w:rsidP="00B700E1">
            <w:pPr>
              <w:autoSpaceDE w:val="0"/>
              <w:autoSpaceDN w:val="0"/>
              <w:adjustRightInd w:val="0"/>
              <w:rPr>
                <w:rFonts w:cs="Calibri"/>
                <w:color w:val="000000"/>
                <w:sz w:val="16"/>
                <w:szCs w:val="16"/>
                <w:lang w:bidi="ar-SA"/>
              </w:rPr>
            </w:pPr>
            <w:r>
              <w:rPr>
                <w:rFonts w:cs="Calibri"/>
                <w:color w:val="000000"/>
                <w:sz w:val="16"/>
                <w:szCs w:val="16"/>
                <w:lang w:bidi="ar-SA"/>
              </w:rPr>
              <w:t>Subsidy-eligible likely to purchase individual coverage</w:t>
            </w:r>
          </w:p>
        </w:tc>
        <w:tc>
          <w:tcPr>
            <w:tcW w:w="1161" w:type="dxa"/>
            <w:tcBorders>
              <w:top w:val="single" w:sz="6" w:space="0" w:color="auto"/>
              <w:left w:val="single" w:sz="6" w:space="0" w:color="auto"/>
              <w:bottom w:val="single" w:sz="12" w:space="0" w:color="auto"/>
              <w:right w:val="single" w:sz="12"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0 </w:t>
            </w:r>
          </w:p>
        </w:tc>
      </w:tr>
    </w:tbl>
    <w:p w:rsidR="004A4950" w:rsidRDefault="004A4950" w:rsidP="004A4950">
      <w:pPr>
        <w:pStyle w:val="NoSpacing"/>
        <w:rPr>
          <w:szCs w:val="20"/>
        </w:rPr>
      </w:pPr>
      <w:bookmarkStart w:id="7" w:name="Table1_2"/>
      <w:bookmarkEnd w:id="7"/>
    </w:p>
    <w:p w:rsidR="004A4950" w:rsidRDefault="004A4950" w:rsidP="004A4950">
      <w:pPr>
        <w:pStyle w:val="NoSpacing"/>
        <w:rPr>
          <w:szCs w:val="20"/>
        </w:rPr>
      </w:pPr>
      <w:r>
        <w:rPr>
          <w:szCs w:val="20"/>
        </w:rPr>
        <w:t xml:space="preserve">Table 3a.2 </w:t>
      </w:r>
    </w:p>
    <w:tbl>
      <w:tblPr>
        <w:tblW w:w="0" w:type="auto"/>
        <w:tblInd w:w="78" w:type="dxa"/>
        <w:tblLayout w:type="fixed"/>
        <w:tblLook w:val="0000" w:firstRow="0" w:lastRow="0" w:firstColumn="0" w:lastColumn="0" w:noHBand="0" w:noVBand="0"/>
      </w:tblPr>
      <w:tblGrid>
        <w:gridCol w:w="4270"/>
        <w:gridCol w:w="1161"/>
        <w:gridCol w:w="1162"/>
        <w:gridCol w:w="1161"/>
        <w:gridCol w:w="1162"/>
      </w:tblGrid>
      <w:tr w:rsidR="004A4950" w:rsidTr="00B700E1">
        <w:trPr>
          <w:trHeight w:val="187"/>
        </w:trPr>
        <w:tc>
          <w:tcPr>
            <w:tcW w:w="4270" w:type="dxa"/>
            <w:tcBorders>
              <w:top w:val="single" w:sz="12" w:space="0" w:color="auto"/>
              <w:left w:val="single" w:sz="12" w:space="0" w:color="auto"/>
              <w:bottom w:val="single" w:sz="2" w:space="0" w:color="000000"/>
              <w:right w:val="single" w:sz="6" w:space="0" w:color="auto"/>
            </w:tcBorders>
            <w:shd w:val="solid" w:color="C0C0C0" w:fill="auto"/>
          </w:tcPr>
          <w:p w:rsidR="004A4950" w:rsidRDefault="004A4950" w:rsidP="00B700E1">
            <w:pPr>
              <w:autoSpaceDE w:val="0"/>
              <w:autoSpaceDN w:val="0"/>
              <w:adjustRightInd w:val="0"/>
              <w:rPr>
                <w:rFonts w:cs="Calibri"/>
                <w:b/>
                <w:bCs/>
                <w:color w:val="000000"/>
                <w:sz w:val="16"/>
                <w:szCs w:val="16"/>
                <w:lang w:bidi="ar-SA"/>
              </w:rPr>
            </w:pPr>
            <w:r>
              <w:rPr>
                <w:rFonts w:cs="Calibri"/>
                <w:b/>
                <w:bCs/>
                <w:color w:val="000000"/>
                <w:sz w:val="16"/>
                <w:szCs w:val="16"/>
                <w:lang w:bidi="ar-SA"/>
              </w:rPr>
              <w:t>Employer Penalty</w:t>
            </w:r>
          </w:p>
        </w:tc>
        <w:tc>
          <w:tcPr>
            <w:tcW w:w="1161" w:type="dxa"/>
            <w:tcBorders>
              <w:top w:val="single" w:sz="12" w:space="0" w:color="auto"/>
              <w:left w:val="single" w:sz="6" w:space="0" w:color="auto"/>
              <w:bottom w:val="single" w:sz="2" w:space="0" w:color="000000"/>
              <w:right w:val="single" w:sz="6" w:space="0" w:color="auto"/>
            </w:tcBorders>
            <w:shd w:val="solid" w:color="C0C0C0" w:fill="auto"/>
          </w:tcPr>
          <w:p w:rsidR="004A4950" w:rsidRDefault="004A4950" w:rsidP="00B700E1">
            <w:pPr>
              <w:autoSpaceDE w:val="0"/>
              <w:autoSpaceDN w:val="0"/>
              <w:adjustRightInd w:val="0"/>
              <w:jc w:val="center"/>
              <w:rPr>
                <w:rFonts w:cs="Calibri"/>
                <w:color w:val="000000"/>
                <w:sz w:val="16"/>
                <w:szCs w:val="16"/>
                <w:lang w:bidi="ar-SA"/>
              </w:rPr>
            </w:pPr>
            <w:r>
              <w:rPr>
                <w:rFonts w:cs="Calibri"/>
                <w:color w:val="000000"/>
                <w:sz w:val="16"/>
                <w:szCs w:val="16"/>
                <w:lang w:bidi="ar-SA"/>
              </w:rPr>
              <w:t>Number</w:t>
            </w:r>
          </w:p>
        </w:tc>
        <w:tc>
          <w:tcPr>
            <w:tcW w:w="1162" w:type="dxa"/>
            <w:tcBorders>
              <w:top w:val="single" w:sz="12" w:space="0" w:color="auto"/>
              <w:left w:val="single" w:sz="6" w:space="0" w:color="auto"/>
              <w:bottom w:val="single" w:sz="2" w:space="0" w:color="000000"/>
              <w:right w:val="single" w:sz="6" w:space="0" w:color="auto"/>
            </w:tcBorders>
            <w:shd w:val="solid" w:color="C0C0C0" w:fill="auto"/>
          </w:tcPr>
          <w:p w:rsidR="004A4950" w:rsidRDefault="004A4950" w:rsidP="00B700E1">
            <w:pPr>
              <w:autoSpaceDE w:val="0"/>
              <w:autoSpaceDN w:val="0"/>
              <w:adjustRightInd w:val="0"/>
              <w:jc w:val="center"/>
              <w:rPr>
                <w:rFonts w:cs="Calibri"/>
                <w:color w:val="000000"/>
                <w:sz w:val="16"/>
                <w:szCs w:val="16"/>
                <w:lang w:bidi="ar-SA"/>
              </w:rPr>
            </w:pPr>
            <w:r>
              <w:rPr>
                <w:rFonts w:cs="Calibri"/>
                <w:color w:val="000000"/>
                <w:sz w:val="16"/>
                <w:szCs w:val="16"/>
                <w:lang w:bidi="ar-SA"/>
              </w:rPr>
              <w:t>Current Cost</w:t>
            </w:r>
          </w:p>
        </w:tc>
        <w:tc>
          <w:tcPr>
            <w:tcW w:w="1161" w:type="dxa"/>
            <w:tcBorders>
              <w:top w:val="single" w:sz="12" w:space="0" w:color="auto"/>
              <w:left w:val="single" w:sz="6" w:space="0" w:color="auto"/>
              <w:bottom w:val="single" w:sz="2" w:space="0" w:color="000000"/>
              <w:right w:val="single" w:sz="6" w:space="0" w:color="auto"/>
            </w:tcBorders>
            <w:shd w:val="solid" w:color="C0C0C0" w:fill="auto"/>
          </w:tcPr>
          <w:p w:rsidR="004A4950" w:rsidRDefault="004A4950" w:rsidP="00B700E1">
            <w:pPr>
              <w:autoSpaceDE w:val="0"/>
              <w:autoSpaceDN w:val="0"/>
              <w:adjustRightInd w:val="0"/>
              <w:jc w:val="center"/>
              <w:rPr>
                <w:rFonts w:cs="Calibri"/>
                <w:color w:val="000000"/>
                <w:sz w:val="16"/>
                <w:szCs w:val="16"/>
                <w:lang w:bidi="ar-SA"/>
              </w:rPr>
            </w:pPr>
            <w:r>
              <w:rPr>
                <w:rFonts w:cs="Calibri"/>
                <w:color w:val="000000"/>
                <w:sz w:val="16"/>
                <w:szCs w:val="16"/>
                <w:lang w:bidi="ar-SA"/>
              </w:rPr>
              <w:t>Cost of Penalty</w:t>
            </w:r>
          </w:p>
        </w:tc>
        <w:tc>
          <w:tcPr>
            <w:tcW w:w="1162" w:type="dxa"/>
            <w:tcBorders>
              <w:top w:val="single" w:sz="12" w:space="0" w:color="auto"/>
              <w:left w:val="single" w:sz="6" w:space="0" w:color="auto"/>
              <w:bottom w:val="single" w:sz="2" w:space="0" w:color="000000"/>
              <w:right w:val="single" w:sz="6" w:space="0" w:color="auto"/>
            </w:tcBorders>
            <w:shd w:val="solid" w:color="C0C0C0" w:fill="auto"/>
          </w:tcPr>
          <w:p w:rsidR="004A4950" w:rsidRDefault="004A4950" w:rsidP="00B700E1">
            <w:pPr>
              <w:autoSpaceDE w:val="0"/>
              <w:autoSpaceDN w:val="0"/>
              <w:adjustRightInd w:val="0"/>
              <w:jc w:val="center"/>
              <w:rPr>
                <w:rFonts w:cs="Calibri"/>
                <w:color w:val="000000"/>
                <w:sz w:val="16"/>
                <w:szCs w:val="16"/>
                <w:lang w:bidi="ar-SA"/>
              </w:rPr>
            </w:pPr>
            <w:r>
              <w:rPr>
                <w:rFonts w:cs="Calibri"/>
                <w:color w:val="000000"/>
                <w:sz w:val="16"/>
                <w:szCs w:val="16"/>
                <w:lang w:bidi="ar-SA"/>
              </w:rPr>
              <w:t>Net Cost</w:t>
            </w:r>
          </w:p>
        </w:tc>
      </w:tr>
      <w:tr w:rsidR="004A4950" w:rsidTr="00B700E1">
        <w:trPr>
          <w:trHeight w:val="187"/>
        </w:trPr>
        <w:tc>
          <w:tcPr>
            <w:tcW w:w="4270" w:type="dxa"/>
            <w:tcBorders>
              <w:top w:val="single" w:sz="2" w:space="0" w:color="000000"/>
              <w:left w:val="single" w:sz="12" w:space="0" w:color="auto"/>
              <w:bottom w:val="single" w:sz="6" w:space="0" w:color="auto"/>
              <w:right w:val="single" w:sz="6" w:space="0" w:color="auto"/>
            </w:tcBorders>
          </w:tcPr>
          <w:p w:rsidR="004A4950" w:rsidRDefault="004A4950" w:rsidP="00B700E1">
            <w:pPr>
              <w:autoSpaceDE w:val="0"/>
              <w:autoSpaceDN w:val="0"/>
              <w:adjustRightInd w:val="0"/>
              <w:rPr>
                <w:rFonts w:cs="Calibri"/>
                <w:color w:val="000000"/>
                <w:sz w:val="16"/>
                <w:szCs w:val="16"/>
                <w:lang w:bidi="ar-SA"/>
              </w:rPr>
            </w:pPr>
            <w:r>
              <w:rPr>
                <w:rFonts w:cs="Calibri"/>
                <w:color w:val="000000"/>
                <w:sz w:val="16"/>
                <w:szCs w:val="16"/>
                <w:lang w:bidi="ar-SA"/>
              </w:rPr>
              <w:t>Subsidy-likely employees currently on employer plan</w:t>
            </w:r>
          </w:p>
        </w:tc>
        <w:tc>
          <w:tcPr>
            <w:tcW w:w="1161" w:type="dxa"/>
            <w:tcBorders>
              <w:top w:val="single" w:sz="2" w:space="0" w:color="000000"/>
              <w:left w:val="single" w:sz="6" w:space="0" w:color="auto"/>
              <w:bottom w:val="single" w:sz="6" w:space="0" w:color="auto"/>
              <w:right w:val="single" w:sz="6"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0 </w:t>
            </w:r>
          </w:p>
        </w:tc>
        <w:tc>
          <w:tcPr>
            <w:tcW w:w="1162" w:type="dxa"/>
            <w:tcBorders>
              <w:top w:val="single" w:sz="2" w:space="0" w:color="000000"/>
              <w:left w:val="single" w:sz="6" w:space="0" w:color="auto"/>
              <w:bottom w:val="single" w:sz="6" w:space="0" w:color="auto"/>
              <w:right w:val="single" w:sz="6"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$ 0 </w:t>
            </w:r>
          </w:p>
        </w:tc>
        <w:tc>
          <w:tcPr>
            <w:tcW w:w="1161" w:type="dxa"/>
            <w:tcBorders>
              <w:top w:val="single" w:sz="2" w:space="0" w:color="000000"/>
              <w:left w:val="single" w:sz="6" w:space="0" w:color="auto"/>
              <w:bottom w:val="single" w:sz="6" w:space="0" w:color="auto"/>
              <w:right w:val="single" w:sz="6"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$ 0 </w:t>
            </w:r>
          </w:p>
        </w:tc>
        <w:tc>
          <w:tcPr>
            <w:tcW w:w="1162" w:type="dxa"/>
            <w:tcBorders>
              <w:top w:val="single" w:sz="2" w:space="0" w:color="000000"/>
              <w:left w:val="single" w:sz="6" w:space="0" w:color="auto"/>
              <w:bottom w:val="single" w:sz="6" w:space="0" w:color="auto"/>
              <w:right w:val="single" w:sz="6"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$ 0 </w:t>
            </w:r>
          </w:p>
        </w:tc>
      </w:tr>
      <w:tr w:rsidR="004A4950" w:rsidTr="00B700E1">
        <w:trPr>
          <w:trHeight w:val="187"/>
        </w:trPr>
        <w:tc>
          <w:tcPr>
            <w:tcW w:w="4270" w:type="dxa"/>
            <w:tcBorders>
              <w:top w:val="single" w:sz="6" w:space="0" w:color="auto"/>
              <w:left w:val="single" w:sz="12" w:space="0" w:color="auto"/>
              <w:bottom w:val="single" w:sz="12" w:space="0" w:color="auto"/>
              <w:right w:val="single" w:sz="6" w:space="0" w:color="auto"/>
            </w:tcBorders>
          </w:tcPr>
          <w:p w:rsidR="004A4950" w:rsidRDefault="004A4950" w:rsidP="00B700E1">
            <w:pPr>
              <w:autoSpaceDE w:val="0"/>
              <w:autoSpaceDN w:val="0"/>
              <w:adjustRightInd w:val="0"/>
              <w:rPr>
                <w:rFonts w:cs="Calibri"/>
                <w:color w:val="000000"/>
                <w:sz w:val="16"/>
                <w:szCs w:val="16"/>
                <w:lang w:bidi="ar-SA"/>
              </w:rPr>
            </w:pPr>
            <w:r>
              <w:rPr>
                <w:rFonts w:cs="Calibri"/>
                <w:color w:val="000000"/>
                <w:sz w:val="16"/>
                <w:szCs w:val="16"/>
                <w:lang w:bidi="ar-SA"/>
              </w:rPr>
              <w:t>Subsidy-likely employee not currently on employer plan</w:t>
            </w:r>
          </w:p>
        </w:tc>
        <w:tc>
          <w:tcPr>
            <w:tcW w:w="1161" w:type="dxa"/>
            <w:tcBorders>
              <w:top w:val="single" w:sz="6" w:space="0" w:color="auto"/>
              <w:left w:val="single" w:sz="6" w:space="0" w:color="auto"/>
              <w:bottom w:val="single" w:sz="6" w:space="0" w:color="auto"/>
              <w:right w:val="single" w:sz="6"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0 </w:t>
            </w:r>
          </w:p>
        </w:tc>
        <w:tc>
          <w:tcPr>
            <w:tcW w:w="1162" w:type="dxa"/>
            <w:tcBorders>
              <w:top w:val="single" w:sz="6" w:space="0" w:color="auto"/>
              <w:left w:val="single" w:sz="6" w:space="0" w:color="auto"/>
              <w:bottom w:val="single" w:sz="6" w:space="0" w:color="auto"/>
              <w:right w:val="single" w:sz="6"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$ 0 </w:t>
            </w:r>
          </w:p>
        </w:tc>
        <w:tc>
          <w:tcPr>
            <w:tcW w:w="1161" w:type="dxa"/>
            <w:tcBorders>
              <w:top w:val="single" w:sz="6" w:space="0" w:color="auto"/>
              <w:left w:val="single" w:sz="6" w:space="0" w:color="auto"/>
              <w:bottom w:val="single" w:sz="6" w:space="0" w:color="auto"/>
              <w:right w:val="single" w:sz="6"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$ 0 </w:t>
            </w:r>
          </w:p>
        </w:tc>
        <w:tc>
          <w:tcPr>
            <w:tcW w:w="1162" w:type="dxa"/>
            <w:tcBorders>
              <w:top w:val="single" w:sz="6" w:space="0" w:color="auto"/>
              <w:left w:val="single" w:sz="6" w:space="0" w:color="auto"/>
              <w:bottom w:val="single" w:sz="6" w:space="0" w:color="auto"/>
              <w:right w:val="single" w:sz="6"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$ 0 </w:t>
            </w:r>
          </w:p>
        </w:tc>
      </w:tr>
      <w:tr w:rsidR="004A4950" w:rsidTr="00B700E1">
        <w:trPr>
          <w:trHeight w:val="187"/>
        </w:trPr>
        <w:tc>
          <w:tcPr>
            <w:tcW w:w="4270" w:type="dxa"/>
            <w:tcBorders>
              <w:top w:val="single" w:sz="12" w:space="0" w:color="auto"/>
              <w:left w:val="single" w:sz="12" w:space="0" w:color="auto"/>
              <w:bottom w:val="single" w:sz="12" w:space="0" w:color="auto"/>
              <w:right w:val="single" w:sz="2" w:space="0" w:color="000000"/>
            </w:tcBorders>
            <w:shd w:val="solid" w:color="C0C0C0" w:fill="auto"/>
          </w:tcPr>
          <w:p w:rsidR="004A4950" w:rsidRDefault="004A4950" w:rsidP="00B700E1">
            <w:pPr>
              <w:autoSpaceDE w:val="0"/>
              <w:autoSpaceDN w:val="0"/>
              <w:adjustRightInd w:val="0"/>
              <w:jc w:val="right"/>
              <w:rPr>
                <w:rFonts w:cs="Calibri"/>
                <w:color w:val="000000"/>
                <w:sz w:val="16"/>
                <w:szCs w:val="16"/>
                <w:lang w:bidi="ar-SA"/>
              </w:rPr>
            </w:pPr>
          </w:p>
        </w:tc>
        <w:tc>
          <w:tcPr>
            <w:tcW w:w="1161" w:type="dxa"/>
            <w:gridSpan w:val="2"/>
            <w:tcBorders>
              <w:top w:val="single" w:sz="6" w:space="0" w:color="auto"/>
              <w:left w:val="single" w:sz="2" w:space="0" w:color="000000"/>
              <w:bottom w:val="single" w:sz="12" w:space="0" w:color="auto"/>
              <w:right w:val="single" w:sz="6" w:space="0" w:color="auto"/>
            </w:tcBorders>
            <w:shd w:val="solid" w:color="C0C0C0" w:fill="auto"/>
          </w:tcPr>
          <w:p w:rsidR="004A4950" w:rsidRDefault="004A4950" w:rsidP="00B700E1">
            <w:pPr>
              <w:autoSpaceDE w:val="0"/>
              <w:autoSpaceDN w:val="0"/>
              <w:adjustRightInd w:val="0"/>
              <w:jc w:val="right"/>
              <w:rPr>
                <w:rFonts w:cs="Calibri"/>
                <w:b/>
                <w:bCs/>
                <w:color w:val="000000"/>
                <w:sz w:val="16"/>
                <w:szCs w:val="16"/>
                <w:lang w:bidi="ar-SA"/>
              </w:rPr>
            </w:pPr>
            <w:r>
              <w:rPr>
                <w:rFonts w:cs="Calibri"/>
                <w:b/>
                <w:bCs/>
                <w:color w:val="000000"/>
                <w:sz w:val="16"/>
                <w:szCs w:val="16"/>
                <w:lang w:bidi="ar-SA"/>
              </w:rPr>
              <w:t>Total Estimated Cost</w:t>
            </w:r>
          </w:p>
        </w:tc>
        <w:tc>
          <w:tcPr>
            <w:tcW w:w="1161" w:type="dxa"/>
            <w:tcBorders>
              <w:top w:val="single" w:sz="6" w:space="0" w:color="auto"/>
              <w:left w:val="single" w:sz="6" w:space="0" w:color="auto"/>
              <w:bottom w:val="single" w:sz="12" w:space="0" w:color="auto"/>
              <w:right w:val="single" w:sz="6" w:space="0" w:color="auto"/>
            </w:tcBorders>
            <w:shd w:val="solid" w:color="C0C0C0" w:fill="auto"/>
          </w:tcPr>
          <w:p w:rsidR="004A4950" w:rsidRDefault="004A4950" w:rsidP="00B700E1">
            <w:pPr>
              <w:autoSpaceDE w:val="0"/>
              <w:autoSpaceDN w:val="0"/>
              <w:adjustRightInd w:val="0"/>
              <w:jc w:val="right"/>
              <w:rPr>
                <w:rFonts w:cs="Calibri"/>
                <w:b/>
                <w:bCs/>
                <w:color w:val="000000"/>
                <w:sz w:val="16"/>
                <w:szCs w:val="16"/>
                <w:lang w:bidi="ar-SA"/>
              </w:rPr>
            </w:pPr>
            <w:r>
              <w:rPr>
                <w:rFonts w:cs="Calibri"/>
                <w:b/>
                <w:bCs/>
                <w:color w:val="000000"/>
                <w:sz w:val="16"/>
                <w:szCs w:val="16"/>
                <w:lang w:bidi="ar-SA"/>
              </w:rPr>
              <w:t xml:space="preserve">$ 0 </w:t>
            </w:r>
          </w:p>
        </w:tc>
        <w:tc>
          <w:tcPr>
            <w:tcW w:w="1162" w:type="dxa"/>
            <w:tcBorders>
              <w:top w:val="single" w:sz="6" w:space="0" w:color="auto"/>
              <w:left w:val="single" w:sz="6" w:space="0" w:color="auto"/>
              <w:bottom w:val="single" w:sz="12" w:space="0" w:color="auto"/>
              <w:right w:val="single" w:sz="12" w:space="0" w:color="auto"/>
            </w:tcBorders>
            <w:shd w:val="solid" w:color="C0C0C0" w:fill="auto"/>
          </w:tcPr>
          <w:p w:rsidR="004A4950" w:rsidRDefault="004A4950" w:rsidP="00B700E1">
            <w:pPr>
              <w:autoSpaceDE w:val="0"/>
              <w:autoSpaceDN w:val="0"/>
              <w:adjustRightInd w:val="0"/>
              <w:jc w:val="right"/>
              <w:rPr>
                <w:rFonts w:cs="Calibri"/>
                <w:b/>
                <w:bCs/>
                <w:color w:val="000000"/>
                <w:sz w:val="16"/>
                <w:szCs w:val="16"/>
                <w:lang w:bidi="ar-SA"/>
              </w:rPr>
            </w:pPr>
            <w:r>
              <w:rPr>
                <w:rFonts w:cs="Calibri"/>
                <w:b/>
                <w:bCs/>
                <w:color w:val="000000"/>
                <w:sz w:val="16"/>
                <w:szCs w:val="16"/>
                <w:lang w:bidi="ar-SA"/>
              </w:rPr>
              <w:t xml:space="preserve">$ 0 </w:t>
            </w:r>
          </w:p>
        </w:tc>
      </w:tr>
      <w:tr w:rsidR="004A4950" w:rsidTr="00B700E1">
        <w:trPr>
          <w:trHeight w:val="187"/>
        </w:trPr>
        <w:tc>
          <w:tcPr>
            <w:tcW w:w="4270" w:type="dxa"/>
            <w:gridSpan w:val="2"/>
            <w:tcBorders>
              <w:top w:val="single" w:sz="12" w:space="0" w:color="auto"/>
              <w:left w:val="single" w:sz="12" w:space="0" w:color="auto"/>
              <w:bottom w:val="single" w:sz="12" w:space="0" w:color="auto"/>
              <w:right w:val="single" w:sz="2" w:space="0" w:color="000000"/>
            </w:tcBorders>
          </w:tcPr>
          <w:p w:rsidR="004A4950" w:rsidRDefault="004A4950" w:rsidP="00B700E1">
            <w:pPr>
              <w:autoSpaceDE w:val="0"/>
              <w:autoSpaceDN w:val="0"/>
              <w:adjustRightInd w:val="0"/>
              <w:rPr>
                <w:rFonts w:cs="Calibri"/>
                <w:color w:val="000000"/>
                <w:sz w:val="16"/>
                <w:szCs w:val="16"/>
                <w:lang w:bidi="ar-SA"/>
              </w:rPr>
            </w:pPr>
            <w:r>
              <w:rPr>
                <w:rFonts w:cs="Calibri"/>
                <w:color w:val="000000"/>
                <w:sz w:val="16"/>
                <w:szCs w:val="16"/>
                <w:lang w:bidi="ar-SA"/>
              </w:rPr>
              <w:t>Note: Penalty capped at $2000 times number of FTEs (not counting first 30)</w:t>
            </w:r>
          </w:p>
        </w:tc>
        <w:tc>
          <w:tcPr>
            <w:tcW w:w="1162" w:type="dxa"/>
            <w:tcBorders>
              <w:top w:val="single" w:sz="12" w:space="0" w:color="auto"/>
              <w:left w:val="single" w:sz="2" w:space="0" w:color="000000"/>
              <w:bottom w:val="single" w:sz="12" w:space="0" w:color="auto"/>
              <w:right w:val="single" w:sz="6" w:space="0" w:color="auto"/>
            </w:tcBorders>
            <w:shd w:val="solid" w:color="FFFFFF" w:fill="auto"/>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Max. Penalty</w:t>
            </w:r>
          </w:p>
        </w:tc>
        <w:tc>
          <w:tcPr>
            <w:tcW w:w="1161" w:type="dxa"/>
            <w:tcBorders>
              <w:top w:val="single" w:sz="12" w:space="0" w:color="auto"/>
              <w:left w:val="single" w:sz="6" w:space="0" w:color="auto"/>
              <w:bottom w:val="single" w:sz="12" w:space="0" w:color="auto"/>
              <w:right w:val="single" w:sz="12" w:space="0" w:color="auto"/>
            </w:tcBorders>
          </w:tcPr>
          <w:p w:rsidR="004A4950" w:rsidRDefault="004A4950" w:rsidP="00B700E1">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$ 612,000 </w:t>
            </w:r>
          </w:p>
        </w:tc>
        <w:tc>
          <w:tcPr>
            <w:tcW w:w="1162" w:type="dxa"/>
            <w:tcBorders>
              <w:top w:val="single" w:sz="12" w:space="0" w:color="auto"/>
              <w:left w:val="single" w:sz="12" w:space="0" w:color="auto"/>
              <w:bottom w:val="single" w:sz="2" w:space="0" w:color="000000"/>
              <w:right w:val="single" w:sz="2" w:space="0" w:color="000000"/>
            </w:tcBorders>
          </w:tcPr>
          <w:p w:rsidR="004A4950" w:rsidRDefault="004A4950" w:rsidP="00B700E1">
            <w:pPr>
              <w:autoSpaceDE w:val="0"/>
              <w:autoSpaceDN w:val="0"/>
              <w:adjustRightInd w:val="0"/>
              <w:jc w:val="right"/>
              <w:rPr>
                <w:rFonts w:cs="Calibri"/>
                <w:color w:val="000000"/>
                <w:sz w:val="16"/>
                <w:szCs w:val="16"/>
                <w:lang w:bidi="ar-SA"/>
              </w:rPr>
            </w:pPr>
          </w:p>
        </w:tc>
      </w:tr>
    </w:tbl>
    <w:p w:rsidR="004A4950" w:rsidRDefault="004A4950" w:rsidP="004A4950">
      <w:pPr>
        <w:pStyle w:val="NoSpacing"/>
        <w:rPr>
          <w:szCs w:val="20"/>
        </w:rPr>
      </w:pPr>
      <w:bookmarkStart w:id="8" w:name="Table3a_2"/>
      <w:bookmarkEnd w:id="8"/>
    </w:p>
    <w:p w:rsidR="004A4950" w:rsidRDefault="004A4950" w:rsidP="004A4950">
      <w:pPr>
        <w:pStyle w:val="NoSpacing"/>
        <w:rPr>
          <w:szCs w:val="20"/>
        </w:rPr>
      </w:pPr>
      <w:r>
        <w:rPr>
          <w:szCs w:val="20"/>
        </w:rPr>
        <w:t xml:space="preserve">Chart 3.2 </w:t>
      </w:r>
    </w:p>
    <w:p w:rsidR="004A4950" w:rsidRDefault="004A4950" w:rsidP="004A4950">
      <w:pPr>
        <w:pStyle w:val="NoSpacing"/>
        <w:rPr>
          <w:szCs w:val="20"/>
        </w:rPr>
      </w:pPr>
      <w:r w:rsidRPr="0052390D">
        <w:rPr>
          <w:noProof/>
          <w:szCs w:val="20"/>
          <w:lang w:bidi="ar-SA"/>
        </w:rPr>
        <w:drawing>
          <wp:inline distT="0" distB="0" distL="0" distR="0">
            <wp:extent cx="4174435" cy="2707999"/>
            <wp:effectExtent l="0" t="19050" r="73715" b="54251"/>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4950" w:rsidRDefault="004A4950" w:rsidP="004A4950">
      <w:pPr>
        <w:pStyle w:val="NoSpacing"/>
        <w:rPr>
          <w:szCs w:val="20"/>
        </w:rPr>
      </w:pPr>
    </w:p>
    <w:p w:rsidR="004A4950" w:rsidRDefault="004A4950" w:rsidP="004A4950">
      <w:pPr>
        <w:pStyle w:val="NoSpacing"/>
        <w:rPr>
          <w:szCs w:val="20"/>
        </w:rPr>
      </w:pPr>
      <w:bookmarkStart w:id="9" w:name="Chart3_2"/>
      <w:bookmarkEnd w:id="9"/>
      <w:r>
        <w:rPr>
          <w:szCs w:val="20"/>
        </w:rPr>
        <w:t xml:space="preserve">Table 3b.2 </w:t>
      </w:r>
    </w:p>
    <w:tbl>
      <w:tblPr>
        <w:tblW w:w="7580" w:type="dxa"/>
        <w:tblInd w:w="98" w:type="dxa"/>
        <w:tblLook w:val="04A0" w:firstRow="1" w:lastRow="0" w:firstColumn="1" w:lastColumn="0" w:noHBand="0" w:noVBand="1"/>
      </w:tblPr>
      <w:tblGrid>
        <w:gridCol w:w="4900"/>
        <w:gridCol w:w="1340"/>
        <w:gridCol w:w="1340"/>
      </w:tblGrid>
      <w:tr w:rsidR="004A4950" w:rsidRPr="0052390D" w:rsidTr="00B700E1">
        <w:trPr>
          <w:trHeight w:val="240"/>
        </w:trPr>
        <w:tc>
          <w:tcPr>
            <w:tcW w:w="4900" w:type="dxa"/>
            <w:tcBorders>
              <w:top w:val="single" w:sz="8" w:space="0" w:color="auto"/>
              <w:left w:val="single" w:sz="8" w:space="0" w:color="auto"/>
              <w:bottom w:val="single" w:sz="4" w:space="0" w:color="auto"/>
              <w:right w:val="single" w:sz="4" w:space="0" w:color="auto"/>
            </w:tcBorders>
            <w:shd w:val="clear" w:color="000000" w:fill="C0C0C0"/>
            <w:noWrap/>
            <w:vAlign w:val="bottom"/>
            <w:hideMark/>
          </w:tcPr>
          <w:p w:rsidR="004A4950" w:rsidRPr="0052390D" w:rsidRDefault="004A4950" w:rsidP="00B700E1">
            <w:pPr>
              <w:rPr>
                <w:rFonts w:eastAsia="Times New Roman"/>
                <w:b/>
                <w:bCs/>
                <w:color w:val="000000"/>
                <w:sz w:val="16"/>
                <w:szCs w:val="16"/>
                <w:lang w:bidi="ar-SA"/>
              </w:rPr>
            </w:pPr>
            <w:bookmarkStart w:id="10" w:name="RANGE!J83:L86"/>
            <w:r w:rsidRPr="0052390D">
              <w:rPr>
                <w:rFonts w:eastAsia="Times New Roman"/>
                <w:b/>
                <w:bCs/>
                <w:color w:val="000000"/>
                <w:sz w:val="16"/>
                <w:szCs w:val="16"/>
                <w:lang w:bidi="ar-SA"/>
              </w:rPr>
              <w:t xml:space="preserve">Summary of Impact of Shared Responsibility </w:t>
            </w:r>
            <w:r>
              <w:rPr>
                <w:rFonts w:eastAsia="Times New Roman"/>
                <w:b/>
                <w:bCs/>
                <w:color w:val="000000"/>
                <w:sz w:val="16"/>
                <w:szCs w:val="16"/>
                <w:lang w:bidi="ar-SA"/>
              </w:rPr>
              <w:t>P</w:t>
            </w:r>
            <w:r w:rsidRPr="0052390D">
              <w:rPr>
                <w:rFonts w:eastAsia="Times New Roman"/>
                <w:b/>
                <w:bCs/>
                <w:color w:val="000000"/>
                <w:sz w:val="16"/>
                <w:szCs w:val="16"/>
                <w:lang w:bidi="ar-SA"/>
              </w:rPr>
              <w:t>enalty</w:t>
            </w:r>
            <w:bookmarkEnd w:id="10"/>
          </w:p>
        </w:tc>
        <w:tc>
          <w:tcPr>
            <w:tcW w:w="1340" w:type="dxa"/>
            <w:tcBorders>
              <w:top w:val="single" w:sz="8" w:space="0" w:color="auto"/>
              <w:left w:val="nil"/>
              <w:bottom w:val="single" w:sz="4" w:space="0" w:color="auto"/>
              <w:right w:val="single" w:sz="4" w:space="0" w:color="auto"/>
            </w:tcBorders>
            <w:shd w:val="clear" w:color="000000" w:fill="C0C0C0"/>
            <w:vAlign w:val="bottom"/>
            <w:hideMark/>
          </w:tcPr>
          <w:p w:rsidR="004A4950" w:rsidRPr="0052390D" w:rsidRDefault="004A4950" w:rsidP="00B700E1">
            <w:pPr>
              <w:rPr>
                <w:rFonts w:eastAsia="Times New Roman"/>
                <w:b/>
                <w:bCs/>
                <w:color w:val="000000"/>
                <w:sz w:val="16"/>
                <w:szCs w:val="16"/>
                <w:lang w:bidi="ar-SA"/>
              </w:rPr>
            </w:pPr>
            <w:r w:rsidRPr="0052390D">
              <w:rPr>
                <w:rFonts w:eastAsia="Times New Roman"/>
                <w:b/>
                <w:bCs/>
                <w:color w:val="000000"/>
                <w:sz w:val="16"/>
                <w:szCs w:val="16"/>
                <w:lang w:bidi="ar-SA"/>
              </w:rPr>
              <w:t>Scenario 2</w:t>
            </w:r>
          </w:p>
        </w:tc>
        <w:tc>
          <w:tcPr>
            <w:tcW w:w="1340" w:type="dxa"/>
            <w:tcBorders>
              <w:top w:val="single" w:sz="8" w:space="0" w:color="auto"/>
              <w:left w:val="nil"/>
              <w:bottom w:val="single" w:sz="4" w:space="0" w:color="auto"/>
              <w:right w:val="single" w:sz="8" w:space="0" w:color="auto"/>
            </w:tcBorders>
            <w:shd w:val="clear" w:color="000000" w:fill="C0C0C0"/>
            <w:vAlign w:val="bottom"/>
            <w:hideMark/>
          </w:tcPr>
          <w:p w:rsidR="004A4950" w:rsidRPr="0052390D" w:rsidRDefault="004A4950" w:rsidP="00B700E1">
            <w:pPr>
              <w:rPr>
                <w:rFonts w:eastAsia="Times New Roman"/>
                <w:b/>
                <w:bCs/>
                <w:color w:val="000000"/>
                <w:sz w:val="16"/>
                <w:szCs w:val="16"/>
                <w:lang w:bidi="ar-SA"/>
              </w:rPr>
            </w:pPr>
            <w:r w:rsidRPr="0052390D">
              <w:rPr>
                <w:rFonts w:eastAsia="Times New Roman"/>
                <w:b/>
                <w:bCs/>
                <w:color w:val="000000"/>
                <w:sz w:val="16"/>
                <w:szCs w:val="16"/>
                <w:lang w:bidi="ar-SA"/>
              </w:rPr>
              <w:t>After ACA</w:t>
            </w:r>
          </w:p>
        </w:tc>
      </w:tr>
      <w:tr w:rsidR="004A4950" w:rsidRPr="0052390D" w:rsidTr="00B700E1">
        <w:trPr>
          <w:trHeight w:val="24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4A4950" w:rsidRPr="0052390D" w:rsidRDefault="004A4950" w:rsidP="00B700E1">
            <w:pPr>
              <w:rPr>
                <w:rFonts w:eastAsia="Times New Roman"/>
                <w:color w:val="000000"/>
                <w:sz w:val="16"/>
                <w:szCs w:val="16"/>
                <w:lang w:bidi="ar-SA"/>
              </w:rPr>
            </w:pPr>
            <w:r w:rsidRPr="0052390D">
              <w:rPr>
                <w:rFonts w:eastAsia="Times New Roman"/>
                <w:color w:val="000000"/>
                <w:sz w:val="16"/>
                <w:szCs w:val="16"/>
                <w:lang w:bidi="ar-SA"/>
              </w:rPr>
              <w:t>Plan cost including newly eligible employees</w:t>
            </w:r>
          </w:p>
        </w:tc>
        <w:tc>
          <w:tcPr>
            <w:tcW w:w="1340" w:type="dxa"/>
            <w:tcBorders>
              <w:top w:val="nil"/>
              <w:left w:val="nil"/>
              <w:bottom w:val="single" w:sz="4" w:space="0" w:color="auto"/>
              <w:right w:val="single" w:sz="4" w:space="0" w:color="auto"/>
            </w:tcBorders>
            <w:shd w:val="clear" w:color="auto" w:fill="auto"/>
            <w:vAlign w:val="bottom"/>
            <w:hideMark/>
          </w:tcPr>
          <w:p w:rsidR="004A4950" w:rsidRPr="0052390D" w:rsidRDefault="004A4950" w:rsidP="00B700E1">
            <w:pPr>
              <w:jc w:val="right"/>
              <w:rPr>
                <w:rFonts w:eastAsia="Times New Roman"/>
                <w:color w:val="000000"/>
                <w:sz w:val="16"/>
                <w:szCs w:val="16"/>
                <w:lang w:bidi="ar-SA"/>
              </w:rPr>
            </w:pPr>
            <w:r w:rsidRPr="0052390D">
              <w:rPr>
                <w:rFonts w:eastAsia="Times New Roman"/>
                <w:color w:val="000000"/>
                <w:sz w:val="16"/>
                <w:szCs w:val="16"/>
                <w:lang w:bidi="ar-SA"/>
              </w:rPr>
              <w:t xml:space="preserve">$ 1,099,372 </w:t>
            </w:r>
          </w:p>
        </w:tc>
        <w:tc>
          <w:tcPr>
            <w:tcW w:w="1340" w:type="dxa"/>
            <w:tcBorders>
              <w:top w:val="nil"/>
              <w:left w:val="nil"/>
              <w:bottom w:val="single" w:sz="4" w:space="0" w:color="auto"/>
              <w:right w:val="single" w:sz="8" w:space="0" w:color="auto"/>
            </w:tcBorders>
            <w:shd w:val="clear" w:color="auto" w:fill="auto"/>
            <w:vAlign w:val="bottom"/>
            <w:hideMark/>
          </w:tcPr>
          <w:p w:rsidR="004A4950" w:rsidRPr="0052390D" w:rsidRDefault="004A4950" w:rsidP="00B700E1">
            <w:pPr>
              <w:jc w:val="right"/>
              <w:rPr>
                <w:rFonts w:eastAsia="Times New Roman"/>
                <w:color w:val="000000"/>
                <w:sz w:val="16"/>
                <w:szCs w:val="16"/>
                <w:lang w:bidi="ar-SA"/>
              </w:rPr>
            </w:pPr>
            <w:r w:rsidRPr="0052390D">
              <w:rPr>
                <w:rFonts w:eastAsia="Times New Roman"/>
                <w:color w:val="000000"/>
                <w:sz w:val="16"/>
                <w:szCs w:val="16"/>
                <w:lang w:bidi="ar-SA"/>
              </w:rPr>
              <w:t xml:space="preserve">$ 1,099,372 </w:t>
            </w:r>
          </w:p>
        </w:tc>
      </w:tr>
      <w:tr w:rsidR="004A4950" w:rsidRPr="0052390D" w:rsidTr="00B700E1">
        <w:trPr>
          <w:trHeight w:val="24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4A4950" w:rsidRPr="0052390D" w:rsidRDefault="004A4950" w:rsidP="00B700E1">
            <w:pPr>
              <w:rPr>
                <w:rFonts w:eastAsia="Times New Roman"/>
                <w:color w:val="000000"/>
                <w:sz w:val="16"/>
                <w:szCs w:val="16"/>
                <w:lang w:bidi="ar-SA"/>
              </w:rPr>
            </w:pPr>
            <w:r w:rsidRPr="0052390D">
              <w:rPr>
                <w:rFonts w:eastAsia="Times New Roman"/>
                <w:color w:val="000000"/>
                <w:sz w:val="16"/>
                <w:szCs w:val="16"/>
                <w:lang w:bidi="ar-SA"/>
              </w:rPr>
              <w:t>Employer penalty</w:t>
            </w:r>
          </w:p>
        </w:tc>
        <w:tc>
          <w:tcPr>
            <w:tcW w:w="1340" w:type="dxa"/>
            <w:tcBorders>
              <w:top w:val="nil"/>
              <w:left w:val="nil"/>
              <w:bottom w:val="single" w:sz="4" w:space="0" w:color="auto"/>
              <w:right w:val="single" w:sz="4" w:space="0" w:color="auto"/>
            </w:tcBorders>
            <w:shd w:val="clear" w:color="auto" w:fill="auto"/>
            <w:vAlign w:val="bottom"/>
            <w:hideMark/>
          </w:tcPr>
          <w:p w:rsidR="004A4950" w:rsidRPr="0052390D" w:rsidRDefault="004A4950" w:rsidP="00B700E1">
            <w:pPr>
              <w:jc w:val="right"/>
              <w:rPr>
                <w:rFonts w:eastAsia="Times New Roman"/>
                <w:sz w:val="16"/>
                <w:szCs w:val="16"/>
                <w:lang w:bidi="ar-SA"/>
              </w:rPr>
            </w:pPr>
            <w:r w:rsidRPr="0052390D">
              <w:rPr>
                <w:rFonts w:eastAsia="Times New Roman"/>
                <w:sz w:val="16"/>
                <w:szCs w:val="16"/>
                <w:lang w:bidi="ar-SA"/>
              </w:rPr>
              <w:t xml:space="preserve">$ 0 </w:t>
            </w:r>
          </w:p>
        </w:tc>
        <w:tc>
          <w:tcPr>
            <w:tcW w:w="1340" w:type="dxa"/>
            <w:tcBorders>
              <w:top w:val="nil"/>
              <w:left w:val="nil"/>
              <w:bottom w:val="single" w:sz="4" w:space="0" w:color="auto"/>
              <w:right w:val="single" w:sz="8" w:space="0" w:color="auto"/>
            </w:tcBorders>
            <w:shd w:val="clear" w:color="auto" w:fill="auto"/>
            <w:vAlign w:val="bottom"/>
            <w:hideMark/>
          </w:tcPr>
          <w:p w:rsidR="004A4950" w:rsidRPr="0052390D" w:rsidRDefault="004A4950" w:rsidP="00B700E1">
            <w:pPr>
              <w:jc w:val="right"/>
              <w:rPr>
                <w:rFonts w:eastAsia="Times New Roman"/>
                <w:sz w:val="16"/>
                <w:szCs w:val="16"/>
                <w:lang w:bidi="ar-SA"/>
              </w:rPr>
            </w:pPr>
            <w:r w:rsidRPr="0052390D">
              <w:rPr>
                <w:rFonts w:eastAsia="Times New Roman"/>
                <w:sz w:val="16"/>
                <w:szCs w:val="16"/>
                <w:lang w:bidi="ar-SA"/>
              </w:rPr>
              <w:t xml:space="preserve">$ 0 </w:t>
            </w:r>
          </w:p>
        </w:tc>
      </w:tr>
      <w:tr w:rsidR="004A4950" w:rsidRPr="0052390D" w:rsidTr="00B700E1">
        <w:trPr>
          <w:trHeight w:val="240"/>
        </w:trPr>
        <w:tc>
          <w:tcPr>
            <w:tcW w:w="4900" w:type="dxa"/>
            <w:tcBorders>
              <w:top w:val="nil"/>
              <w:left w:val="single" w:sz="8" w:space="0" w:color="auto"/>
              <w:bottom w:val="single" w:sz="8" w:space="0" w:color="auto"/>
              <w:right w:val="single" w:sz="4" w:space="0" w:color="auto"/>
            </w:tcBorders>
            <w:shd w:val="clear" w:color="auto" w:fill="auto"/>
            <w:noWrap/>
            <w:vAlign w:val="bottom"/>
            <w:hideMark/>
          </w:tcPr>
          <w:p w:rsidR="004A4950" w:rsidRPr="0052390D" w:rsidRDefault="004A4950" w:rsidP="00B700E1">
            <w:pPr>
              <w:rPr>
                <w:rFonts w:eastAsia="Times New Roman"/>
                <w:b/>
                <w:bCs/>
                <w:color w:val="000000"/>
                <w:sz w:val="16"/>
                <w:szCs w:val="16"/>
                <w:lang w:bidi="ar-SA"/>
              </w:rPr>
            </w:pPr>
            <w:r w:rsidRPr="0052390D">
              <w:rPr>
                <w:rFonts w:eastAsia="Times New Roman"/>
                <w:b/>
                <w:bCs/>
                <w:color w:val="000000"/>
                <w:sz w:val="16"/>
                <w:szCs w:val="16"/>
                <w:lang w:bidi="ar-SA"/>
              </w:rPr>
              <w:t>Total</w:t>
            </w:r>
          </w:p>
        </w:tc>
        <w:tc>
          <w:tcPr>
            <w:tcW w:w="1340" w:type="dxa"/>
            <w:tcBorders>
              <w:top w:val="nil"/>
              <w:left w:val="nil"/>
              <w:bottom w:val="single" w:sz="8" w:space="0" w:color="auto"/>
              <w:right w:val="single" w:sz="8" w:space="0" w:color="auto"/>
            </w:tcBorders>
            <w:shd w:val="clear" w:color="auto" w:fill="auto"/>
            <w:vAlign w:val="bottom"/>
            <w:hideMark/>
          </w:tcPr>
          <w:p w:rsidR="004A4950" w:rsidRPr="0052390D" w:rsidRDefault="004A4950" w:rsidP="00B700E1">
            <w:pPr>
              <w:jc w:val="right"/>
              <w:rPr>
                <w:rFonts w:eastAsia="Times New Roman"/>
                <w:b/>
                <w:bCs/>
                <w:color w:val="000000"/>
                <w:sz w:val="16"/>
                <w:szCs w:val="16"/>
                <w:lang w:bidi="ar-SA"/>
              </w:rPr>
            </w:pPr>
            <w:r w:rsidRPr="0052390D">
              <w:rPr>
                <w:rFonts w:eastAsia="Times New Roman"/>
                <w:b/>
                <w:bCs/>
                <w:color w:val="000000"/>
                <w:sz w:val="16"/>
                <w:szCs w:val="16"/>
                <w:lang w:bidi="ar-SA"/>
              </w:rPr>
              <w:t>$ 1,099,372</w:t>
            </w:r>
          </w:p>
        </w:tc>
        <w:tc>
          <w:tcPr>
            <w:tcW w:w="1340" w:type="dxa"/>
            <w:tcBorders>
              <w:top w:val="nil"/>
              <w:left w:val="single" w:sz="4" w:space="0" w:color="auto"/>
              <w:bottom w:val="single" w:sz="8" w:space="0" w:color="auto"/>
              <w:right w:val="single" w:sz="8" w:space="0" w:color="auto"/>
            </w:tcBorders>
            <w:shd w:val="clear" w:color="auto" w:fill="auto"/>
            <w:vAlign w:val="bottom"/>
            <w:hideMark/>
          </w:tcPr>
          <w:p w:rsidR="004A4950" w:rsidRPr="0052390D" w:rsidRDefault="004A4950" w:rsidP="00B700E1">
            <w:pPr>
              <w:jc w:val="right"/>
              <w:rPr>
                <w:rFonts w:eastAsia="Times New Roman"/>
                <w:b/>
                <w:bCs/>
                <w:color w:val="000000"/>
                <w:sz w:val="16"/>
                <w:szCs w:val="16"/>
                <w:lang w:bidi="ar-SA"/>
              </w:rPr>
            </w:pPr>
            <w:r w:rsidRPr="0052390D">
              <w:rPr>
                <w:rFonts w:eastAsia="Times New Roman"/>
                <w:b/>
                <w:bCs/>
                <w:color w:val="000000"/>
                <w:sz w:val="16"/>
                <w:szCs w:val="16"/>
                <w:lang w:bidi="ar-SA"/>
              </w:rPr>
              <w:t>$ 1,099,372</w:t>
            </w:r>
          </w:p>
        </w:tc>
      </w:tr>
    </w:tbl>
    <w:p w:rsidR="004A4950" w:rsidRDefault="004A4950" w:rsidP="004A4950">
      <w:pPr>
        <w:pStyle w:val="NoSpacing"/>
        <w:rPr>
          <w:szCs w:val="20"/>
        </w:rPr>
      </w:pPr>
    </w:p>
    <w:p w:rsidR="004A4950" w:rsidRDefault="004A4950" w:rsidP="004A4950">
      <w:pPr>
        <w:pStyle w:val="NoSpacing"/>
        <w:rPr>
          <w:szCs w:val="20"/>
        </w:rPr>
      </w:pPr>
    </w:p>
    <w:p w:rsidR="004A4950" w:rsidRDefault="004A4950" w:rsidP="004A4950">
      <w:pPr>
        <w:pStyle w:val="NoSpacing"/>
        <w:rPr>
          <w:szCs w:val="20"/>
        </w:rPr>
      </w:pPr>
      <w:bookmarkStart w:id="11" w:name="Table3b_2"/>
      <w:bookmarkEnd w:id="11"/>
    </w:p>
    <w:p w:rsidR="004A4950" w:rsidRDefault="004A4950" w:rsidP="004A4950">
      <w:pPr>
        <w:pStyle w:val="NoSpacing"/>
        <w:rPr>
          <w:szCs w:val="20"/>
        </w:rPr>
      </w:pPr>
    </w:p>
    <w:p w:rsidR="004A4950" w:rsidRDefault="004A4950" w:rsidP="004A4950">
      <w:pPr>
        <w:pStyle w:val="NoSpacing"/>
        <w:rPr>
          <w:szCs w:val="20"/>
        </w:rPr>
      </w:pPr>
    </w:p>
    <w:p w:rsidR="00B447A7" w:rsidRDefault="00B447A7">
      <w:pPr>
        <w:rPr>
          <w:rFonts w:asciiTheme="minorHAnsi" w:hAnsiTheme="minorHAnsi" w:cs="Arial"/>
          <w:b/>
          <w:sz w:val="24"/>
          <w:szCs w:val="24"/>
        </w:rPr>
      </w:pPr>
    </w:p>
    <w:p w:rsidR="0052390D" w:rsidRDefault="0052390D">
      <w:pPr>
        <w:rPr>
          <w:rFonts w:asciiTheme="minorHAnsi" w:hAnsiTheme="minorHAnsi" w:cs="Arial"/>
          <w:b/>
          <w:sz w:val="24"/>
          <w:szCs w:val="24"/>
        </w:rPr>
      </w:pPr>
    </w:p>
    <w:p w:rsidR="00E270CE" w:rsidRPr="00A14F7C" w:rsidRDefault="00E270CE" w:rsidP="00E270CE">
      <w:pPr>
        <w:rPr>
          <w:rFonts w:asciiTheme="minorHAnsi" w:hAnsiTheme="minorHAnsi" w:cs="Arial"/>
          <w:b/>
          <w:sz w:val="24"/>
          <w:szCs w:val="24"/>
        </w:rPr>
      </w:pPr>
      <w:r>
        <w:rPr>
          <w:rFonts w:asciiTheme="minorHAnsi" w:hAnsiTheme="minorHAnsi" w:cs="Arial"/>
          <w:b/>
          <w:sz w:val="24"/>
          <w:szCs w:val="24"/>
        </w:rPr>
        <w:t>Details on Determining Employees Likely to Q</w:t>
      </w:r>
      <w:r w:rsidRPr="00A14F7C">
        <w:rPr>
          <w:rFonts w:asciiTheme="minorHAnsi" w:hAnsiTheme="minorHAnsi" w:cs="Arial"/>
          <w:b/>
          <w:sz w:val="24"/>
          <w:szCs w:val="24"/>
        </w:rPr>
        <w:t xml:space="preserve">ualify for </w:t>
      </w:r>
      <w:r>
        <w:rPr>
          <w:rFonts w:asciiTheme="minorHAnsi" w:hAnsiTheme="minorHAnsi" w:cs="Arial"/>
          <w:b/>
          <w:sz w:val="24"/>
          <w:szCs w:val="24"/>
        </w:rPr>
        <w:t>Subsidized Coverage</w:t>
      </w:r>
    </w:p>
    <w:p w:rsidR="00E270CE" w:rsidRDefault="00E270CE" w:rsidP="00E270CE">
      <w:pPr>
        <w:rPr>
          <w:rFonts w:asciiTheme="minorHAnsi" w:hAnsiTheme="minorHAnsi" w:cs="Arial"/>
          <w:szCs w:val="20"/>
        </w:rPr>
      </w:pPr>
      <w:r>
        <w:rPr>
          <w:rFonts w:asciiTheme="minorHAnsi" w:hAnsiTheme="minorHAnsi" w:cs="Arial"/>
          <w:szCs w:val="20"/>
        </w:rPr>
        <w:t>This analysis compares a number of factors to estimate the number of employee</w:t>
      </w:r>
      <w:r w:rsidR="00C969B7">
        <w:rPr>
          <w:rFonts w:asciiTheme="minorHAnsi" w:hAnsiTheme="minorHAnsi" w:cs="Arial"/>
          <w:szCs w:val="20"/>
        </w:rPr>
        <w:t>s</w:t>
      </w:r>
      <w:r>
        <w:rPr>
          <w:rFonts w:asciiTheme="minorHAnsi" w:hAnsiTheme="minorHAnsi" w:cs="Arial"/>
          <w:szCs w:val="20"/>
        </w:rPr>
        <w:t xml:space="preserve"> likely </w:t>
      </w:r>
      <w:r w:rsidR="00C969B7">
        <w:rPr>
          <w:rFonts w:asciiTheme="minorHAnsi" w:hAnsiTheme="minorHAnsi" w:cs="Arial"/>
          <w:szCs w:val="20"/>
        </w:rPr>
        <w:t xml:space="preserve">to </w:t>
      </w:r>
      <w:r>
        <w:rPr>
          <w:rFonts w:asciiTheme="minorHAnsi" w:hAnsiTheme="minorHAnsi" w:cs="Arial"/>
          <w:szCs w:val="20"/>
        </w:rPr>
        <w:t>leave the employer plan and purchase individual subsidized coverage on the exchange:</w:t>
      </w:r>
    </w:p>
    <w:p w:rsidR="00E270CE" w:rsidRDefault="00E270CE" w:rsidP="00E270CE">
      <w:pPr>
        <w:pStyle w:val="ListParagraph"/>
        <w:numPr>
          <w:ilvl w:val="0"/>
          <w:numId w:val="10"/>
        </w:numPr>
        <w:rPr>
          <w:rFonts w:asciiTheme="minorHAnsi" w:hAnsiTheme="minorHAnsi" w:cs="Arial"/>
          <w:szCs w:val="20"/>
        </w:rPr>
      </w:pPr>
      <w:r>
        <w:rPr>
          <w:rFonts w:asciiTheme="minorHAnsi" w:hAnsiTheme="minorHAnsi" w:cs="Arial"/>
          <w:szCs w:val="20"/>
        </w:rPr>
        <w:t>The cost of the employee subsidized coverage on the exchange is determined as a percentage of the individual’s household income.  The analysis compared the expected cost of the exchange coverage to the required contribution for the employer plan.</w:t>
      </w:r>
    </w:p>
    <w:p w:rsidR="00E270CE" w:rsidRDefault="00E270CE" w:rsidP="00E270CE">
      <w:pPr>
        <w:pStyle w:val="ListParagraph"/>
        <w:numPr>
          <w:ilvl w:val="0"/>
          <w:numId w:val="10"/>
        </w:numPr>
        <w:rPr>
          <w:rFonts w:asciiTheme="minorHAnsi" w:hAnsiTheme="minorHAnsi" w:cs="Arial"/>
          <w:szCs w:val="20"/>
        </w:rPr>
      </w:pPr>
      <w:r>
        <w:rPr>
          <w:rFonts w:asciiTheme="minorHAnsi" w:hAnsiTheme="minorHAnsi" w:cs="Arial"/>
          <w:szCs w:val="20"/>
        </w:rPr>
        <w:t>The subsidy is based on “Silver” level coverage on the exchange.  This analysis compares the employer</w:t>
      </w:r>
      <w:r w:rsidR="00C17203">
        <w:rPr>
          <w:rFonts w:asciiTheme="minorHAnsi" w:hAnsiTheme="minorHAnsi" w:cs="Arial"/>
          <w:szCs w:val="20"/>
        </w:rPr>
        <w:t>-</w:t>
      </w:r>
      <w:r>
        <w:rPr>
          <w:rFonts w:asciiTheme="minorHAnsi" w:hAnsiTheme="minorHAnsi" w:cs="Arial"/>
          <w:szCs w:val="20"/>
        </w:rPr>
        <w:t>provided coverage with a model “Silver” level plan</w:t>
      </w:r>
      <w:r w:rsidR="00C969B7">
        <w:rPr>
          <w:rFonts w:asciiTheme="minorHAnsi" w:hAnsiTheme="minorHAnsi" w:cs="Arial"/>
          <w:szCs w:val="20"/>
        </w:rPr>
        <w:t xml:space="preserve"> and adjusts the likelihood that</w:t>
      </w:r>
      <w:r>
        <w:rPr>
          <w:rFonts w:asciiTheme="minorHAnsi" w:hAnsiTheme="minorHAnsi" w:cs="Arial"/>
          <w:szCs w:val="20"/>
        </w:rPr>
        <w:t xml:space="preserve"> any particular individual will choose exchange coverage based on the relative value of each plan.</w:t>
      </w:r>
    </w:p>
    <w:p w:rsidR="00E270CE" w:rsidRDefault="00E270CE" w:rsidP="00E270CE">
      <w:pPr>
        <w:pStyle w:val="ListParagraph"/>
        <w:numPr>
          <w:ilvl w:val="1"/>
          <w:numId w:val="10"/>
        </w:numPr>
        <w:rPr>
          <w:rFonts w:asciiTheme="minorHAnsi" w:hAnsiTheme="minorHAnsi" w:cs="Arial"/>
          <w:szCs w:val="20"/>
        </w:rPr>
      </w:pPr>
      <w:r>
        <w:rPr>
          <w:rFonts w:asciiTheme="minorHAnsi" w:hAnsiTheme="minorHAnsi" w:cs="Arial"/>
          <w:szCs w:val="20"/>
        </w:rPr>
        <w:t xml:space="preserve">The analysis also </w:t>
      </w:r>
      <w:r w:rsidR="00C969B7">
        <w:rPr>
          <w:rFonts w:asciiTheme="minorHAnsi" w:hAnsiTheme="minorHAnsi" w:cs="Arial"/>
          <w:szCs w:val="20"/>
        </w:rPr>
        <w:t xml:space="preserve">takes into account </w:t>
      </w:r>
      <w:r>
        <w:rPr>
          <w:rFonts w:asciiTheme="minorHAnsi" w:hAnsiTheme="minorHAnsi" w:cs="Arial"/>
          <w:szCs w:val="20"/>
        </w:rPr>
        <w:t xml:space="preserve">the impact of lower income individuals </w:t>
      </w:r>
      <w:r w:rsidR="009A33DE">
        <w:rPr>
          <w:rFonts w:asciiTheme="minorHAnsi" w:hAnsiTheme="minorHAnsi" w:cs="Arial"/>
          <w:szCs w:val="20"/>
        </w:rPr>
        <w:t xml:space="preserve">who </w:t>
      </w:r>
      <w:r>
        <w:rPr>
          <w:rFonts w:asciiTheme="minorHAnsi" w:hAnsiTheme="minorHAnsi" w:cs="Arial"/>
          <w:szCs w:val="20"/>
        </w:rPr>
        <w:t xml:space="preserve">may also receive cost-sharing reductions in the form of waived deductibles and co-pays. </w:t>
      </w:r>
    </w:p>
    <w:p w:rsidR="00A14F7C" w:rsidRDefault="00A14F7C" w:rsidP="00A14F7C">
      <w:pPr>
        <w:rPr>
          <w:rFonts w:asciiTheme="minorHAnsi" w:hAnsiTheme="minorHAnsi" w:cs="Arial"/>
          <w:szCs w:val="20"/>
        </w:rPr>
      </w:pPr>
    </w:p>
    <w:p w:rsidR="00A14F7C" w:rsidRDefault="00A14F7C" w:rsidP="00A14F7C">
      <w:pPr>
        <w:rPr>
          <w:rFonts w:asciiTheme="minorHAnsi" w:hAnsiTheme="minorHAnsi" w:cs="Arial"/>
          <w:szCs w:val="20"/>
        </w:rPr>
      </w:pPr>
      <w:r>
        <w:rPr>
          <w:rFonts w:asciiTheme="minorHAnsi" w:hAnsiTheme="minorHAnsi" w:cs="Arial"/>
          <w:b/>
          <w:sz w:val="24"/>
          <w:szCs w:val="24"/>
        </w:rPr>
        <w:t>Notes on Results</w:t>
      </w:r>
    </w:p>
    <w:p w:rsidR="00A14F7C" w:rsidRDefault="00A14F7C" w:rsidP="00A14F7C">
      <w:pPr>
        <w:pStyle w:val="ListParagraph"/>
        <w:numPr>
          <w:ilvl w:val="0"/>
          <w:numId w:val="24"/>
        </w:numPr>
        <w:rPr>
          <w:rFonts w:asciiTheme="minorHAnsi" w:hAnsiTheme="minorHAnsi" w:cs="Arial"/>
          <w:szCs w:val="20"/>
        </w:rPr>
      </w:pPr>
      <w:r>
        <w:rPr>
          <w:rFonts w:asciiTheme="minorHAnsi" w:hAnsiTheme="minorHAnsi" w:cs="Arial"/>
          <w:szCs w:val="20"/>
        </w:rPr>
        <w:t>“Total subsidy</w:t>
      </w:r>
      <w:r w:rsidR="00C17203">
        <w:rPr>
          <w:rFonts w:asciiTheme="minorHAnsi" w:hAnsiTheme="minorHAnsi" w:cs="Arial"/>
          <w:szCs w:val="20"/>
        </w:rPr>
        <w:t>-</w:t>
      </w:r>
      <w:r>
        <w:rPr>
          <w:rFonts w:asciiTheme="minorHAnsi" w:hAnsiTheme="minorHAnsi" w:cs="Arial"/>
          <w:szCs w:val="20"/>
        </w:rPr>
        <w:t>eligible” is the estimate of the number of current employees who will qualify for subsidized individual health insurance coverage through an exchange.</w:t>
      </w:r>
    </w:p>
    <w:p w:rsidR="00A14F7C" w:rsidRDefault="00A14F7C" w:rsidP="00A14F7C">
      <w:pPr>
        <w:pStyle w:val="ListParagraph"/>
        <w:numPr>
          <w:ilvl w:val="0"/>
          <w:numId w:val="24"/>
        </w:numPr>
        <w:rPr>
          <w:rFonts w:asciiTheme="minorHAnsi" w:hAnsiTheme="minorHAnsi" w:cs="Arial"/>
          <w:szCs w:val="20"/>
        </w:rPr>
      </w:pPr>
      <w:r>
        <w:rPr>
          <w:rFonts w:asciiTheme="minorHAnsi" w:hAnsiTheme="minorHAnsi" w:cs="Arial"/>
          <w:szCs w:val="20"/>
        </w:rPr>
        <w:t>“Subsidy</w:t>
      </w:r>
      <w:r w:rsidR="00C17203">
        <w:rPr>
          <w:rFonts w:asciiTheme="minorHAnsi" w:hAnsiTheme="minorHAnsi" w:cs="Arial"/>
          <w:szCs w:val="20"/>
        </w:rPr>
        <w:t>-</w:t>
      </w:r>
      <w:r>
        <w:rPr>
          <w:rFonts w:asciiTheme="minorHAnsi" w:hAnsiTheme="minorHAnsi" w:cs="Arial"/>
          <w:szCs w:val="20"/>
        </w:rPr>
        <w:t>eligible likely to purchase individual coverage” takes into account the difference in plan premiums and plan designs to estimate the number of employees who are subsidy</w:t>
      </w:r>
      <w:r w:rsidR="00C17203">
        <w:rPr>
          <w:rFonts w:asciiTheme="minorHAnsi" w:hAnsiTheme="minorHAnsi" w:cs="Arial"/>
          <w:szCs w:val="20"/>
        </w:rPr>
        <w:t>-</w:t>
      </w:r>
      <w:r>
        <w:rPr>
          <w:rFonts w:asciiTheme="minorHAnsi" w:hAnsiTheme="minorHAnsi" w:cs="Arial"/>
          <w:szCs w:val="20"/>
        </w:rPr>
        <w:t xml:space="preserve">eligible who will actually choose to purchase individual coverage through an </w:t>
      </w:r>
      <w:r w:rsidR="00C969B7">
        <w:rPr>
          <w:rFonts w:asciiTheme="minorHAnsi" w:hAnsiTheme="minorHAnsi" w:cs="Arial"/>
          <w:szCs w:val="20"/>
        </w:rPr>
        <w:t>e</w:t>
      </w:r>
      <w:r>
        <w:rPr>
          <w:rFonts w:asciiTheme="minorHAnsi" w:hAnsiTheme="minorHAnsi" w:cs="Arial"/>
          <w:szCs w:val="20"/>
        </w:rPr>
        <w:t>xchange instead of participating in the employer plan.</w:t>
      </w:r>
    </w:p>
    <w:p w:rsidR="00A14F7C" w:rsidRPr="004F47AD" w:rsidRDefault="00A14F7C" w:rsidP="00A14F7C">
      <w:pPr>
        <w:pStyle w:val="ListParagraph"/>
        <w:numPr>
          <w:ilvl w:val="0"/>
          <w:numId w:val="24"/>
        </w:numPr>
        <w:rPr>
          <w:rFonts w:asciiTheme="minorHAnsi" w:hAnsiTheme="minorHAnsi" w:cs="Arial"/>
          <w:szCs w:val="20"/>
        </w:rPr>
      </w:pPr>
      <w:r w:rsidRPr="004F47AD">
        <w:rPr>
          <w:rFonts w:asciiTheme="minorHAnsi" w:hAnsiTheme="minorHAnsi" w:cs="Arial"/>
          <w:szCs w:val="20"/>
        </w:rPr>
        <w:t xml:space="preserve">Employer will pay $250 per month for any employee who purchases </w:t>
      </w:r>
      <w:r w:rsidR="00C969B7">
        <w:rPr>
          <w:rFonts w:asciiTheme="minorHAnsi" w:hAnsiTheme="minorHAnsi" w:cs="Arial"/>
          <w:szCs w:val="20"/>
        </w:rPr>
        <w:t>subsidized coverage through an e</w:t>
      </w:r>
      <w:r w:rsidRPr="004F47AD">
        <w:rPr>
          <w:rFonts w:asciiTheme="minorHAnsi" w:hAnsiTheme="minorHAnsi" w:cs="Arial"/>
          <w:szCs w:val="20"/>
        </w:rPr>
        <w:t xml:space="preserve">xchange, but if the employee is already covered by the employer plan, the employer will no longer be required to make their current employer contributions.  In this case the employer will experience cost savings for these individuals </w:t>
      </w:r>
      <w:r>
        <w:rPr>
          <w:rFonts w:asciiTheme="minorHAnsi" w:hAnsiTheme="minorHAnsi" w:cs="Arial"/>
          <w:szCs w:val="20"/>
        </w:rPr>
        <w:t xml:space="preserve">that will at least partially offset the penalty the employer is required to pay.  </w:t>
      </w:r>
    </w:p>
    <w:p w:rsidR="00A14F7C" w:rsidRPr="00A14F7C" w:rsidRDefault="00A14F7C" w:rsidP="00A14F7C">
      <w:pPr>
        <w:rPr>
          <w:rFonts w:asciiTheme="minorHAnsi" w:hAnsiTheme="minorHAnsi" w:cs="Arial"/>
          <w:szCs w:val="20"/>
        </w:rPr>
      </w:pPr>
    </w:p>
    <w:p w:rsidR="00C969B7" w:rsidRDefault="00C969B7">
      <w:pPr>
        <w:rPr>
          <w:b/>
          <w:color w:val="0070C0"/>
          <w:sz w:val="24"/>
          <w:szCs w:val="24"/>
        </w:rPr>
      </w:pPr>
      <w:r>
        <w:rPr>
          <w:b/>
          <w:color w:val="0070C0"/>
          <w:sz w:val="24"/>
          <w:szCs w:val="24"/>
        </w:rPr>
        <w:br w:type="page"/>
      </w:r>
    </w:p>
    <w:p w:rsidR="004600AA" w:rsidRPr="00221B46" w:rsidRDefault="00221B46" w:rsidP="00C969B7">
      <w:pPr>
        <w:rPr>
          <w:b/>
          <w:color w:val="0070C0"/>
          <w:sz w:val="24"/>
          <w:szCs w:val="24"/>
        </w:rPr>
      </w:pPr>
      <w:r>
        <w:rPr>
          <w:b/>
          <w:color w:val="0070C0"/>
          <w:sz w:val="24"/>
          <w:szCs w:val="24"/>
        </w:rPr>
        <w:lastRenderedPageBreak/>
        <w:t>Medicaid Eligibility</w:t>
      </w:r>
    </w:p>
    <w:p w:rsidR="004F47AD" w:rsidRDefault="00D33FE0" w:rsidP="00542BAC">
      <w:pPr>
        <w:pStyle w:val="NoSpacing"/>
        <w:rPr>
          <w:szCs w:val="20"/>
        </w:rPr>
      </w:pPr>
      <w:r>
        <w:rPr>
          <w:szCs w:val="20"/>
        </w:rPr>
        <w:t>H</w:t>
      </w:r>
      <w:r w:rsidR="004600AA">
        <w:rPr>
          <w:szCs w:val="20"/>
        </w:rPr>
        <w:t xml:space="preserve">ealth Reform expands Medicaid eligibility to any individual with a household income of less that 138% of FPL.  </w:t>
      </w:r>
      <w:r w:rsidR="004F47AD">
        <w:rPr>
          <w:szCs w:val="20"/>
        </w:rPr>
        <w:t>The increase in the number of employees who may qualify for Medicaid could impact an employer plan significantly</w:t>
      </w:r>
      <w:r w:rsidR="00C17203">
        <w:rPr>
          <w:szCs w:val="20"/>
        </w:rPr>
        <w:t>,</w:t>
      </w:r>
      <w:r w:rsidR="004F47AD">
        <w:rPr>
          <w:szCs w:val="20"/>
        </w:rPr>
        <w:t xml:space="preserve"> depending on </w:t>
      </w:r>
      <w:r w:rsidR="00C969B7">
        <w:rPr>
          <w:szCs w:val="20"/>
        </w:rPr>
        <w:t>how aggressively</w:t>
      </w:r>
      <w:r w:rsidR="004F47AD">
        <w:rPr>
          <w:szCs w:val="20"/>
        </w:rPr>
        <w:t xml:space="preserve"> any particular state uses the Medicaid Health Insurance premium Payment Program (HIPP).</w:t>
      </w:r>
    </w:p>
    <w:p w:rsidR="004F47AD" w:rsidRDefault="004F47AD" w:rsidP="00542BAC">
      <w:pPr>
        <w:pStyle w:val="NoSpacing"/>
        <w:rPr>
          <w:szCs w:val="20"/>
        </w:rPr>
      </w:pPr>
    </w:p>
    <w:p w:rsidR="004F47AD" w:rsidRDefault="004F47AD" w:rsidP="00056250">
      <w:pPr>
        <w:pStyle w:val="NoSpacing"/>
        <w:rPr>
          <w:szCs w:val="20"/>
        </w:rPr>
      </w:pPr>
      <w:r>
        <w:rPr>
          <w:szCs w:val="20"/>
        </w:rPr>
        <w:t>Under HIPP, s</w:t>
      </w:r>
      <w:r w:rsidR="004600AA">
        <w:rPr>
          <w:szCs w:val="20"/>
        </w:rPr>
        <w:t xml:space="preserve">tates </w:t>
      </w:r>
      <w:r>
        <w:rPr>
          <w:szCs w:val="20"/>
        </w:rPr>
        <w:t xml:space="preserve">are allowed to </w:t>
      </w:r>
      <w:r w:rsidR="004600AA">
        <w:rPr>
          <w:szCs w:val="20"/>
        </w:rPr>
        <w:t xml:space="preserve">pay the </w:t>
      </w:r>
      <w:r w:rsidR="00C47190">
        <w:rPr>
          <w:szCs w:val="20"/>
        </w:rPr>
        <w:t>employee</w:t>
      </w:r>
      <w:r w:rsidR="00C17203">
        <w:rPr>
          <w:szCs w:val="20"/>
        </w:rPr>
        <w:t>-</w:t>
      </w:r>
      <w:r w:rsidR="00C47190">
        <w:rPr>
          <w:szCs w:val="20"/>
        </w:rPr>
        <w:t xml:space="preserve">required contribution for any available employer plan instead of </w:t>
      </w:r>
      <w:r>
        <w:rPr>
          <w:szCs w:val="20"/>
        </w:rPr>
        <w:t xml:space="preserve">providing complete </w:t>
      </w:r>
      <w:r w:rsidR="00C47190">
        <w:rPr>
          <w:szCs w:val="20"/>
        </w:rPr>
        <w:t>Medicaid coverage</w:t>
      </w:r>
      <w:r>
        <w:rPr>
          <w:szCs w:val="20"/>
        </w:rPr>
        <w:t xml:space="preserve"> to the individual and their family</w:t>
      </w:r>
      <w:r w:rsidR="00C47190">
        <w:rPr>
          <w:szCs w:val="20"/>
        </w:rPr>
        <w:t xml:space="preserve">.  </w:t>
      </w:r>
      <w:r>
        <w:rPr>
          <w:szCs w:val="20"/>
        </w:rPr>
        <w:t xml:space="preserve">If a particular state takes full advantage of the HIPP </w:t>
      </w:r>
      <w:r w:rsidR="00C47190">
        <w:rPr>
          <w:szCs w:val="20"/>
        </w:rPr>
        <w:t>program</w:t>
      </w:r>
      <w:r w:rsidR="00C17203">
        <w:rPr>
          <w:szCs w:val="20"/>
        </w:rPr>
        <w:t>,</w:t>
      </w:r>
      <w:r w:rsidR="00C47190">
        <w:rPr>
          <w:szCs w:val="20"/>
        </w:rPr>
        <w:t xml:space="preserve"> </w:t>
      </w:r>
      <w:r>
        <w:rPr>
          <w:szCs w:val="20"/>
        </w:rPr>
        <w:t xml:space="preserve">there will </w:t>
      </w:r>
      <w:r w:rsidR="00C47190">
        <w:rPr>
          <w:szCs w:val="20"/>
        </w:rPr>
        <w:t>likely</w:t>
      </w:r>
      <w:r>
        <w:rPr>
          <w:szCs w:val="20"/>
        </w:rPr>
        <w:t xml:space="preserve"> be an </w:t>
      </w:r>
      <w:r w:rsidR="00C47190">
        <w:rPr>
          <w:szCs w:val="20"/>
        </w:rPr>
        <w:t xml:space="preserve">increase </w:t>
      </w:r>
      <w:r w:rsidR="00C969B7">
        <w:rPr>
          <w:szCs w:val="20"/>
        </w:rPr>
        <w:t xml:space="preserve">in </w:t>
      </w:r>
      <w:r w:rsidR="00C47190">
        <w:rPr>
          <w:szCs w:val="20"/>
        </w:rPr>
        <w:t>low</w:t>
      </w:r>
      <w:r w:rsidR="00C969B7">
        <w:rPr>
          <w:szCs w:val="20"/>
        </w:rPr>
        <w:t>-</w:t>
      </w:r>
      <w:r w:rsidR="00C47190">
        <w:rPr>
          <w:szCs w:val="20"/>
        </w:rPr>
        <w:t xml:space="preserve">income employees covered by the employer plan who </w:t>
      </w:r>
      <w:r w:rsidR="003608D0">
        <w:rPr>
          <w:szCs w:val="20"/>
        </w:rPr>
        <w:t xml:space="preserve">may </w:t>
      </w:r>
      <w:r w:rsidR="00C47190">
        <w:rPr>
          <w:szCs w:val="20"/>
        </w:rPr>
        <w:t xml:space="preserve">currently </w:t>
      </w:r>
      <w:r w:rsidR="003608D0">
        <w:rPr>
          <w:szCs w:val="20"/>
        </w:rPr>
        <w:t xml:space="preserve">be </w:t>
      </w:r>
      <w:r w:rsidR="00C47190">
        <w:rPr>
          <w:szCs w:val="20"/>
        </w:rPr>
        <w:t xml:space="preserve">unable to afford the coverage. </w:t>
      </w:r>
      <w:r w:rsidR="00C969B7">
        <w:rPr>
          <w:szCs w:val="20"/>
        </w:rPr>
        <w:t xml:space="preserve"> </w:t>
      </w:r>
      <w:r>
        <w:rPr>
          <w:szCs w:val="20"/>
        </w:rPr>
        <w:t>On the other hand</w:t>
      </w:r>
      <w:r w:rsidR="003608D0">
        <w:rPr>
          <w:szCs w:val="20"/>
        </w:rPr>
        <w:t>,</w:t>
      </w:r>
      <w:r>
        <w:rPr>
          <w:szCs w:val="20"/>
        </w:rPr>
        <w:t xml:space="preserve"> if a state does not choose to enroll Medicaid recipients in employer</w:t>
      </w:r>
      <w:r w:rsidR="00C17203">
        <w:rPr>
          <w:szCs w:val="20"/>
        </w:rPr>
        <w:t>-</w:t>
      </w:r>
      <w:r>
        <w:rPr>
          <w:szCs w:val="20"/>
        </w:rPr>
        <w:t xml:space="preserve">sponsored plans, the employer may experience a decrease in costs as </w:t>
      </w:r>
      <w:r w:rsidR="003608D0">
        <w:rPr>
          <w:szCs w:val="20"/>
        </w:rPr>
        <w:t xml:space="preserve">some currently covered </w:t>
      </w:r>
      <w:r>
        <w:rPr>
          <w:szCs w:val="20"/>
        </w:rPr>
        <w:t>Medicaid eligible employees opt</w:t>
      </w:r>
      <w:r w:rsidR="00C17203">
        <w:rPr>
          <w:szCs w:val="20"/>
        </w:rPr>
        <w:t xml:space="preserve"> </w:t>
      </w:r>
      <w:r>
        <w:rPr>
          <w:szCs w:val="20"/>
        </w:rPr>
        <w:t>out of the employer plan and choose to receive Medicaid benefits instead.</w:t>
      </w:r>
    </w:p>
    <w:p w:rsidR="007727DF" w:rsidRPr="00056250" w:rsidRDefault="007727DF" w:rsidP="00542BAC">
      <w:pPr>
        <w:pStyle w:val="NoSpacing"/>
        <w:rPr>
          <w:szCs w:val="20"/>
        </w:rPr>
      </w:pPr>
    </w:p>
    <w:p w:rsidR="004F47AD" w:rsidRPr="00056250" w:rsidRDefault="004F47AD" w:rsidP="00542BAC">
      <w:pPr>
        <w:pStyle w:val="NoSpacing"/>
        <w:rPr>
          <w:szCs w:val="20"/>
        </w:rPr>
      </w:pPr>
      <w:r w:rsidRPr="00056250">
        <w:rPr>
          <w:szCs w:val="20"/>
        </w:rPr>
        <w:t>This analysis estimates the number of current employees likely to qualify for Medicaid.  The system then considers how many of these individuals are currently covered by the employer plan.  Finally</w:t>
      </w:r>
      <w:r w:rsidR="00C17203">
        <w:rPr>
          <w:szCs w:val="20"/>
        </w:rPr>
        <w:t>,</w:t>
      </w:r>
      <w:r w:rsidRPr="00056250">
        <w:rPr>
          <w:szCs w:val="20"/>
        </w:rPr>
        <w:t xml:space="preserve"> a cost impact range is developed.  </w:t>
      </w:r>
    </w:p>
    <w:p w:rsidR="00622D35" w:rsidRDefault="004F47AD" w:rsidP="004F47AD">
      <w:pPr>
        <w:pStyle w:val="NoSpacing"/>
        <w:numPr>
          <w:ilvl w:val="0"/>
          <w:numId w:val="26"/>
        </w:numPr>
        <w:rPr>
          <w:szCs w:val="20"/>
        </w:rPr>
      </w:pPr>
      <w:r w:rsidRPr="00056250">
        <w:rPr>
          <w:szCs w:val="20"/>
        </w:rPr>
        <w:t>The maximum cost impact to the employer result</w:t>
      </w:r>
      <w:r w:rsidR="00056250">
        <w:rPr>
          <w:szCs w:val="20"/>
        </w:rPr>
        <w:t>s</w:t>
      </w:r>
      <w:r w:rsidRPr="00056250">
        <w:rPr>
          <w:szCs w:val="20"/>
        </w:rPr>
        <w:t xml:space="preserve"> from the state</w:t>
      </w:r>
      <w:r w:rsidR="00C17203">
        <w:rPr>
          <w:szCs w:val="20"/>
        </w:rPr>
        <w:t>’</w:t>
      </w:r>
      <w:r w:rsidRPr="00056250">
        <w:rPr>
          <w:szCs w:val="20"/>
        </w:rPr>
        <w:t>s enrolling</w:t>
      </w:r>
      <w:r w:rsidR="00056250">
        <w:rPr>
          <w:szCs w:val="20"/>
        </w:rPr>
        <w:t>, and paying the employee contribution for</w:t>
      </w:r>
      <w:r w:rsidR="00C17203">
        <w:rPr>
          <w:szCs w:val="20"/>
        </w:rPr>
        <w:t>,</w:t>
      </w:r>
      <w:r w:rsidR="00056250">
        <w:rPr>
          <w:szCs w:val="20"/>
        </w:rPr>
        <w:t xml:space="preserve"> </w:t>
      </w:r>
      <w:r w:rsidRPr="00056250">
        <w:rPr>
          <w:szCs w:val="20"/>
        </w:rPr>
        <w:t xml:space="preserve">all </w:t>
      </w:r>
      <w:r w:rsidR="00056250" w:rsidRPr="00056250">
        <w:rPr>
          <w:szCs w:val="20"/>
        </w:rPr>
        <w:t>M</w:t>
      </w:r>
      <w:r w:rsidRPr="00056250">
        <w:rPr>
          <w:szCs w:val="20"/>
        </w:rPr>
        <w:t>edicaid</w:t>
      </w:r>
      <w:r w:rsidR="00C17203">
        <w:rPr>
          <w:szCs w:val="20"/>
        </w:rPr>
        <w:t>-</w:t>
      </w:r>
      <w:r w:rsidRPr="00056250">
        <w:rPr>
          <w:szCs w:val="20"/>
        </w:rPr>
        <w:t>eligible employee</w:t>
      </w:r>
      <w:r w:rsidR="00056250">
        <w:rPr>
          <w:szCs w:val="20"/>
        </w:rPr>
        <w:t xml:space="preserve">s not currently covered </w:t>
      </w:r>
      <w:r w:rsidR="00056250" w:rsidRPr="00056250">
        <w:rPr>
          <w:szCs w:val="20"/>
        </w:rPr>
        <w:t>in</w:t>
      </w:r>
      <w:r w:rsidRPr="00056250">
        <w:rPr>
          <w:szCs w:val="20"/>
        </w:rPr>
        <w:t xml:space="preserve"> the employer pl</w:t>
      </w:r>
      <w:r w:rsidR="00056250">
        <w:rPr>
          <w:szCs w:val="20"/>
        </w:rPr>
        <w:t>a</w:t>
      </w:r>
      <w:r w:rsidRPr="00056250">
        <w:rPr>
          <w:szCs w:val="20"/>
        </w:rPr>
        <w:t>n</w:t>
      </w:r>
      <w:r w:rsidR="00056250">
        <w:rPr>
          <w:szCs w:val="20"/>
        </w:rPr>
        <w:t>.</w:t>
      </w:r>
      <w:r w:rsidRPr="00056250">
        <w:rPr>
          <w:szCs w:val="20"/>
        </w:rPr>
        <w:t xml:space="preserve"> </w:t>
      </w:r>
    </w:p>
    <w:p w:rsidR="00056250" w:rsidRDefault="00056250" w:rsidP="004F47AD">
      <w:pPr>
        <w:pStyle w:val="NoSpacing"/>
        <w:numPr>
          <w:ilvl w:val="0"/>
          <w:numId w:val="26"/>
        </w:numPr>
        <w:rPr>
          <w:szCs w:val="20"/>
        </w:rPr>
      </w:pPr>
      <w:r>
        <w:rPr>
          <w:szCs w:val="20"/>
        </w:rPr>
        <w:t>The maximum savings, or lowest cost impact to the employer, results from all currently covered employees who become Medicaid</w:t>
      </w:r>
      <w:r w:rsidR="00C17203">
        <w:rPr>
          <w:szCs w:val="20"/>
        </w:rPr>
        <w:t>-</w:t>
      </w:r>
      <w:r>
        <w:rPr>
          <w:szCs w:val="20"/>
        </w:rPr>
        <w:t>eligible dropping the employer plan and choosing Medicaid coverage instead.</w:t>
      </w:r>
    </w:p>
    <w:p w:rsidR="00056250" w:rsidRDefault="00056250" w:rsidP="00056250">
      <w:pPr>
        <w:pStyle w:val="NoSpacing"/>
        <w:rPr>
          <w:szCs w:val="20"/>
        </w:rPr>
      </w:pPr>
    </w:p>
    <w:p w:rsidR="005E5C06" w:rsidRDefault="00056250" w:rsidP="00056250">
      <w:pPr>
        <w:pStyle w:val="NoSpacing"/>
        <w:rPr>
          <w:szCs w:val="20"/>
        </w:rPr>
      </w:pPr>
      <w:r>
        <w:rPr>
          <w:szCs w:val="20"/>
        </w:rPr>
        <w:t xml:space="preserve">Actual results are likely to fall somewhere in between these outer limits.  </w:t>
      </w:r>
      <w:r w:rsidR="005E5C06">
        <w:rPr>
          <w:szCs w:val="20"/>
        </w:rPr>
        <w:t>A particular employer</w:t>
      </w:r>
      <w:r w:rsidR="00C17203">
        <w:rPr>
          <w:szCs w:val="20"/>
        </w:rPr>
        <w:t>’s</w:t>
      </w:r>
      <w:r w:rsidR="005E5C06">
        <w:rPr>
          <w:szCs w:val="20"/>
        </w:rPr>
        <w:t xml:space="preserve"> results will depend largely on how many employee</w:t>
      </w:r>
      <w:r w:rsidR="00C17203">
        <w:rPr>
          <w:szCs w:val="20"/>
        </w:rPr>
        <w:t>s</w:t>
      </w:r>
      <w:r w:rsidR="005E5C06">
        <w:rPr>
          <w:szCs w:val="20"/>
        </w:rPr>
        <w:t xml:space="preserve"> live in states that choose to take advantage of the expanded Medicaid eligibility rules.  </w:t>
      </w:r>
    </w:p>
    <w:p w:rsidR="005E5C06" w:rsidRDefault="005E5C06" w:rsidP="00056250">
      <w:pPr>
        <w:pStyle w:val="NoSpacing"/>
        <w:rPr>
          <w:szCs w:val="20"/>
        </w:rPr>
      </w:pPr>
    </w:p>
    <w:p w:rsidR="00056250" w:rsidRPr="00056250" w:rsidRDefault="00056250" w:rsidP="00056250">
      <w:pPr>
        <w:pStyle w:val="NoSpacing"/>
        <w:rPr>
          <w:szCs w:val="20"/>
        </w:rPr>
      </w:pPr>
      <w:r>
        <w:rPr>
          <w:szCs w:val="20"/>
        </w:rPr>
        <w:t xml:space="preserve">Even if states enroll employees though the HIPP program, it is unlikely that they will enroll 100% of the </w:t>
      </w:r>
      <w:r w:rsidR="003608D0">
        <w:rPr>
          <w:szCs w:val="20"/>
        </w:rPr>
        <w:t>Medicaid</w:t>
      </w:r>
      <w:r w:rsidR="00C17203">
        <w:rPr>
          <w:szCs w:val="20"/>
        </w:rPr>
        <w:t>-</w:t>
      </w:r>
      <w:r>
        <w:rPr>
          <w:szCs w:val="20"/>
        </w:rPr>
        <w:t>eligible employees</w:t>
      </w:r>
      <w:r w:rsidR="003608D0">
        <w:rPr>
          <w:szCs w:val="20"/>
        </w:rPr>
        <w:t xml:space="preserve"> at a particular employer</w:t>
      </w:r>
      <w:r>
        <w:rPr>
          <w:szCs w:val="20"/>
        </w:rPr>
        <w:t>. Conversely, even if currently covered employees choose to opt out of the employer plan and take Medicaid coverage, it is unlike</w:t>
      </w:r>
      <w:r w:rsidR="0064787A">
        <w:rPr>
          <w:szCs w:val="20"/>
        </w:rPr>
        <w:t>ly</w:t>
      </w:r>
      <w:r>
        <w:rPr>
          <w:szCs w:val="20"/>
        </w:rPr>
        <w:t xml:space="preserve"> that all eligible employees will do so.  The chart and table below illustrate the range of </w:t>
      </w:r>
      <w:r w:rsidR="00C969B7">
        <w:rPr>
          <w:szCs w:val="20"/>
        </w:rPr>
        <w:t xml:space="preserve">possible </w:t>
      </w:r>
      <w:r>
        <w:rPr>
          <w:szCs w:val="20"/>
        </w:rPr>
        <w:t>cost impact for the employer.</w:t>
      </w:r>
    </w:p>
    <w:p w:rsidR="00056250" w:rsidRDefault="00056250" w:rsidP="00056250">
      <w:pPr>
        <w:pStyle w:val="NoSpacing"/>
        <w:rPr>
          <w:szCs w:val="20"/>
        </w:rPr>
      </w:pPr>
    </w:p>
    <w:p w:rsidR="003608D0" w:rsidRPr="003608D0" w:rsidRDefault="003608D0" w:rsidP="00056250">
      <w:pPr>
        <w:pStyle w:val="NoSpacing"/>
        <w:rPr>
          <w:b/>
          <w:szCs w:val="20"/>
        </w:rPr>
      </w:pPr>
      <w:r w:rsidRPr="003608D0">
        <w:rPr>
          <w:b/>
          <w:szCs w:val="20"/>
        </w:rPr>
        <w:t>Possible Range of Cost Impact on Employer Due to Medicaid Eligibility Changes</w:t>
      </w:r>
    </w:p>
    <w:p w:rsidR="007E52C1" w:rsidRDefault="007E52C1" w:rsidP="00542BAC">
      <w:pPr>
        <w:pStyle w:val="NoSpacing"/>
        <w:rPr>
          <w:szCs w:val="20"/>
        </w:rPr>
      </w:pPr>
      <w:r>
        <w:rPr>
          <w:szCs w:val="20"/>
        </w:rPr>
        <w:t>Chart</w:t>
      </w:r>
      <w:r w:rsidR="008F52A2">
        <w:rPr>
          <w:szCs w:val="20"/>
        </w:rPr>
        <w:t xml:space="preserve"> </w:t>
      </w:r>
      <w:r>
        <w:rPr>
          <w:szCs w:val="20"/>
        </w:rPr>
        <w:t>4</w:t>
      </w:r>
      <w:r w:rsidR="008F66FA">
        <w:rPr>
          <w:noProof/>
          <w:szCs w:val="20"/>
          <w:lang w:bidi="ar-SA"/>
        </w:rPr>
        <w:pict>
          <v:shapetype id="_x0000_t202" coordsize="21600,21600" o:spt="202" path="m,l,21600r21600,l21600,xe">
            <v:stroke joinstyle="miter"/>
            <v:path gradientshapeok="t" o:connecttype="rect"/>
          </v:shapetype>
          <v:shape id="_x0000_s1028" type="#_x0000_t202" style="position:absolute;margin-left:379.2pt;margin-top:8.8pt;width:113.3pt;height:128.8pt;z-index:251659264;mso-height-percent:200;mso-position-horizontal-relative:text;mso-position-vertical-relative:text;mso-height-percent:200;mso-width-relative:margin;mso-height-relative:margin">
            <v:textbox style="mso-next-textbox:#_x0000_s1028;mso-fit-shape-to-text:t">
              <w:txbxContent>
                <w:p w:rsidR="00B15B2C" w:rsidRDefault="00B15B2C" w:rsidP="00B15B2C">
                  <w:pPr>
                    <w:jc w:val="center"/>
                    <w:rPr>
                      <w:b/>
                      <w:sz w:val="18"/>
                      <w:szCs w:val="18"/>
                    </w:rPr>
                  </w:pPr>
                  <w:r>
                    <w:rPr>
                      <w:b/>
                      <w:sz w:val="18"/>
                      <w:szCs w:val="18"/>
                    </w:rPr>
                    <w:t>138</w:t>
                  </w:r>
                  <w:r w:rsidRPr="00B15B2C">
                    <w:rPr>
                      <w:b/>
                      <w:sz w:val="18"/>
                      <w:szCs w:val="18"/>
                    </w:rPr>
                    <w:t xml:space="preserve">% of </w:t>
                  </w:r>
                </w:p>
                <w:p w:rsidR="00B15B2C" w:rsidRPr="00B15B2C" w:rsidRDefault="00B15B2C" w:rsidP="00B15B2C">
                  <w:pPr>
                    <w:jc w:val="center"/>
                    <w:rPr>
                      <w:b/>
                      <w:sz w:val="18"/>
                      <w:szCs w:val="18"/>
                    </w:rPr>
                  </w:pPr>
                  <w:r w:rsidRPr="00B15B2C">
                    <w:rPr>
                      <w:b/>
                      <w:sz w:val="18"/>
                      <w:szCs w:val="18"/>
                    </w:rPr>
                    <w:t>Federal Poverty Level</w:t>
                  </w:r>
                </w:p>
                <w:p w:rsidR="00B15B2C" w:rsidRPr="00885565" w:rsidRDefault="00B15B2C" w:rsidP="00B15B2C">
                  <w:pPr>
                    <w:rPr>
                      <w:sz w:val="18"/>
                      <w:szCs w:val="18"/>
                    </w:rPr>
                  </w:pPr>
                  <w:r>
                    <w:rPr>
                      <w:sz w:val="18"/>
                      <w:szCs w:val="18"/>
                    </w:rPr>
                    <w:t>Household Size</w:t>
                  </w:r>
                  <w:r>
                    <w:rPr>
                      <w:sz w:val="18"/>
                      <w:szCs w:val="18"/>
                    </w:rPr>
                    <w:tab/>
                  </w:r>
                </w:p>
                <w:p w:rsidR="00917C4B" w:rsidRPr="00917C4B" w:rsidRDefault="00917C4B" w:rsidP="00917C4B">
                  <w:pPr>
                    <w:rPr>
                      <w:sz w:val="18"/>
                      <w:szCs w:val="18"/>
                    </w:rPr>
                  </w:pPr>
                  <w:r w:rsidRPr="00917C4B">
                    <w:rPr>
                      <w:sz w:val="18"/>
                      <w:szCs w:val="18"/>
                    </w:rPr>
                    <w:t>1</w:t>
                  </w:r>
                  <w:r w:rsidRPr="00917C4B">
                    <w:rPr>
                      <w:sz w:val="18"/>
                      <w:szCs w:val="18"/>
                    </w:rPr>
                    <w:tab/>
                    <w:t>$15,415</w:t>
                  </w:r>
                </w:p>
                <w:p w:rsidR="00917C4B" w:rsidRPr="00917C4B" w:rsidRDefault="00917C4B" w:rsidP="00917C4B">
                  <w:pPr>
                    <w:rPr>
                      <w:sz w:val="18"/>
                      <w:szCs w:val="18"/>
                    </w:rPr>
                  </w:pPr>
                  <w:r w:rsidRPr="00917C4B">
                    <w:rPr>
                      <w:sz w:val="18"/>
                      <w:szCs w:val="18"/>
                    </w:rPr>
                    <w:t>2</w:t>
                  </w:r>
                  <w:r w:rsidRPr="00917C4B">
                    <w:rPr>
                      <w:sz w:val="18"/>
                      <w:szCs w:val="18"/>
                    </w:rPr>
                    <w:tab/>
                    <w:t>$20,879</w:t>
                  </w:r>
                </w:p>
                <w:p w:rsidR="00917C4B" w:rsidRPr="00917C4B" w:rsidRDefault="00917C4B" w:rsidP="00917C4B">
                  <w:pPr>
                    <w:rPr>
                      <w:sz w:val="18"/>
                      <w:szCs w:val="18"/>
                    </w:rPr>
                  </w:pPr>
                  <w:r w:rsidRPr="00917C4B">
                    <w:rPr>
                      <w:sz w:val="18"/>
                      <w:szCs w:val="18"/>
                    </w:rPr>
                    <w:t>3</w:t>
                  </w:r>
                  <w:r w:rsidRPr="00917C4B">
                    <w:rPr>
                      <w:sz w:val="18"/>
                      <w:szCs w:val="18"/>
                    </w:rPr>
                    <w:tab/>
                    <w:t>$26,344</w:t>
                  </w:r>
                </w:p>
                <w:p w:rsidR="00917C4B" w:rsidRPr="00917C4B" w:rsidRDefault="00917C4B" w:rsidP="00917C4B">
                  <w:pPr>
                    <w:rPr>
                      <w:sz w:val="18"/>
                      <w:szCs w:val="18"/>
                    </w:rPr>
                  </w:pPr>
                  <w:r w:rsidRPr="00917C4B">
                    <w:rPr>
                      <w:sz w:val="18"/>
                      <w:szCs w:val="18"/>
                    </w:rPr>
                    <w:t>4</w:t>
                  </w:r>
                  <w:r w:rsidRPr="00917C4B">
                    <w:rPr>
                      <w:sz w:val="18"/>
                      <w:szCs w:val="18"/>
                    </w:rPr>
                    <w:tab/>
                    <w:t>$31,809</w:t>
                  </w:r>
                </w:p>
                <w:p w:rsidR="00917C4B" w:rsidRPr="00917C4B" w:rsidRDefault="00917C4B" w:rsidP="00917C4B">
                  <w:pPr>
                    <w:rPr>
                      <w:sz w:val="18"/>
                      <w:szCs w:val="18"/>
                    </w:rPr>
                  </w:pPr>
                  <w:r w:rsidRPr="00917C4B">
                    <w:rPr>
                      <w:sz w:val="18"/>
                      <w:szCs w:val="18"/>
                    </w:rPr>
                    <w:t>5</w:t>
                  </w:r>
                  <w:r w:rsidRPr="00917C4B">
                    <w:rPr>
                      <w:sz w:val="18"/>
                      <w:szCs w:val="18"/>
                    </w:rPr>
                    <w:tab/>
                    <w:t>$37,274</w:t>
                  </w:r>
                </w:p>
                <w:p w:rsidR="00917C4B" w:rsidRPr="00917C4B" w:rsidRDefault="00917C4B" w:rsidP="00917C4B">
                  <w:pPr>
                    <w:rPr>
                      <w:sz w:val="18"/>
                      <w:szCs w:val="18"/>
                    </w:rPr>
                  </w:pPr>
                  <w:r w:rsidRPr="00917C4B">
                    <w:rPr>
                      <w:sz w:val="18"/>
                      <w:szCs w:val="18"/>
                    </w:rPr>
                    <w:t>6</w:t>
                  </w:r>
                  <w:r w:rsidRPr="00917C4B">
                    <w:rPr>
                      <w:sz w:val="18"/>
                      <w:szCs w:val="18"/>
                    </w:rPr>
                    <w:tab/>
                    <w:t>$42,739</w:t>
                  </w:r>
                </w:p>
                <w:p w:rsidR="00917C4B" w:rsidRPr="00917C4B" w:rsidRDefault="00917C4B" w:rsidP="00917C4B">
                  <w:pPr>
                    <w:rPr>
                      <w:sz w:val="18"/>
                      <w:szCs w:val="18"/>
                    </w:rPr>
                  </w:pPr>
                  <w:r w:rsidRPr="00917C4B">
                    <w:rPr>
                      <w:sz w:val="18"/>
                      <w:szCs w:val="18"/>
                    </w:rPr>
                    <w:t>7</w:t>
                  </w:r>
                  <w:r w:rsidRPr="00917C4B">
                    <w:rPr>
                      <w:sz w:val="18"/>
                      <w:szCs w:val="18"/>
                    </w:rPr>
                    <w:tab/>
                    <w:t>$48,203</w:t>
                  </w:r>
                </w:p>
                <w:p w:rsidR="00B15B2C" w:rsidRPr="00885565" w:rsidRDefault="00917C4B" w:rsidP="00917C4B">
                  <w:pPr>
                    <w:rPr>
                      <w:sz w:val="18"/>
                      <w:szCs w:val="18"/>
                    </w:rPr>
                  </w:pPr>
                  <w:r w:rsidRPr="00917C4B">
                    <w:rPr>
                      <w:sz w:val="18"/>
                      <w:szCs w:val="18"/>
                    </w:rPr>
                    <w:t>8</w:t>
                  </w:r>
                  <w:r w:rsidRPr="00917C4B">
                    <w:rPr>
                      <w:sz w:val="18"/>
                      <w:szCs w:val="18"/>
                    </w:rPr>
                    <w:tab/>
                    <w:t>$53,668</w:t>
                  </w:r>
                </w:p>
              </w:txbxContent>
            </v:textbox>
            <w10:wrap type="square"/>
          </v:shape>
        </w:pict>
      </w:r>
    </w:p>
    <w:p w:rsidR="007E52C1" w:rsidRDefault="00512070" w:rsidP="00542BAC">
      <w:pPr>
        <w:pStyle w:val="NoSpacing"/>
        <w:rPr>
          <w:szCs w:val="20"/>
        </w:rPr>
      </w:pPr>
      <w:bookmarkStart w:id="12" w:name="Chart4"/>
      <w:bookmarkEnd w:id="12"/>
      <w:r>
        <w:rPr>
          <w:noProof/>
          <w:szCs w:val="20"/>
          <w:lang w:bidi="ar-SA"/>
        </w:rPr>
        <w:drawing>
          <wp:inline distT="0" distB="0" distL="0" distR="0">
            <wp:extent cx="3621405" cy="242062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621405" cy="2420620"/>
                    </a:xfrm>
                    <a:prstGeom prst="rect">
                      <a:avLst/>
                    </a:prstGeom>
                    <a:noFill/>
                  </pic:spPr>
                </pic:pic>
              </a:graphicData>
            </a:graphic>
          </wp:inline>
        </w:drawing>
      </w:r>
    </w:p>
    <w:p w:rsidR="007E52C1" w:rsidRDefault="007E52C1" w:rsidP="00542BAC">
      <w:pPr>
        <w:pStyle w:val="NoSpacing"/>
        <w:rPr>
          <w:szCs w:val="20"/>
        </w:rPr>
      </w:pPr>
      <w:r>
        <w:rPr>
          <w:szCs w:val="20"/>
        </w:rPr>
        <w:t>Table</w:t>
      </w:r>
      <w:r w:rsidR="008F52A2">
        <w:rPr>
          <w:szCs w:val="20"/>
        </w:rPr>
        <w:t xml:space="preserve"> </w:t>
      </w:r>
      <w:r>
        <w:rPr>
          <w:szCs w:val="20"/>
        </w:rPr>
        <w:t>4</w:t>
      </w:r>
    </w:p>
    <w:tbl>
      <w:tblPr>
        <w:tblW w:w="0" w:type="auto"/>
        <w:tblInd w:w="78" w:type="dxa"/>
        <w:tblLayout w:type="fixed"/>
        <w:tblLook w:val="0000" w:firstRow="0" w:lastRow="0" w:firstColumn="0" w:lastColumn="0" w:noHBand="0" w:noVBand="0"/>
      </w:tblPr>
      <w:tblGrid>
        <w:gridCol w:w="4270"/>
        <w:gridCol w:w="1161"/>
      </w:tblGrid>
      <w:tr w:rsidR="00512070" w:rsidTr="00512070">
        <w:trPr>
          <w:trHeight w:val="187"/>
        </w:trPr>
        <w:tc>
          <w:tcPr>
            <w:tcW w:w="4270" w:type="dxa"/>
            <w:tcBorders>
              <w:top w:val="single" w:sz="12" w:space="0" w:color="auto"/>
              <w:left w:val="single" w:sz="12" w:space="0" w:color="auto"/>
              <w:bottom w:val="single" w:sz="2" w:space="0" w:color="000000"/>
              <w:right w:val="single" w:sz="6" w:space="0" w:color="auto"/>
            </w:tcBorders>
            <w:shd w:val="solid" w:color="C0C0C0" w:fill="auto"/>
          </w:tcPr>
          <w:p w:rsidR="00512070" w:rsidRDefault="00512070">
            <w:pPr>
              <w:autoSpaceDE w:val="0"/>
              <w:autoSpaceDN w:val="0"/>
              <w:adjustRightInd w:val="0"/>
              <w:rPr>
                <w:rFonts w:cs="Calibri"/>
                <w:b/>
                <w:bCs/>
                <w:color w:val="000000"/>
                <w:sz w:val="16"/>
                <w:szCs w:val="16"/>
                <w:lang w:bidi="ar-SA"/>
              </w:rPr>
            </w:pPr>
            <w:r>
              <w:rPr>
                <w:rFonts w:cs="Calibri"/>
                <w:b/>
                <w:bCs/>
                <w:color w:val="000000"/>
                <w:sz w:val="16"/>
                <w:szCs w:val="16"/>
                <w:lang w:bidi="ar-SA"/>
              </w:rPr>
              <w:t>Medicaid</w:t>
            </w:r>
          </w:p>
        </w:tc>
        <w:tc>
          <w:tcPr>
            <w:tcW w:w="1161" w:type="dxa"/>
            <w:tcBorders>
              <w:top w:val="single" w:sz="12" w:space="0" w:color="auto"/>
              <w:left w:val="single" w:sz="6" w:space="0" w:color="auto"/>
              <w:bottom w:val="single" w:sz="2" w:space="0" w:color="000000"/>
              <w:right w:val="single" w:sz="12" w:space="0" w:color="auto"/>
            </w:tcBorders>
            <w:shd w:val="solid" w:color="C0C0C0" w:fill="auto"/>
          </w:tcPr>
          <w:p w:rsidR="00512070" w:rsidRDefault="00512070">
            <w:pPr>
              <w:autoSpaceDE w:val="0"/>
              <w:autoSpaceDN w:val="0"/>
              <w:adjustRightInd w:val="0"/>
              <w:jc w:val="right"/>
              <w:rPr>
                <w:rFonts w:cs="Calibri"/>
                <w:color w:val="000000"/>
                <w:sz w:val="16"/>
                <w:szCs w:val="16"/>
                <w:lang w:bidi="ar-SA"/>
              </w:rPr>
            </w:pPr>
          </w:p>
        </w:tc>
      </w:tr>
      <w:tr w:rsidR="00512070" w:rsidTr="00512070">
        <w:trPr>
          <w:trHeight w:val="187"/>
        </w:trPr>
        <w:tc>
          <w:tcPr>
            <w:tcW w:w="4270" w:type="dxa"/>
            <w:tcBorders>
              <w:top w:val="single" w:sz="2" w:space="0" w:color="000000"/>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Total employees</w:t>
            </w:r>
          </w:p>
        </w:tc>
        <w:tc>
          <w:tcPr>
            <w:tcW w:w="1161" w:type="dxa"/>
            <w:tcBorders>
              <w:top w:val="single" w:sz="2" w:space="0" w:color="000000"/>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336 </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rsidP="00C17203">
            <w:pPr>
              <w:autoSpaceDE w:val="0"/>
              <w:autoSpaceDN w:val="0"/>
              <w:adjustRightInd w:val="0"/>
              <w:rPr>
                <w:rFonts w:cs="Calibri"/>
                <w:color w:val="000000"/>
                <w:sz w:val="16"/>
                <w:szCs w:val="16"/>
                <w:lang w:bidi="ar-SA"/>
              </w:rPr>
            </w:pPr>
            <w:r>
              <w:rPr>
                <w:rFonts w:cs="Calibri"/>
                <w:color w:val="000000"/>
                <w:sz w:val="16"/>
                <w:szCs w:val="16"/>
                <w:lang w:bidi="ar-SA"/>
              </w:rPr>
              <w:t>Total Medicaid</w:t>
            </w:r>
            <w:r w:rsidR="00C17203">
              <w:rPr>
                <w:rFonts w:cs="Calibri"/>
                <w:color w:val="000000"/>
                <w:sz w:val="16"/>
                <w:szCs w:val="16"/>
                <w:lang w:bidi="ar-SA"/>
              </w:rPr>
              <w:t>-</w:t>
            </w:r>
            <w:r>
              <w:rPr>
                <w:rFonts w:cs="Calibri"/>
                <w:color w:val="000000"/>
                <w:sz w:val="16"/>
                <w:szCs w:val="16"/>
                <w:lang w:bidi="ar-SA"/>
              </w:rPr>
              <w:t>eligible employees</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20 </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Estimated maximum cost due to Medicaid eligibility</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$ 146,611</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 xml:space="preserve">Estimated maximum savings due to Medicaid eligibility </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($ 58,644)</w:t>
            </w:r>
          </w:p>
        </w:tc>
      </w:tr>
      <w:tr w:rsidR="00512070" w:rsidTr="00512070">
        <w:trPr>
          <w:trHeight w:val="187"/>
        </w:trPr>
        <w:tc>
          <w:tcPr>
            <w:tcW w:w="4270" w:type="dxa"/>
            <w:tcBorders>
              <w:top w:val="single" w:sz="6" w:space="0" w:color="auto"/>
              <w:left w:val="single" w:sz="12" w:space="0" w:color="auto"/>
              <w:bottom w:val="single" w:sz="12" w:space="0" w:color="auto"/>
              <w:right w:val="single" w:sz="6" w:space="0" w:color="auto"/>
            </w:tcBorders>
          </w:tcPr>
          <w:p w:rsidR="00512070" w:rsidRDefault="00512070">
            <w:pPr>
              <w:autoSpaceDE w:val="0"/>
              <w:autoSpaceDN w:val="0"/>
              <w:adjustRightInd w:val="0"/>
              <w:rPr>
                <w:rFonts w:cs="Calibri"/>
                <w:b/>
                <w:bCs/>
                <w:color w:val="000000"/>
                <w:sz w:val="16"/>
                <w:szCs w:val="16"/>
                <w:lang w:bidi="ar-SA"/>
              </w:rPr>
            </w:pPr>
            <w:r>
              <w:rPr>
                <w:rFonts w:cs="Calibri"/>
                <w:b/>
                <w:bCs/>
                <w:color w:val="000000"/>
                <w:sz w:val="16"/>
                <w:szCs w:val="16"/>
                <w:lang w:bidi="ar-SA"/>
              </w:rPr>
              <w:t>Estimated midpoint of Medicaid cost impact</w:t>
            </w:r>
          </w:p>
        </w:tc>
        <w:tc>
          <w:tcPr>
            <w:tcW w:w="1161" w:type="dxa"/>
            <w:tcBorders>
              <w:top w:val="single" w:sz="6" w:space="0" w:color="auto"/>
              <w:left w:val="single" w:sz="6" w:space="0" w:color="auto"/>
              <w:bottom w:val="single" w:sz="12" w:space="0" w:color="auto"/>
              <w:right w:val="single" w:sz="12" w:space="0" w:color="auto"/>
            </w:tcBorders>
          </w:tcPr>
          <w:p w:rsidR="00512070" w:rsidRDefault="00512070">
            <w:pPr>
              <w:autoSpaceDE w:val="0"/>
              <w:autoSpaceDN w:val="0"/>
              <w:adjustRightInd w:val="0"/>
              <w:jc w:val="right"/>
              <w:rPr>
                <w:rFonts w:cs="Calibri"/>
                <w:b/>
                <w:bCs/>
                <w:color w:val="000000"/>
                <w:sz w:val="16"/>
                <w:szCs w:val="16"/>
                <w:lang w:bidi="ar-SA"/>
              </w:rPr>
            </w:pPr>
            <w:r>
              <w:rPr>
                <w:rFonts w:cs="Calibri"/>
                <w:b/>
                <w:bCs/>
                <w:color w:val="000000"/>
                <w:sz w:val="16"/>
                <w:szCs w:val="16"/>
                <w:lang w:bidi="ar-SA"/>
              </w:rPr>
              <w:t>$ 43,983</w:t>
            </w:r>
          </w:p>
        </w:tc>
      </w:tr>
    </w:tbl>
    <w:p w:rsidR="00B15B2C" w:rsidRDefault="00B15B2C" w:rsidP="00542BAC">
      <w:pPr>
        <w:pStyle w:val="NoSpacing"/>
        <w:rPr>
          <w:szCs w:val="20"/>
        </w:rPr>
      </w:pPr>
      <w:bookmarkStart w:id="13" w:name="Table4"/>
      <w:bookmarkEnd w:id="13"/>
    </w:p>
    <w:p w:rsidR="00C969B7" w:rsidRDefault="00C969B7">
      <w:pPr>
        <w:rPr>
          <w:b/>
          <w:color w:val="0070C0"/>
          <w:sz w:val="24"/>
          <w:szCs w:val="24"/>
        </w:rPr>
      </w:pPr>
      <w:r>
        <w:rPr>
          <w:b/>
          <w:color w:val="0070C0"/>
          <w:sz w:val="24"/>
          <w:szCs w:val="24"/>
        </w:rPr>
        <w:br w:type="page"/>
      </w:r>
    </w:p>
    <w:p w:rsidR="004600AA" w:rsidRPr="00221B46" w:rsidRDefault="00E0571B" w:rsidP="00670A3E">
      <w:pPr>
        <w:rPr>
          <w:b/>
          <w:color w:val="0070C0"/>
          <w:sz w:val="24"/>
          <w:szCs w:val="24"/>
        </w:rPr>
      </w:pPr>
      <w:r w:rsidRPr="00221B46">
        <w:rPr>
          <w:b/>
          <w:color w:val="0070C0"/>
          <w:sz w:val="24"/>
          <w:szCs w:val="24"/>
        </w:rPr>
        <w:lastRenderedPageBreak/>
        <w:t>Summary of Employer Cost Impact</w:t>
      </w:r>
    </w:p>
    <w:p w:rsidR="00221B46" w:rsidRDefault="00221B46" w:rsidP="00B15B2C">
      <w:pPr>
        <w:rPr>
          <w:rFonts w:asciiTheme="minorHAnsi" w:hAnsiTheme="minorHAnsi" w:cs="Arial"/>
          <w:szCs w:val="20"/>
        </w:rPr>
      </w:pPr>
    </w:p>
    <w:p w:rsidR="00B15B2C" w:rsidRDefault="00B15B2C" w:rsidP="00B15B2C">
      <w:pPr>
        <w:rPr>
          <w:rFonts w:asciiTheme="minorHAnsi" w:hAnsiTheme="minorHAnsi" w:cs="Arial"/>
          <w:szCs w:val="20"/>
        </w:rPr>
      </w:pPr>
      <w:r>
        <w:rPr>
          <w:rFonts w:asciiTheme="minorHAnsi" w:hAnsiTheme="minorHAnsi" w:cs="Arial"/>
          <w:szCs w:val="20"/>
        </w:rPr>
        <w:t xml:space="preserve">This </w:t>
      </w:r>
      <w:r w:rsidR="006258BC">
        <w:rPr>
          <w:rFonts w:asciiTheme="minorHAnsi" w:hAnsiTheme="minorHAnsi" w:cs="Arial"/>
          <w:szCs w:val="20"/>
        </w:rPr>
        <w:t>page summarizes the impact</w:t>
      </w:r>
      <w:r>
        <w:rPr>
          <w:rFonts w:asciiTheme="minorHAnsi" w:hAnsiTheme="minorHAnsi" w:cs="Arial"/>
          <w:szCs w:val="20"/>
        </w:rPr>
        <w:t xml:space="preserve"> </w:t>
      </w:r>
      <w:r w:rsidR="001825E4">
        <w:rPr>
          <w:rFonts w:asciiTheme="minorHAnsi" w:hAnsiTheme="minorHAnsi" w:cs="Arial"/>
          <w:szCs w:val="20"/>
        </w:rPr>
        <w:t xml:space="preserve">of the </w:t>
      </w:r>
      <w:r>
        <w:rPr>
          <w:rFonts w:asciiTheme="minorHAnsi" w:hAnsiTheme="minorHAnsi" w:cs="Arial"/>
          <w:szCs w:val="20"/>
        </w:rPr>
        <w:t xml:space="preserve">health reform </w:t>
      </w:r>
      <w:r w:rsidR="00E17B2E">
        <w:rPr>
          <w:rFonts w:asciiTheme="minorHAnsi" w:hAnsiTheme="minorHAnsi" w:cs="Arial"/>
          <w:szCs w:val="20"/>
        </w:rPr>
        <w:t xml:space="preserve">provisions </w:t>
      </w:r>
      <w:r>
        <w:rPr>
          <w:rFonts w:asciiTheme="minorHAnsi" w:hAnsiTheme="minorHAnsi" w:cs="Arial"/>
          <w:szCs w:val="20"/>
        </w:rPr>
        <w:t xml:space="preserve">considered </w:t>
      </w:r>
      <w:r w:rsidR="006258BC">
        <w:rPr>
          <w:rFonts w:asciiTheme="minorHAnsi" w:hAnsiTheme="minorHAnsi" w:cs="Arial"/>
          <w:szCs w:val="20"/>
        </w:rPr>
        <w:t xml:space="preserve">in detail in previous </w:t>
      </w:r>
      <w:r w:rsidR="003608D0">
        <w:rPr>
          <w:rFonts w:asciiTheme="minorHAnsi" w:hAnsiTheme="minorHAnsi" w:cs="Arial"/>
          <w:szCs w:val="20"/>
        </w:rPr>
        <w:t>section</w:t>
      </w:r>
      <w:r w:rsidR="006258BC">
        <w:rPr>
          <w:rFonts w:asciiTheme="minorHAnsi" w:hAnsiTheme="minorHAnsi" w:cs="Arial"/>
          <w:szCs w:val="20"/>
        </w:rPr>
        <w:t>s</w:t>
      </w:r>
      <w:r w:rsidR="003608D0">
        <w:rPr>
          <w:rFonts w:asciiTheme="minorHAnsi" w:hAnsiTheme="minorHAnsi" w:cs="Arial"/>
          <w:szCs w:val="20"/>
        </w:rPr>
        <w:t xml:space="preserve"> of the </w:t>
      </w:r>
      <w:r>
        <w:rPr>
          <w:rFonts w:asciiTheme="minorHAnsi" w:hAnsiTheme="minorHAnsi" w:cs="Arial"/>
          <w:szCs w:val="20"/>
        </w:rPr>
        <w:t xml:space="preserve">report.  </w:t>
      </w:r>
    </w:p>
    <w:p w:rsidR="00350F2C" w:rsidRPr="007E52C1" w:rsidRDefault="007E52C1" w:rsidP="00EA20FA">
      <w:pPr>
        <w:rPr>
          <w:rFonts w:asciiTheme="minorHAnsi" w:hAnsiTheme="minorHAnsi" w:cs="Arial"/>
          <w:bCs/>
          <w:color w:val="000000" w:themeColor="text1"/>
          <w:szCs w:val="20"/>
        </w:rPr>
      </w:pPr>
      <w:r w:rsidRPr="007E52C1">
        <w:rPr>
          <w:rFonts w:asciiTheme="minorHAnsi" w:hAnsiTheme="minorHAnsi" w:cs="Arial"/>
          <w:bCs/>
          <w:color w:val="000000" w:themeColor="text1"/>
          <w:szCs w:val="20"/>
        </w:rPr>
        <w:t>Chart</w:t>
      </w:r>
      <w:r w:rsidR="008F52A2">
        <w:rPr>
          <w:rFonts w:asciiTheme="minorHAnsi" w:hAnsiTheme="minorHAnsi" w:cs="Arial"/>
          <w:bCs/>
          <w:color w:val="000000" w:themeColor="text1"/>
          <w:szCs w:val="20"/>
        </w:rPr>
        <w:t xml:space="preserve"> </w:t>
      </w:r>
      <w:r w:rsidRPr="007E52C1">
        <w:rPr>
          <w:rFonts w:asciiTheme="minorHAnsi" w:hAnsiTheme="minorHAnsi" w:cs="Arial"/>
          <w:bCs/>
          <w:color w:val="000000" w:themeColor="text1"/>
          <w:szCs w:val="20"/>
        </w:rPr>
        <w:t>5</w:t>
      </w:r>
    </w:p>
    <w:p w:rsidR="007E52C1" w:rsidRDefault="00512070" w:rsidP="00EA20FA">
      <w:pPr>
        <w:rPr>
          <w:rFonts w:asciiTheme="minorHAnsi" w:hAnsiTheme="minorHAnsi" w:cs="Arial"/>
          <w:b/>
          <w:bCs/>
          <w:color w:val="FF0000"/>
          <w:szCs w:val="20"/>
        </w:rPr>
      </w:pPr>
      <w:bookmarkStart w:id="14" w:name="Chart5"/>
      <w:bookmarkEnd w:id="14"/>
      <w:r>
        <w:rPr>
          <w:rFonts w:asciiTheme="minorHAnsi" w:hAnsiTheme="minorHAnsi" w:cs="Arial"/>
          <w:b/>
          <w:bCs/>
          <w:noProof/>
          <w:color w:val="FF0000"/>
          <w:szCs w:val="20"/>
          <w:lang w:bidi="ar-SA"/>
        </w:rPr>
        <w:drawing>
          <wp:inline distT="0" distB="0" distL="0" distR="0">
            <wp:extent cx="5949950" cy="391414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949950" cy="3914140"/>
                    </a:xfrm>
                    <a:prstGeom prst="rect">
                      <a:avLst/>
                    </a:prstGeom>
                    <a:noFill/>
                  </pic:spPr>
                </pic:pic>
              </a:graphicData>
            </a:graphic>
          </wp:inline>
        </w:drawing>
      </w:r>
    </w:p>
    <w:p w:rsidR="007E52C1" w:rsidRPr="007E52C1" w:rsidRDefault="007E52C1" w:rsidP="00EA20FA">
      <w:pPr>
        <w:rPr>
          <w:rFonts w:asciiTheme="minorHAnsi" w:hAnsiTheme="minorHAnsi" w:cs="Arial"/>
          <w:bCs/>
          <w:color w:val="000000" w:themeColor="text1"/>
          <w:szCs w:val="20"/>
        </w:rPr>
      </w:pPr>
      <w:r w:rsidRPr="007E52C1">
        <w:rPr>
          <w:rFonts w:asciiTheme="minorHAnsi" w:hAnsiTheme="minorHAnsi" w:cs="Arial"/>
          <w:bCs/>
          <w:color w:val="000000" w:themeColor="text1"/>
          <w:szCs w:val="20"/>
        </w:rPr>
        <w:t>Table</w:t>
      </w:r>
      <w:r w:rsidR="008F52A2">
        <w:rPr>
          <w:rFonts w:asciiTheme="minorHAnsi" w:hAnsiTheme="minorHAnsi" w:cs="Arial"/>
          <w:bCs/>
          <w:color w:val="000000" w:themeColor="text1"/>
          <w:szCs w:val="20"/>
        </w:rPr>
        <w:t xml:space="preserve"> </w:t>
      </w:r>
      <w:r w:rsidRPr="007E52C1">
        <w:rPr>
          <w:rFonts w:asciiTheme="minorHAnsi" w:hAnsiTheme="minorHAnsi" w:cs="Arial"/>
          <w:bCs/>
          <w:color w:val="000000" w:themeColor="text1"/>
          <w:szCs w:val="20"/>
        </w:rPr>
        <w:t>5</w:t>
      </w:r>
    </w:p>
    <w:tbl>
      <w:tblPr>
        <w:tblW w:w="0" w:type="auto"/>
        <w:tblInd w:w="78" w:type="dxa"/>
        <w:tblLayout w:type="fixed"/>
        <w:tblLook w:val="0000" w:firstRow="0" w:lastRow="0" w:firstColumn="0" w:lastColumn="0" w:noHBand="0" w:noVBand="0"/>
      </w:tblPr>
      <w:tblGrid>
        <w:gridCol w:w="4270"/>
        <w:gridCol w:w="1161"/>
      </w:tblGrid>
      <w:tr w:rsidR="00512070" w:rsidTr="00512070">
        <w:trPr>
          <w:trHeight w:val="187"/>
        </w:trPr>
        <w:tc>
          <w:tcPr>
            <w:tcW w:w="4270" w:type="dxa"/>
            <w:tcBorders>
              <w:top w:val="single" w:sz="12" w:space="0" w:color="auto"/>
              <w:left w:val="single" w:sz="12" w:space="0" w:color="auto"/>
              <w:bottom w:val="single" w:sz="6" w:space="0" w:color="auto"/>
              <w:right w:val="single" w:sz="6" w:space="0" w:color="auto"/>
            </w:tcBorders>
            <w:shd w:val="solid" w:color="C0C0C0" w:fill="auto"/>
          </w:tcPr>
          <w:p w:rsidR="00512070" w:rsidRDefault="00512070">
            <w:pPr>
              <w:autoSpaceDE w:val="0"/>
              <w:autoSpaceDN w:val="0"/>
              <w:adjustRightInd w:val="0"/>
              <w:rPr>
                <w:rFonts w:cs="Calibri"/>
                <w:b/>
                <w:bCs/>
                <w:color w:val="000000"/>
                <w:sz w:val="16"/>
                <w:szCs w:val="16"/>
                <w:lang w:bidi="ar-SA"/>
              </w:rPr>
            </w:pPr>
            <w:r>
              <w:rPr>
                <w:rFonts w:cs="Calibri"/>
                <w:b/>
                <w:bCs/>
                <w:color w:val="000000"/>
                <w:sz w:val="16"/>
                <w:szCs w:val="16"/>
                <w:lang w:bidi="ar-SA"/>
              </w:rPr>
              <w:t>Summary of Impact of Health Reform Provisions</w:t>
            </w:r>
          </w:p>
        </w:tc>
        <w:tc>
          <w:tcPr>
            <w:tcW w:w="1161" w:type="dxa"/>
            <w:tcBorders>
              <w:top w:val="single" w:sz="12" w:space="0" w:color="auto"/>
              <w:left w:val="single" w:sz="6" w:space="0" w:color="auto"/>
              <w:bottom w:val="single" w:sz="6" w:space="0" w:color="auto"/>
              <w:right w:val="single" w:sz="12" w:space="0" w:color="auto"/>
            </w:tcBorders>
            <w:shd w:val="solid" w:color="C0C0C0" w:fill="auto"/>
          </w:tcPr>
          <w:p w:rsidR="00512070" w:rsidRDefault="00512070">
            <w:pPr>
              <w:autoSpaceDE w:val="0"/>
              <w:autoSpaceDN w:val="0"/>
              <w:adjustRightInd w:val="0"/>
              <w:rPr>
                <w:rFonts w:cs="Calibri"/>
                <w:b/>
                <w:bCs/>
                <w:color w:val="000000"/>
                <w:sz w:val="16"/>
                <w:szCs w:val="16"/>
                <w:lang w:bidi="ar-SA"/>
              </w:rPr>
            </w:pPr>
            <w:r>
              <w:rPr>
                <w:rFonts w:cs="Calibri"/>
                <w:b/>
                <w:bCs/>
                <w:color w:val="000000"/>
                <w:sz w:val="16"/>
                <w:szCs w:val="16"/>
                <w:lang w:bidi="ar-SA"/>
              </w:rPr>
              <w:t>Annual Cost Risk</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 xml:space="preserve">Current </w:t>
            </w:r>
            <w:r w:rsidR="004F3E1A">
              <w:rPr>
                <w:rFonts w:cs="Calibri"/>
                <w:color w:val="000000"/>
                <w:sz w:val="16"/>
                <w:szCs w:val="16"/>
                <w:lang w:bidi="ar-SA"/>
              </w:rPr>
              <w:t>p</w:t>
            </w:r>
            <w:r>
              <w:rPr>
                <w:rFonts w:cs="Calibri"/>
                <w:color w:val="000000"/>
                <w:sz w:val="16"/>
                <w:szCs w:val="16"/>
                <w:lang w:bidi="ar-SA"/>
              </w:rPr>
              <w:t xml:space="preserve">lan </w:t>
            </w:r>
            <w:r w:rsidR="004F3E1A">
              <w:rPr>
                <w:rFonts w:cs="Calibri"/>
                <w:color w:val="000000"/>
                <w:sz w:val="16"/>
                <w:szCs w:val="16"/>
                <w:lang w:bidi="ar-SA"/>
              </w:rPr>
              <w:t>c</w:t>
            </w:r>
            <w:r>
              <w:rPr>
                <w:rFonts w:cs="Calibri"/>
                <w:color w:val="000000"/>
                <w:sz w:val="16"/>
                <w:szCs w:val="16"/>
                <w:lang w:bidi="ar-SA"/>
              </w:rPr>
              <w:t>ost</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$ 1,062,599 </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After ACA</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$ 1,045,217 </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New eligibles</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$ 0 </w:t>
            </w:r>
          </w:p>
        </w:tc>
      </w:tr>
      <w:tr w:rsidR="00512070" w:rsidTr="00512070">
        <w:trPr>
          <w:trHeight w:val="187"/>
        </w:trPr>
        <w:tc>
          <w:tcPr>
            <w:tcW w:w="4270" w:type="dxa"/>
            <w:tcBorders>
              <w:top w:val="single" w:sz="6" w:space="0" w:color="auto"/>
              <w:left w:val="single" w:sz="12" w:space="0" w:color="auto"/>
              <w:bottom w:val="single" w:sz="6"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Employer penalty</w:t>
            </w:r>
          </w:p>
        </w:tc>
        <w:tc>
          <w:tcPr>
            <w:tcW w:w="1161" w:type="dxa"/>
            <w:tcBorders>
              <w:top w:val="single" w:sz="6" w:space="0" w:color="auto"/>
              <w:left w:val="single" w:sz="6" w:space="0" w:color="auto"/>
              <w:bottom w:val="single" w:sz="6"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$ 27,000 </w:t>
            </w:r>
          </w:p>
        </w:tc>
      </w:tr>
      <w:tr w:rsidR="00512070" w:rsidTr="00512070">
        <w:trPr>
          <w:trHeight w:val="187"/>
        </w:trPr>
        <w:tc>
          <w:tcPr>
            <w:tcW w:w="4270" w:type="dxa"/>
            <w:tcBorders>
              <w:top w:val="single" w:sz="6" w:space="0" w:color="auto"/>
              <w:left w:val="single" w:sz="12" w:space="0" w:color="auto"/>
              <w:bottom w:val="single" w:sz="12" w:space="0" w:color="auto"/>
              <w:right w:val="single" w:sz="6" w:space="0" w:color="auto"/>
            </w:tcBorders>
          </w:tcPr>
          <w:p w:rsidR="00512070" w:rsidRDefault="00512070">
            <w:pPr>
              <w:autoSpaceDE w:val="0"/>
              <w:autoSpaceDN w:val="0"/>
              <w:adjustRightInd w:val="0"/>
              <w:rPr>
                <w:rFonts w:cs="Calibri"/>
                <w:color w:val="000000"/>
                <w:sz w:val="16"/>
                <w:szCs w:val="16"/>
                <w:lang w:bidi="ar-SA"/>
              </w:rPr>
            </w:pPr>
            <w:r>
              <w:rPr>
                <w:rFonts w:cs="Calibri"/>
                <w:color w:val="000000"/>
                <w:sz w:val="16"/>
                <w:szCs w:val="16"/>
                <w:lang w:bidi="ar-SA"/>
              </w:rPr>
              <w:t>Medicaid eligibles</w:t>
            </w:r>
          </w:p>
        </w:tc>
        <w:tc>
          <w:tcPr>
            <w:tcW w:w="1161" w:type="dxa"/>
            <w:tcBorders>
              <w:top w:val="single" w:sz="6" w:space="0" w:color="auto"/>
              <w:left w:val="single" w:sz="6" w:space="0" w:color="auto"/>
              <w:bottom w:val="single" w:sz="12" w:space="0" w:color="auto"/>
              <w:right w:val="single" w:sz="12" w:space="0" w:color="auto"/>
            </w:tcBorders>
          </w:tcPr>
          <w:p w:rsidR="00512070" w:rsidRDefault="00512070">
            <w:pPr>
              <w:autoSpaceDE w:val="0"/>
              <w:autoSpaceDN w:val="0"/>
              <w:adjustRightInd w:val="0"/>
              <w:jc w:val="right"/>
              <w:rPr>
                <w:rFonts w:cs="Calibri"/>
                <w:color w:val="000000"/>
                <w:sz w:val="16"/>
                <w:szCs w:val="16"/>
                <w:lang w:bidi="ar-SA"/>
              </w:rPr>
            </w:pPr>
            <w:r>
              <w:rPr>
                <w:rFonts w:cs="Calibri"/>
                <w:color w:val="000000"/>
                <w:sz w:val="16"/>
                <w:szCs w:val="16"/>
                <w:lang w:bidi="ar-SA"/>
              </w:rPr>
              <w:t xml:space="preserve">$ 43,983 </w:t>
            </w:r>
          </w:p>
        </w:tc>
      </w:tr>
    </w:tbl>
    <w:p w:rsidR="007E52C1" w:rsidRPr="002E7688" w:rsidRDefault="007E52C1" w:rsidP="00EA20FA">
      <w:pPr>
        <w:rPr>
          <w:rFonts w:asciiTheme="minorHAnsi" w:hAnsiTheme="minorHAnsi" w:cs="Arial"/>
          <w:b/>
          <w:bCs/>
          <w:color w:val="FF0000"/>
          <w:szCs w:val="20"/>
        </w:rPr>
      </w:pPr>
      <w:bookmarkStart w:id="15" w:name="Table5"/>
      <w:bookmarkEnd w:id="15"/>
    </w:p>
    <w:p w:rsidR="00344F53" w:rsidRDefault="00344F53" w:rsidP="00344F53">
      <w:pPr>
        <w:rPr>
          <w:rFonts w:asciiTheme="minorHAnsi" w:hAnsiTheme="minorHAnsi" w:cs="Arial"/>
          <w:szCs w:val="20"/>
        </w:rPr>
      </w:pPr>
      <w:r>
        <w:rPr>
          <w:rFonts w:asciiTheme="minorHAnsi" w:hAnsiTheme="minorHAnsi" w:cs="Arial"/>
          <w:szCs w:val="20"/>
        </w:rPr>
        <w:t>Notes regarding this summary:</w:t>
      </w:r>
    </w:p>
    <w:p w:rsidR="00344F53" w:rsidRDefault="00344F53" w:rsidP="00344F53">
      <w:pPr>
        <w:pStyle w:val="ListParagraph"/>
        <w:numPr>
          <w:ilvl w:val="0"/>
          <w:numId w:val="34"/>
        </w:numPr>
        <w:rPr>
          <w:rFonts w:asciiTheme="minorHAnsi" w:hAnsiTheme="minorHAnsi" w:cs="Arial"/>
          <w:szCs w:val="20"/>
        </w:rPr>
      </w:pPr>
      <w:r>
        <w:rPr>
          <w:rFonts w:asciiTheme="minorHAnsi" w:hAnsiTheme="minorHAnsi" w:cs="Arial"/>
          <w:szCs w:val="20"/>
        </w:rPr>
        <w:t>The cost impact of each particular issue cannot always be combined to produce a “total” cost impact because</w:t>
      </w:r>
      <w:r w:rsidRPr="006258BC">
        <w:rPr>
          <w:rFonts w:asciiTheme="minorHAnsi" w:hAnsiTheme="minorHAnsi" w:cs="Arial"/>
          <w:szCs w:val="20"/>
        </w:rPr>
        <w:t xml:space="preserve"> </w:t>
      </w:r>
      <w:r>
        <w:rPr>
          <w:rFonts w:asciiTheme="minorHAnsi" w:hAnsiTheme="minorHAnsi" w:cs="Arial"/>
          <w:szCs w:val="20"/>
        </w:rPr>
        <w:t xml:space="preserve">in some cases there will be overlap in the risk presented by each section of the report.  </w:t>
      </w:r>
    </w:p>
    <w:p w:rsidR="00344F53" w:rsidRDefault="00344F53" w:rsidP="00344F53">
      <w:pPr>
        <w:pStyle w:val="ListParagraph"/>
        <w:numPr>
          <w:ilvl w:val="1"/>
          <w:numId w:val="34"/>
        </w:numPr>
        <w:rPr>
          <w:rFonts w:asciiTheme="minorHAnsi" w:hAnsiTheme="minorHAnsi" w:cs="Arial"/>
          <w:szCs w:val="20"/>
        </w:rPr>
      </w:pPr>
      <w:r>
        <w:rPr>
          <w:rFonts w:asciiTheme="minorHAnsi" w:hAnsiTheme="minorHAnsi" w:cs="Arial"/>
          <w:szCs w:val="20"/>
        </w:rPr>
        <w:t>For example, the estimate of the cost to the employer for newly eligible individuals makes assumptions about how many individuals will be eligible for the plan under new full-time eligibility rules imposed by the ACA.  This estimate is intended to illustrate the potential cost to the employer of enrolling these newly eligible individuals.  On the other hand, the estimate of the employer penalty risk calculates the potential cost to the employer of an employee qualifying for a subsidy.  Newly eligible individuals can</w:t>
      </w:r>
      <w:r w:rsidR="009A33DE">
        <w:rPr>
          <w:rFonts w:asciiTheme="minorHAnsi" w:hAnsiTheme="minorHAnsi" w:cs="Arial"/>
          <w:szCs w:val="20"/>
        </w:rPr>
        <w:t xml:space="preserve"> </w:t>
      </w:r>
      <w:r>
        <w:rPr>
          <w:rFonts w:asciiTheme="minorHAnsi" w:hAnsiTheme="minorHAnsi" w:cs="Arial"/>
          <w:szCs w:val="20"/>
        </w:rPr>
        <w:t xml:space="preserve">also potentially qualify for subsidized coverage. </w:t>
      </w:r>
      <w:r w:rsidR="009A33DE">
        <w:rPr>
          <w:rFonts w:asciiTheme="minorHAnsi" w:hAnsiTheme="minorHAnsi" w:cs="Arial"/>
          <w:szCs w:val="20"/>
        </w:rPr>
        <w:t xml:space="preserve"> </w:t>
      </w:r>
      <w:r>
        <w:rPr>
          <w:rFonts w:asciiTheme="minorHAnsi" w:hAnsiTheme="minorHAnsi" w:cs="Arial"/>
          <w:szCs w:val="20"/>
        </w:rPr>
        <w:t>However, a particular employee will not qualify for a subsidy</w:t>
      </w:r>
      <w:r w:rsidR="009A33DE">
        <w:rPr>
          <w:rFonts w:asciiTheme="minorHAnsi" w:hAnsiTheme="minorHAnsi" w:cs="Arial"/>
          <w:szCs w:val="20"/>
        </w:rPr>
        <w:t xml:space="preserve"> and be </w:t>
      </w:r>
      <w:r>
        <w:rPr>
          <w:rFonts w:asciiTheme="minorHAnsi" w:hAnsiTheme="minorHAnsi" w:cs="Arial"/>
          <w:szCs w:val="20"/>
        </w:rPr>
        <w:t>on the employer plan a</w:t>
      </w:r>
      <w:r w:rsidR="009A33DE">
        <w:rPr>
          <w:rFonts w:asciiTheme="minorHAnsi" w:hAnsiTheme="minorHAnsi" w:cs="Arial"/>
          <w:szCs w:val="20"/>
        </w:rPr>
        <w:t xml:space="preserve">t the same time.  Therefore, </w:t>
      </w:r>
      <w:r>
        <w:rPr>
          <w:rFonts w:asciiTheme="minorHAnsi" w:hAnsiTheme="minorHAnsi" w:cs="Arial"/>
          <w:szCs w:val="20"/>
        </w:rPr>
        <w:t>depending on the demographics of the group</w:t>
      </w:r>
      <w:r w:rsidR="009A33DE">
        <w:rPr>
          <w:rFonts w:asciiTheme="minorHAnsi" w:hAnsiTheme="minorHAnsi" w:cs="Arial"/>
          <w:szCs w:val="20"/>
        </w:rPr>
        <w:t>,</w:t>
      </w:r>
      <w:r>
        <w:rPr>
          <w:rFonts w:asciiTheme="minorHAnsi" w:hAnsiTheme="minorHAnsi" w:cs="Arial"/>
          <w:szCs w:val="20"/>
        </w:rPr>
        <w:t xml:space="preserve"> there could be overlap between these two estimates.</w:t>
      </w:r>
    </w:p>
    <w:p w:rsidR="00344F53" w:rsidRPr="006258BC" w:rsidRDefault="00344F53" w:rsidP="00344F53">
      <w:pPr>
        <w:pStyle w:val="ListParagraph"/>
        <w:numPr>
          <w:ilvl w:val="0"/>
          <w:numId w:val="34"/>
        </w:numPr>
        <w:rPr>
          <w:rFonts w:asciiTheme="minorHAnsi" w:hAnsiTheme="minorHAnsi" w:cs="Arial"/>
          <w:szCs w:val="20"/>
        </w:rPr>
      </w:pPr>
      <w:r>
        <w:rPr>
          <w:rFonts w:asciiTheme="minorHAnsi" w:hAnsiTheme="minorHAnsi" w:cs="Arial"/>
          <w:szCs w:val="20"/>
        </w:rPr>
        <w:t>The change in plan cost illustrated here reflect</w:t>
      </w:r>
      <w:r w:rsidR="009A33DE">
        <w:rPr>
          <w:rFonts w:asciiTheme="minorHAnsi" w:hAnsiTheme="minorHAnsi" w:cs="Arial"/>
          <w:szCs w:val="20"/>
        </w:rPr>
        <w:t>s</w:t>
      </w:r>
      <w:r>
        <w:rPr>
          <w:rFonts w:asciiTheme="minorHAnsi" w:hAnsiTheme="minorHAnsi" w:cs="Arial"/>
          <w:szCs w:val="20"/>
        </w:rPr>
        <w:t xml:space="preserve"> the fact that under the employer current plan</w:t>
      </w:r>
      <w:r w:rsidR="009A33DE">
        <w:rPr>
          <w:rFonts w:asciiTheme="minorHAnsi" w:hAnsiTheme="minorHAnsi" w:cs="Arial"/>
          <w:szCs w:val="20"/>
        </w:rPr>
        <w:t>,</w:t>
      </w:r>
      <w:r>
        <w:rPr>
          <w:rFonts w:asciiTheme="minorHAnsi" w:hAnsiTheme="minorHAnsi" w:cs="Arial"/>
          <w:szCs w:val="20"/>
        </w:rPr>
        <w:t xml:space="preserve"> if an employee leave</w:t>
      </w:r>
      <w:r w:rsidR="009A33DE">
        <w:rPr>
          <w:rFonts w:asciiTheme="minorHAnsi" w:hAnsiTheme="minorHAnsi" w:cs="Arial"/>
          <w:szCs w:val="20"/>
        </w:rPr>
        <w:t>s</w:t>
      </w:r>
      <w:r>
        <w:rPr>
          <w:rFonts w:asciiTheme="minorHAnsi" w:hAnsiTheme="minorHAnsi" w:cs="Arial"/>
          <w:szCs w:val="20"/>
        </w:rPr>
        <w:t xml:space="preserve"> the plan and elects individual subsidized health coverage on the exchange, the employer will no</w:t>
      </w:r>
      <w:r w:rsidR="009A33DE">
        <w:rPr>
          <w:rFonts w:asciiTheme="minorHAnsi" w:hAnsiTheme="minorHAnsi" w:cs="Arial"/>
          <w:szCs w:val="20"/>
        </w:rPr>
        <w:t xml:space="preserve"> longer</w:t>
      </w:r>
      <w:r>
        <w:rPr>
          <w:rFonts w:asciiTheme="minorHAnsi" w:hAnsiTheme="minorHAnsi" w:cs="Arial"/>
          <w:szCs w:val="20"/>
        </w:rPr>
        <w:t xml:space="preserve"> be responsible for current employer contributions for that employee. </w:t>
      </w:r>
      <w:r w:rsidR="00C17203">
        <w:rPr>
          <w:rFonts w:asciiTheme="minorHAnsi" w:hAnsiTheme="minorHAnsi" w:cs="Arial"/>
          <w:szCs w:val="20"/>
        </w:rPr>
        <w:t xml:space="preserve"> </w:t>
      </w:r>
      <w:r>
        <w:rPr>
          <w:rFonts w:asciiTheme="minorHAnsi" w:hAnsiTheme="minorHAnsi" w:cs="Arial"/>
          <w:szCs w:val="20"/>
        </w:rPr>
        <w:t>Thus</w:t>
      </w:r>
      <w:r w:rsidR="009A33DE">
        <w:rPr>
          <w:rFonts w:asciiTheme="minorHAnsi" w:hAnsiTheme="minorHAnsi" w:cs="Arial"/>
          <w:szCs w:val="20"/>
        </w:rPr>
        <w:t>,</w:t>
      </w:r>
      <w:r>
        <w:rPr>
          <w:rFonts w:asciiTheme="minorHAnsi" w:hAnsiTheme="minorHAnsi" w:cs="Arial"/>
          <w:szCs w:val="20"/>
        </w:rPr>
        <w:t xml:space="preserve"> the employer plan cost would go down for each currently covered employee leaving the plan.  This change is reflected in detail in table 3a on page 5.</w:t>
      </w:r>
    </w:p>
    <w:p w:rsidR="00885565" w:rsidRPr="00885565" w:rsidRDefault="00E17B2E" w:rsidP="007E52C1">
      <w:pPr>
        <w:rPr>
          <w:b/>
          <w:sz w:val="28"/>
          <w:szCs w:val="28"/>
          <w:u w:val="single"/>
        </w:rPr>
      </w:pPr>
      <w:r w:rsidRPr="002E7688">
        <w:rPr>
          <w:b/>
          <w:szCs w:val="20"/>
          <w:u w:val="single"/>
        </w:rPr>
        <w:br w:type="page"/>
      </w:r>
      <w:r w:rsidR="00885565" w:rsidRPr="00885565">
        <w:rPr>
          <w:b/>
          <w:sz w:val="28"/>
          <w:szCs w:val="28"/>
          <w:u w:val="single"/>
        </w:rPr>
        <w:lastRenderedPageBreak/>
        <w:t>Employer Penalty for Not Offering Coverage</w:t>
      </w:r>
      <w:r w:rsidR="007E52C1">
        <w:rPr>
          <w:b/>
          <w:sz w:val="28"/>
          <w:szCs w:val="28"/>
          <w:u w:val="single"/>
        </w:rPr>
        <w:t xml:space="preserve"> to All Full</w:t>
      </w:r>
      <w:r w:rsidR="00C17203">
        <w:rPr>
          <w:b/>
          <w:sz w:val="28"/>
          <w:szCs w:val="28"/>
          <w:u w:val="single"/>
        </w:rPr>
        <w:t>-</w:t>
      </w:r>
      <w:r w:rsidR="007E52C1">
        <w:rPr>
          <w:b/>
          <w:sz w:val="28"/>
          <w:szCs w:val="28"/>
          <w:u w:val="single"/>
        </w:rPr>
        <w:t>Time Employees</w:t>
      </w:r>
    </w:p>
    <w:p w:rsidR="00885565" w:rsidRPr="000738D3" w:rsidRDefault="00885565" w:rsidP="00885565">
      <w:pPr>
        <w:pStyle w:val="NoSpacing"/>
        <w:rPr>
          <w:szCs w:val="20"/>
        </w:rPr>
      </w:pPr>
    </w:p>
    <w:p w:rsidR="00E17B2E" w:rsidRPr="00E17B2E" w:rsidRDefault="00885565" w:rsidP="00885565">
      <w:pPr>
        <w:pStyle w:val="NoSpacing"/>
        <w:rPr>
          <w:szCs w:val="20"/>
        </w:rPr>
      </w:pPr>
      <w:r w:rsidRPr="00E17B2E">
        <w:rPr>
          <w:szCs w:val="20"/>
        </w:rPr>
        <w:t xml:space="preserve">Applicable large employers who do not offer minimum essential coverage to all full-time employees are required to pay a penalty </w:t>
      </w:r>
      <w:r w:rsidR="00E17B2E" w:rsidRPr="00E17B2E">
        <w:rPr>
          <w:szCs w:val="20"/>
        </w:rPr>
        <w:t xml:space="preserve">of </w:t>
      </w:r>
      <w:r w:rsidRPr="00E17B2E">
        <w:rPr>
          <w:szCs w:val="20"/>
        </w:rPr>
        <w:t xml:space="preserve">$166.67 per month </w:t>
      </w:r>
      <w:r w:rsidR="00E32395">
        <w:rPr>
          <w:szCs w:val="20"/>
        </w:rPr>
        <w:t xml:space="preserve">($2000 per year) </w:t>
      </w:r>
      <w:r w:rsidR="003608D0">
        <w:rPr>
          <w:szCs w:val="20"/>
        </w:rPr>
        <w:t xml:space="preserve">times the number of </w:t>
      </w:r>
      <w:r w:rsidR="00E17B2E" w:rsidRPr="00E17B2E">
        <w:rPr>
          <w:szCs w:val="20"/>
        </w:rPr>
        <w:t xml:space="preserve">all </w:t>
      </w:r>
      <w:r w:rsidRPr="00E17B2E">
        <w:rPr>
          <w:szCs w:val="20"/>
        </w:rPr>
        <w:t>full-time employee</w:t>
      </w:r>
      <w:r w:rsidR="00E17B2E" w:rsidRPr="00E17B2E">
        <w:rPr>
          <w:szCs w:val="20"/>
        </w:rPr>
        <w:t>s (</w:t>
      </w:r>
      <w:r w:rsidRPr="00E17B2E">
        <w:rPr>
          <w:szCs w:val="20"/>
        </w:rPr>
        <w:t xml:space="preserve">not </w:t>
      </w:r>
      <w:r w:rsidR="00E17B2E" w:rsidRPr="00E17B2E">
        <w:rPr>
          <w:szCs w:val="20"/>
        </w:rPr>
        <w:t xml:space="preserve">counting </w:t>
      </w:r>
      <w:r w:rsidRPr="00E17B2E">
        <w:rPr>
          <w:szCs w:val="20"/>
        </w:rPr>
        <w:t xml:space="preserve">the first 30 </w:t>
      </w:r>
      <w:r w:rsidR="00E17B2E" w:rsidRPr="00E17B2E">
        <w:rPr>
          <w:szCs w:val="20"/>
        </w:rPr>
        <w:t>FTEs)</w:t>
      </w:r>
      <w:r w:rsidRPr="00E17B2E">
        <w:rPr>
          <w:szCs w:val="20"/>
        </w:rPr>
        <w:t xml:space="preserve">.  </w:t>
      </w:r>
    </w:p>
    <w:p w:rsidR="00885565" w:rsidRDefault="00E17B2E" w:rsidP="00885565">
      <w:pPr>
        <w:pStyle w:val="NoSpacing"/>
        <w:rPr>
          <w:szCs w:val="20"/>
        </w:rPr>
      </w:pPr>
      <w:r w:rsidRPr="00E17B2E">
        <w:rPr>
          <w:szCs w:val="20"/>
        </w:rPr>
        <w:t xml:space="preserve">Many employers </w:t>
      </w:r>
      <w:r w:rsidR="00885565" w:rsidRPr="00E17B2E">
        <w:rPr>
          <w:szCs w:val="20"/>
        </w:rPr>
        <w:t>recognize that if they stop offering health benefits</w:t>
      </w:r>
      <w:r w:rsidR="00264B4F">
        <w:rPr>
          <w:szCs w:val="20"/>
        </w:rPr>
        <w:t xml:space="preserve"> to currently eligible employees</w:t>
      </w:r>
      <w:r w:rsidR="00C17203">
        <w:rPr>
          <w:szCs w:val="20"/>
        </w:rPr>
        <w:t>,</w:t>
      </w:r>
      <w:r w:rsidR="00264B4F">
        <w:rPr>
          <w:szCs w:val="20"/>
        </w:rPr>
        <w:t xml:space="preserve"> th</w:t>
      </w:r>
      <w:r w:rsidR="00C17203">
        <w:rPr>
          <w:szCs w:val="20"/>
        </w:rPr>
        <w:t>ose employees</w:t>
      </w:r>
      <w:r w:rsidR="00264B4F">
        <w:rPr>
          <w:szCs w:val="20"/>
        </w:rPr>
        <w:t xml:space="preserve"> may expect</w:t>
      </w:r>
      <w:r w:rsidR="005D4A1A">
        <w:rPr>
          <w:szCs w:val="20"/>
        </w:rPr>
        <w:t xml:space="preserve"> </w:t>
      </w:r>
      <w:r w:rsidR="00885565" w:rsidRPr="00E17B2E">
        <w:rPr>
          <w:szCs w:val="20"/>
        </w:rPr>
        <w:t xml:space="preserve">some increase in compensation to make up for the loss of the benefit.  </w:t>
      </w:r>
      <w:r w:rsidRPr="00E17B2E">
        <w:rPr>
          <w:szCs w:val="20"/>
        </w:rPr>
        <w:t>This analysis considers the total cost of dropping employer</w:t>
      </w:r>
      <w:r w:rsidR="004F3E1A">
        <w:rPr>
          <w:szCs w:val="20"/>
        </w:rPr>
        <w:t>-</w:t>
      </w:r>
      <w:r w:rsidRPr="00E17B2E">
        <w:rPr>
          <w:szCs w:val="20"/>
        </w:rPr>
        <w:t>sponsored health insurance</w:t>
      </w:r>
      <w:r w:rsidR="004F3E1A">
        <w:rPr>
          <w:szCs w:val="20"/>
        </w:rPr>
        <w:t>,</w:t>
      </w:r>
      <w:r w:rsidRPr="00E17B2E">
        <w:rPr>
          <w:szCs w:val="20"/>
        </w:rPr>
        <w:t xml:space="preserve"> taking into account the following factors:</w:t>
      </w:r>
    </w:p>
    <w:p w:rsidR="00344F53" w:rsidRDefault="00344F53" w:rsidP="00885565">
      <w:pPr>
        <w:pStyle w:val="NoSpacing"/>
        <w:rPr>
          <w:szCs w:val="20"/>
        </w:rPr>
      </w:pPr>
    </w:p>
    <w:p w:rsidR="00344F53" w:rsidRPr="00E17B2E" w:rsidRDefault="00344F53" w:rsidP="00344F53">
      <w:pPr>
        <w:pStyle w:val="NoSpacing"/>
        <w:numPr>
          <w:ilvl w:val="0"/>
          <w:numId w:val="27"/>
        </w:numPr>
        <w:rPr>
          <w:szCs w:val="20"/>
        </w:rPr>
      </w:pPr>
      <w:r w:rsidRPr="00264B4F">
        <w:rPr>
          <w:b/>
          <w:szCs w:val="20"/>
        </w:rPr>
        <w:t>The total employer penalty</w:t>
      </w:r>
      <w:r w:rsidRPr="00E17B2E">
        <w:rPr>
          <w:szCs w:val="20"/>
        </w:rPr>
        <w:t xml:space="preserve"> </w:t>
      </w:r>
      <w:r>
        <w:rPr>
          <w:szCs w:val="20"/>
        </w:rPr>
        <w:t>- Calculated based on all current full</w:t>
      </w:r>
      <w:r w:rsidR="004F3E1A">
        <w:rPr>
          <w:szCs w:val="20"/>
        </w:rPr>
        <w:t>-</w:t>
      </w:r>
      <w:r>
        <w:rPr>
          <w:szCs w:val="20"/>
        </w:rPr>
        <w:t>time employees whether they are eligible for coverage or not (not counting the first 30).</w:t>
      </w:r>
    </w:p>
    <w:p w:rsidR="00344F53" w:rsidRDefault="00344F53" w:rsidP="00344F53">
      <w:pPr>
        <w:pStyle w:val="NoSpacing"/>
        <w:numPr>
          <w:ilvl w:val="0"/>
          <w:numId w:val="27"/>
        </w:numPr>
        <w:rPr>
          <w:szCs w:val="20"/>
        </w:rPr>
      </w:pPr>
      <w:r w:rsidRPr="00264B4F">
        <w:rPr>
          <w:b/>
          <w:szCs w:val="20"/>
        </w:rPr>
        <w:t>The cost of additional compensation provided to employees</w:t>
      </w:r>
      <w:r w:rsidRPr="00E17B2E">
        <w:rPr>
          <w:szCs w:val="20"/>
        </w:rPr>
        <w:t xml:space="preserve">. </w:t>
      </w:r>
      <w:r w:rsidR="009A33DE">
        <w:rPr>
          <w:szCs w:val="20"/>
        </w:rPr>
        <w:t xml:space="preserve"> </w:t>
      </w:r>
      <w:r>
        <w:rPr>
          <w:szCs w:val="20"/>
        </w:rPr>
        <w:t>T</w:t>
      </w:r>
      <w:r w:rsidRPr="00E17B2E">
        <w:rPr>
          <w:szCs w:val="20"/>
        </w:rPr>
        <w:t>h</w:t>
      </w:r>
      <w:r>
        <w:rPr>
          <w:szCs w:val="20"/>
        </w:rPr>
        <w:t xml:space="preserve">e </w:t>
      </w:r>
      <w:r w:rsidR="009A33DE">
        <w:rPr>
          <w:szCs w:val="20"/>
        </w:rPr>
        <w:t xml:space="preserve">report </w:t>
      </w:r>
      <w:r w:rsidRPr="00E17B2E">
        <w:rPr>
          <w:szCs w:val="20"/>
        </w:rPr>
        <w:t>assume</w:t>
      </w:r>
      <w:r w:rsidR="009A33DE">
        <w:rPr>
          <w:szCs w:val="20"/>
        </w:rPr>
        <w:t>s</w:t>
      </w:r>
      <w:r w:rsidRPr="00E17B2E">
        <w:rPr>
          <w:szCs w:val="20"/>
        </w:rPr>
        <w:t xml:space="preserve"> the employer will provide additio</w:t>
      </w:r>
      <w:r>
        <w:rPr>
          <w:szCs w:val="20"/>
        </w:rPr>
        <w:t xml:space="preserve">nal employee compensation in lieu of </w:t>
      </w:r>
      <w:r w:rsidRPr="00E17B2E">
        <w:rPr>
          <w:szCs w:val="20"/>
        </w:rPr>
        <w:t>offering health benefits</w:t>
      </w:r>
      <w:r w:rsidR="009A33DE">
        <w:rPr>
          <w:szCs w:val="20"/>
        </w:rPr>
        <w:t>.  The amount</w:t>
      </w:r>
      <w:r w:rsidRPr="00E17B2E">
        <w:rPr>
          <w:szCs w:val="20"/>
        </w:rPr>
        <w:t xml:space="preserve"> </w:t>
      </w:r>
      <w:r>
        <w:rPr>
          <w:szCs w:val="20"/>
        </w:rPr>
        <w:t>is expressed as</w:t>
      </w:r>
      <w:r w:rsidR="009A33DE">
        <w:rPr>
          <w:szCs w:val="20"/>
        </w:rPr>
        <w:t xml:space="preserve"> a percentage</w:t>
      </w:r>
      <w:r>
        <w:rPr>
          <w:szCs w:val="20"/>
        </w:rPr>
        <w:t xml:space="preserve"> of the total the employer spends on </w:t>
      </w:r>
      <w:r w:rsidR="000939CA">
        <w:rPr>
          <w:szCs w:val="20"/>
        </w:rPr>
        <w:t>health</w:t>
      </w:r>
      <w:r>
        <w:rPr>
          <w:szCs w:val="20"/>
        </w:rPr>
        <w:t xml:space="preserve"> insurance.  The </w:t>
      </w:r>
      <w:r w:rsidR="00521617">
        <w:rPr>
          <w:szCs w:val="20"/>
        </w:rPr>
        <w:t>report default assumes income equal to 75% of what the employer currently spends on health insurance.</w:t>
      </w:r>
      <w:r w:rsidR="004F3E1A">
        <w:rPr>
          <w:szCs w:val="20"/>
        </w:rPr>
        <w:t xml:space="preserve"> </w:t>
      </w:r>
      <w:r w:rsidR="00521617">
        <w:rPr>
          <w:szCs w:val="20"/>
        </w:rPr>
        <w:t xml:space="preserve"> </w:t>
      </w:r>
      <w:r w:rsidR="00393836">
        <w:rPr>
          <w:szCs w:val="20"/>
        </w:rPr>
        <w:t>This assumption can be changed on a report</w:t>
      </w:r>
      <w:r w:rsidR="004F3E1A">
        <w:rPr>
          <w:szCs w:val="20"/>
        </w:rPr>
        <w:t>-</w:t>
      </w:r>
      <w:r w:rsidR="00393836">
        <w:rPr>
          <w:szCs w:val="20"/>
        </w:rPr>
        <w:t>specific basis.</w:t>
      </w:r>
      <w:r>
        <w:rPr>
          <w:szCs w:val="20"/>
        </w:rPr>
        <w:t xml:space="preserve">  </w:t>
      </w:r>
    </w:p>
    <w:p w:rsidR="00344F53" w:rsidRDefault="00344F53" w:rsidP="00344F53">
      <w:pPr>
        <w:pStyle w:val="NoSpacing"/>
        <w:numPr>
          <w:ilvl w:val="0"/>
          <w:numId w:val="27"/>
        </w:numPr>
        <w:rPr>
          <w:szCs w:val="20"/>
        </w:rPr>
      </w:pPr>
      <w:r w:rsidRPr="00264B4F">
        <w:rPr>
          <w:b/>
          <w:szCs w:val="20"/>
        </w:rPr>
        <w:t xml:space="preserve">Additional employer payroll tax </w:t>
      </w:r>
      <w:r w:rsidR="009A33DE" w:rsidRPr="00264B4F">
        <w:rPr>
          <w:b/>
          <w:szCs w:val="20"/>
        </w:rPr>
        <w:t>liability</w:t>
      </w:r>
      <w:r w:rsidR="009A33DE">
        <w:rPr>
          <w:szCs w:val="20"/>
        </w:rPr>
        <w:t xml:space="preserve"> - Calculated</w:t>
      </w:r>
      <w:r>
        <w:rPr>
          <w:szCs w:val="20"/>
        </w:rPr>
        <w:t xml:space="preserve"> </w:t>
      </w:r>
      <w:r w:rsidR="009A33DE">
        <w:rPr>
          <w:szCs w:val="20"/>
        </w:rPr>
        <w:t xml:space="preserve">based on </w:t>
      </w:r>
      <w:r>
        <w:rPr>
          <w:szCs w:val="20"/>
        </w:rPr>
        <w:t xml:space="preserve">a </w:t>
      </w:r>
      <w:r w:rsidR="009A33DE">
        <w:rPr>
          <w:szCs w:val="20"/>
        </w:rPr>
        <w:t>percentage</w:t>
      </w:r>
      <w:r>
        <w:rPr>
          <w:szCs w:val="20"/>
        </w:rPr>
        <w:t xml:space="preserve"> of any additional compensation provided to employees. </w:t>
      </w:r>
      <w:r w:rsidR="009A33DE">
        <w:rPr>
          <w:szCs w:val="20"/>
        </w:rPr>
        <w:t xml:space="preserve"> </w:t>
      </w:r>
      <w:r>
        <w:rPr>
          <w:szCs w:val="20"/>
        </w:rPr>
        <w:t>The report uses 7% to estimate the employer payroll tax liability since some</w:t>
      </w:r>
      <w:r w:rsidR="004A4950">
        <w:rPr>
          <w:szCs w:val="20"/>
        </w:rPr>
        <w:t xml:space="preserve"> employees </w:t>
      </w:r>
      <w:r>
        <w:rPr>
          <w:szCs w:val="20"/>
        </w:rPr>
        <w:t>will exceed the social security portion of the payroll tax.</w:t>
      </w:r>
    </w:p>
    <w:p w:rsidR="00344F53" w:rsidRPr="00E17B2E" w:rsidRDefault="00344F53" w:rsidP="00344F53">
      <w:pPr>
        <w:pStyle w:val="NoSpacing"/>
        <w:numPr>
          <w:ilvl w:val="0"/>
          <w:numId w:val="27"/>
        </w:numPr>
        <w:rPr>
          <w:szCs w:val="20"/>
        </w:rPr>
      </w:pPr>
      <w:r w:rsidRPr="00DF37F3">
        <w:rPr>
          <w:b/>
          <w:szCs w:val="20"/>
        </w:rPr>
        <w:t>Corporate tax impact</w:t>
      </w:r>
      <w:r w:rsidR="009A33DE">
        <w:rPr>
          <w:szCs w:val="20"/>
        </w:rPr>
        <w:t xml:space="preserve"> - </w:t>
      </w:r>
      <w:r>
        <w:rPr>
          <w:szCs w:val="20"/>
        </w:rPr>
        <w:t>The employer penalty is not tax</w:t>
      </w:r>
      <w:r w:rsidR="004F3E1A">
        <w:rPr>
          <w:szCs w:val="20"/>
        </w:rPr>
        <w:t>-</w:t>
      </w:r>
      <w:r>
        <w:rPr>
          <w:szCs w:val="20"/>
        </w:rPr>
        <w:t xml:space="preserve">deductible </w:t>
      </w:r>
      <w:r w:rsidR="004F3E1A">
        <w:rPr>
          <w:szCs w:val="20"/>
        </w:rPr>
        <w:t>for</w:t>
      </w:r>
      <w:r>
        <w:rPr>
          <w:szCs w:val="20"/>
        </w:rPr>
        <w:t xml:space="preserve"> the employer. </w:t>
      </w:r>
      <w:r w:rsidR="009A33DE">
        <w:rPr>
          <w:szCs w:val="20"/>
        </w:rPr>
        <w:t xml:space="preserve"> </w:t>
      </w:r>
      <w:r>
        <w:rPr>
          <w:szCs w:val="20"/>
        </w:rPr>
        <w:t xml:space="preserve">The report illustrates a financial impact </w:t>
      </w:r>
      <w:r w:rsidR="009A33DE">
        <w:rPr>
          <w:szCs w:val="20"/>
        </w:rPr>
        <w:t>t</w:t>
      </w:r>
      <w:r>
        <w:rPr>
          <w:szCs w:val="20"/>
        </w:rPr>
        <w:t>o the employer based on an assumed corporate tax rate</w:t>
      </w:r>
      <w:r w:rsidR="00521617">
        <w:rPr>
          <w:szCs w:val="20"/>
        </w:rPr>
        <w:t>.  The report default assumes a corporate tax rate of 15%</w:t>
      </w:r>
      <w:r>
        <w:rPr>
          <w:szCs w:val="20"/>
        </w:rPr>
        <w:t xml:space="preserve">. </w:t>
      </w:r>
      <w:r w:rsidR="00393836">
        <w:rPr>
          <w:szCs w:val="20"/>
        </w:rPr>
        <w:t xml:space="preserve"> This assumption can be changed on a report</w:t>
      </w:r>
      <w:r w:rsidR="004F3E1A">
        <w:rPr>
          <w:szCs w:val="20"/>
        </w:rPr>
        <w:t>-</w:t>
      </w:r>
      <w:r w:rsidR="00393836">
        <w:rPr>
          <w:szCs w:val="20"/>
        </w:rPr>
        <w:t xml:space="preserve">specific basis.  </w:t>
      </w:r>
    </w:p>
    <w:p w:rsidR="00131C87" w:rsidRPr="002E7688" w:rsidRDefault="00131C87" w:rsidP="00885565">
      <w:pPr>
        <w:pStyle w:val="NoSpacing"/>
        <w:rPr>
          <w:szCs w:val="20"/>
        </w:rPr>
      </w:pPr>
    </w:p>
    <w:p w:rsidR="00885565" w:rsidRDefault="007E52C1" w:rsidP="00885565">
      <w:pPr>
        <w:pStyle w:val="NoSpacing"/>
        <w:rPr>
          <w:szCs w:val="20"/>
        </w:rPr>
      </w:pPr>
      <w:r>
        <w:rPr>
          <w:szCs w:val="20"/>
        </w:rPr>
        <w:t>Chart</w:t>
      </w:r>
      <w:r w:rsidR="008F52A2">
        <w:rPr>
          <w:szCs w:val="20"/>
        </w:rPr>
        <w:t xml:space="preserve"> </w:t>
      </w:r>
      <w:r>
        <w:rPr>
          <w:szCs w:val="20"/>
        </w:rPr>
        <w:t>6</w:t>
      </w:r>
    </w:p>
    <w:p w:rsidR="0052390D" w:rsidRDefault="0052390D" w:rsidP="00885565">
      <w:pPr>
        <w:pStyle w:val="NoSpacing"/>
        <w:rPr>
          <w:szCs w:val="20"/>
        </w:rPr>
      </w:pPr>
      <w:r w:rsidRPr="0052390D">
        <w:rPr>
          <w:noProof/>
          <w:szCs w:val="20"/>
          <w:lang w:bidi="ar-SA"/>
        </w:rPr>
        <w:drawing>
          <wp:inline distT="0" distB="0" distL="0" distR="0">
            <wp:extent cx="5019259" cy="3230218"/>
            <wp:effectExtent l="0" t="19050" r="67091" b="65432"/>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E52C1" w:rsidRDefault="007E52C1" w:rsidP="00885565">
      <w:pPr>
        <w:pStyle w:val="NoSpacing"/>
        <w:rPr>
          <w:szCs w:val="20"/>
        </w:rPr>
      </w:pPr>
      <w:bookmarkStart w:id="16" w:name="Chart6"/>
      <w:bookmarkEnd w:id="16"/>
    </w:p>
    <w:p w:rsidR="007E52C1" w:rsidRDefault="007E52C1" w:rsidP="00885565">
      <w:pPr>
        <w:pStyle w:val="NoSpacing"/>
        <w:rPr>
          <w:szCs w:val="20"/>
        </w:rPr>
      </w:pPr>
      <w:r>
        <w:rPr>
          <w:szCs w:val="20"/>
        </w:rPr>
        <w:t>Table</w:t>
      </w:r>
      <w:r w:rsidR="008F52A2">
        <w:rPr>
          <w:szCs w:val="20"/>
        </w:rPr>
        <w:t xml:space="preserve"> </w:t>
      </w:r>
      <w:r>
        <w:rPr>
          <w:szCs w:val="20"/>
        </w:rPr>
        <w:t>6</w:t>
      </w:r>
    </w:p>
    <w:tbl>
      <w:tblPr>
        <w:tblW w:w="7580" w:type="dxa"/>
        <w:tblInd w:w="98" w:type="dxa"/>
        <w:tblLook w:val="04A0" w:firstRow="1" w:lastRow="0" w:firstColumn="1" w:lastColumn="0" w:noHBand="0" w:noVBand="1"/>
      </w:tblPr>
      <w:tblGrid>
        <w:gridCol w:w="4900"/>
        <w:gridCol w:w="1340"/>
        <w:gridCol w:w="1340"/>
      </w:tblGrid>
      <w:tr w:rsidR="0052390D" w:rsidRPr="0052390D" w:rsidTr="0052390D">
        <w:trPr>
          <w:trHeight w:val="240"/>
        </w:trPr>
        <w:tc>
          <w:tcPr>
            <w:tcW w:w="4900" w:type="dxa"/>
            <w:tcBorders>
              <w:top w:val="single" w:sz="8" w:space="0" w:color="auto"/>
              <w:left w:val="single" w:sz="8" w:space="0" w:color="auto"/>
              <w:bottom w:val="single" w:sz="4" w:space="0" w:color="auto"/>
              <w:right w:val="single" w:sz="4" w:space="0" w:color="auto"/>
            </w:tcBorders>
            <w:shd w:val="clear" w:color="000000" w:fill="D8D8D8"/>
            <w:noWrap/>
            <w:vAlign w:val="bottom"/>
            <w:hideMark/>
          </w:tcPr>
          <w:p w:rsidR="0052390D" w:rsidRPr="0052390D" w:rsidRDefault="0052390D" w:rsidP="004F3E1A">
            <w:pPr>
              <w:rPr>
                <w:rFonts w:eastAsia="Times New Roman"/>
                <w:b/>
                <w:bCs/>
                <w:color w:val="000000"/>
                <w:sz w:val="16"/>
                <w:szCs w:val="16"/>
                <w:lang w:bidi="ar-SA"/>
              </w:rPr>
            </w:pPr>
            <w:bookmarkStart w:id="17" w:name="RANGE!B201:D206"/>
            <w:r w:rsidRPr="0052390D">
              <w:rPr>
                <w:rFonts w:eastAsia="Times New Roman"/>
                <w:b/>
                <w:bCs/>
                <w:color w:val="000000"/>
                <w:sz w:val="16"/>
                <w:szCs w:val="16"/>
                <w:lang w:bidi="ar-SA"/>
              </w:rPr>
              <w:t>Cost Impact of Not Offering Coverage to All Full</w:t>
            </w:r>
            <w:r w:rsidR="004F3E1A">
              <w:rPr>
                <w:rFonts w:eastAsia="Times New Roman"/>
                <w:b/>
                <w:bCs/>
                <w:color w:val="000000"/>
                <w:sz w:val="16"/>
                <w:szCs w:val="16"/>
                <w:lang w:bidi="ar-SA"/>
              </w:rPr>
              <w:t>-</w:t>
            </w:r>
            <w:r w:rsidRPr="0052390D">
              <w:rPr>
                <w:rFonts w:eastAsia="Times New Roman"/>
                <w:b/>
                <w:bCs/>
                <w:color w:val="000000"/>
                <w:sz w:val="16"/>
                <w:szCs w:val="16"/>
                <w:lang w:bidi="ar-SA"/>
              </w:rPr>
              <w:t>Time Employees</w:t>
            </w:r>
            <w:bookmarkEnd w:id="17"/>
          </w:p>
        </w:tc>
        <w:tc>
          <w:tcPr>
            <w:tcW w:w="1340" w:type="dxa"/>
            <w:tcBorders>
              <w:top w:val="single" w:sz="8" w:space="0" w:color="auto"/>
              <w:left w:val="nil"/>
              <w:bottom w:val="single" w:sz="4" w:space="0" w:color="auto"/>
              <w:right w:val="single" w:sz="4" w:space="0" w:color="auto"/>
            </w:tcBorders>
            <w:shd w:val="clear" w:color="000000" w:fill="D8D8D8"/>
            <w:noWrap/>
            <w:vAlign w:val="bottom"/>
            <w:hideMark/>
          </w:tcPr>
          <w:p w:rsidR="0052390D" w:rsidRPr="0052390D" w:rsidRDefault="0052390D" w:rsidP="0052390D">
            <w:pPr>
              <w:rPr>
                <w:rFonts w:eastAsia="Times New Roman"/>
                <w:b/>
                <w:bCs/>
                <w:color w:val="000000"/>
                <w:sz w:val="16"/>
                <w:szCs w:val="16"/>
                <w:lang w:bidi="ar-SA"/>
              </w:rPr>
            </w:pPr>
            <w:r w:rsidRPr="0052390D">
              <w:rPr>
                <w:rFonts w:eastAsia="Times New Roman"/>
                <w:b/>
                <w:bCs/>
                <w:color w:val="000000"/>
                <w:sz w:val="16"/>
                <w:szCs w:val="16"/>
                <w:lang w:bidi="ar-SA"/>
              </w:rPr>
              <w:t>Current</w:t>
            </w:r>
          </w:p>
        </w:tc>
        <w:tc>
          <w:tcPr>
            <w:tcW w:w="1340" w:type="dxa"/>
            <w:tcBorders>
              <w:top w:val="single" w:sz="8" w:space="0" w:color="auto"/>
              <w:left w:val="nil"/>
              <w:bottom w:val="single" w:sz="4" w:space="0" w:color="auto"/>
              <w:right w:val="single" w:sz="8" w:space="0" w:color="auto"/>
            </w:tcBorders>
            <w:shd w:val="clear" w:color="000000" w:fill="D8D8D8"/>
            <w:vAlign w:val="bottom"/>
            <w:hideMark/>
          </w:tcPr>
          <w:p w:rsidR="0052390D" w:rsidRPr="0052390D" w:rsidRDefault="0052390D" w:rsidP="0052390D">
            <w:pPr>
              <w:rPr>
                <w:rFonts w:eastAsia="Times New Roman"/>
                <w:b/>
                <w:bCs/>
                <w:color w:val="000000"/>
                <w:sz w:val="16"/>
                <w:szCs w:val="16"/>
                <w:lang w:bidi="ar-SA"/>
              </w:rPr>
            </w:pPr>
            <w:r w:rsidRPr="0052390D">
              <w:rPr>
                <w:rFonts w:eastAsia="Times New Roman"/>
                <w:b/>
                <w:bCs/>
                <w:color w:val="000000"/>
                <w:sz w:val="16"/>
                <w:szCs w:val="16"/>
                <w:lang w:bidi="ar-SA"/>
              </w:rPr>
              <w:t>Impact</w:t>
            </w:r>
          </w:p>
        </w:tc>
      </w:tr>
      <w:tr w:rsidR="0052390D" w:rsidRPr="0052390D" w:rsidTr="0052390D">
        <w:trPr>
          <w:trHeight w:val="24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52390D" w:rsidRPr="0052390D" w:rsidRDefault="0052390D" w:rsidP="0052390D">
            <w:pPr>
              <w:rPr>
                <w:rFonts w:eastAsia="Times New Roman"/>
                <w:color w:val="000000"/>
                <w:sz w:val="16"/>
                <w:szCs w:val="16"/>
                <w:lang w:bidi="ar-SA"/>
              </w:rPr>
            </w:pPr>
            <w:r w:rsidRPr="0052390D">
              <w:rPr>
                <w:rFonts w:eastAsia="Times New Roman"/>
                <w:color w:val="000000"/>
                <w:sz w:val="16"/>
                <w:szCs w:val="16"/>
                <w:lang w:bidi="ar-SA"/>
              </w:rPr>
              <w:t xml:space="preserve">Employer </w:t>
            </w:r>
            <w:r w:rsidR="004F3E1A">
              <w:rPr>
                <w:rFonts w:eastAsia="Times New Roman"/>
                <w:color w:val="000000"/>
                <w:sz w:val="16"/>
                <w:szCs w:val="16"/>
                <w:lang w:bidi="ar-SA"/>
              </w:rPr>
              <w:t>c</w:t>
            </w:r>
            <w:r w:rsidRPr="0052390D">
              <w:rPr>
                <w:rFonts w:eastAsia="Times New Roman"/>
                <w:color w:val="000000"/>
                <w:sz w:val="16"/>
                <w:szCs w:val="16"/>
                <w:lang w:bidi="ar-SA"/>
              </w:rPr>
              <w:t>ost</w:t>
            </w:r>
          </w:p>
        </w:tc>
        <w:tc>
          <w:tcPr>
            <w:tcW w:w="1340" w:type="dxa"/>
            <w:tcBorders>
              <w:top w:val="nil"/>
              <w:left w:val="nil"/>
              <w:bottom w:val="single" w:sz="4" w:space="0" w:color="auto"/>
              <w:right w:val="single" w:sz="4" w:space="0" w:color="auto"/>
            </w:tcBorders>
            <w:shd w:val="clear" w:color="auto" w:fill="auto"/>
            <w:vAlign w:val="bottom"/>
            <w:hideMark/>
          </w:tcPr>
          <w:p w:rsidR="0052390D" w:rsidRPr="0052390D" w:rsidRDefault="0052390D" w:rsidP="0052390D">
            <w:pPr>
              <w:jc w:val="right"/>
              <w:rPr>
                <w:rFonts w:eastAsia="Times New Roman"/>
                <w:color w:val="000000"/>
                <w:sz w:val="16"/>
                <w:szCs w:val="16"/>
                <w:lang w:bidi="ar-SA"/>
              </w:rPr>
            </w:pPr>
            <w:r w:rsidRPr="0052390D">
              <w:rPr>
                <w:rFonts w:eastAsia="Times New Roman"/>
                <w:color w:val="000000"/>
                <w:sz w:val="16"/>
                <w:szCs w:val="16"/>
                <w:lang w:bidi="ar-SA"/>
              </w:rPr>
              <w:t xml:space="preserve">$ 1,062,599 </w:t>
            </w:r>
          </w:p>
        </w:tc>
        <w:tc>
          <w:tcPr>
            <w:tcW w:w="1340" w:type="dxa"/>
            <w:tcBorders>
              <w:top w:val="nil"/>
              <w:left w:val="nil"/>
              <w:bottom w:val="single" w:sz="4" w:space="0" w:color="auto"/>
              <w:right w:val="single" w:sz="8" w:space="0" w:color="auto"/>
            </w:tcBorders>
            <w:shd w:val="clear" w:color="auto" w:fill="auto"/>
            <w:vAlign w:val="bottom"/>
            <w:hideMark/>
          </w:tcPr>
          <w:p w:rsidR="0052390D" w:rsidRPr="0052390D" w:rsidRDefault="0052390D" w:rsidP="0052390D">
            <w:pPr>
              <w:jc w:val="right"/>
              <w:rPr>
                <w:rFonts w:eastAsia="Times New Roman"/>
                <w:color w:val="000000"/>
                <w:sz w:val="16"/>
                <w:szCs w:val="16"/>
                <w:lang w:bidi="ar-SA"/>
              </w:rPr>
            </w:pPr>
            <w:r w:rsidRPr="0052390D">
              <w:rPr>
                <w:rFonts w:eastAsia="Times New Roman"/>
                <w:color w:val="000000"/>
                <w:sz w:val="16"/>
                <w:szCs w:val="16"/>
                <w:lang w:bidi="ar-SA"/>
              </w:rPr>
              <w:t>$ 1,840,781.10</w:t>
            </w:r>
          </w:p>
        </w:tc>
      </w:tr>
      <w:tr w:rsidR="0052390D" w:rsidRPr="0052390D" w:rsidTr="0052390D">
        <w:trPr>
          <w:trHeight w:val="24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52390D" w:rsidRPr="0052390D" w:rsidRDefault="0052390D" w:rsidP="0052390D">
            <w:pPr>
              <w:rPr>
                <w:rFonts w:eastAsia="Times New Roman"/>
                <w:color w:val="000000"/>
                <w:sz w:val="16"/>
                <w:szCs w:val="16"/>
                <w:lang w:bidi="ar-SA"/>
              </w:rPr>
            </w:pPr>
            <w:r w:rsidRPr="0052390D">
              <w:rPr>
                <w:rFonts w:eastAsia="Times New Roman"/>
                <w:color w:val="000000"/>
                <w:sz w:val="16"/>
                <w:szCs w:val="16"/>
                <w:lang w:bidi="ar-SA"/>
              </w:rPr>
              <w:t xml:space="preserve">Employer </w:t>
            </w:r>
            <w:r w:rsidR="004F3E1A">
              <w:rPr>
                <w:rFonts w:eastAsia="Times New Roman"/>
                <w:color w:val="000000"/>
                <w:sz w:val="16"/>
                <w:szCs w:val="16"/>
                <w:lang w:bidi="ar-SA"/>
              </w:rPr>
              <w:t>p</w:t>
            </w:r>
            <w:r w:rsidRPr="0052390D">
              <w:rPr>
                <w:rFonts w:eastAsia="Times New Roman"/>
                <w:color w:val="000000"/>
                <w:sz w:val="16"/>
                <w:szCs w:val="16"/>
                <w:lang w:bidi="ar-SA"/>
              </w:rPr>
              <w:t>enalty</w:t>
            </w:r>
          </w:p>
        </w:tc>
        <w:tc>
          <w:tcPr>
            <w:tcW w:w="1340" w:type="dxa"/>
            <w:tcBorders>
              <w:top w:val="nil"/>
              <w:left w:val="nil"/>
              <w:bottom w:val="single" w:sz="4" w:space="0" w:color="auto"/>
              <w:right w:val="single" w:sz="4" w:space="0" w:color="auto"/>
            </w:tcBorders>
            <w:shd w:val="clear" w:color="auto" w:fill="auto"/>
            <w:noWrap/>
            <w:vAlign w:val="bottom"/>
            <w:hideMark/>
          </w:tcPr>
          <w:p w:rsidR="0052390D" w:rsidRPr="0052390D" w:rsidRDefault="0052390D" w:rsidP="0052390D">
            <w:pPr>
              <w:rPr>
                <w:rFonts w:eastAsia="Times New Roman"/>
                <w:color w:val="000000"/>
                <w:sz w:val="16"/>
                <w:szCs w:val="16"/>
                <w:lang w:bidi="ar-SA"/>
              </w:rPr>
            </w:pPr>
            <w:r w:rsidRPr="0052390D">
              <w:rPr>
                <w:rFonts w:eastAsia="Times New Roman"/>
                <w:color w:val="000000"/>
                <w:sz w:val="16"/>
                <w:szCs w:val="16"/>
                <w:lang w:bidi="ar-SA"/>
              </w:rPr>
              <w:t> </w:t>
            </w:r>
          </w:p>
        </w:tc>
        <w:tc>
          <w:tcPr>
            <w:tcW w:w="1340" w:type="dxa"/>
            <w:tcBorders>
              <w:top w:val="nil"/>
              <w:left w:val="nil"/>
              <w:bottom w:val="single" w:sz="4" w:space="0" w:color="auto"/>
              <w:right w:val="single" w:sz="8" w:space="0" w:color="auto"/>
            </w:tcBorders>
            <w:shd w:val="clear" w:color="auto" w:fill="auto"/>
            <w:vAlign w:val="bottom"/>
            <w:hideMark/>
          </w:tcPr>
          <w:p w:rsidR="0052390D" w:rsidRPr="0052390D" w:rsidRDefault="0052390D" w:rsidP="0052390D">
            <w:pPr>
              <w:jc w:val="right"/>
              <w:rPr>
                <w:rFonts w:eastAsia="Times New Roman"/>
                <w:color w:val="000000"/>
                <w:sz w:val="16"/>
                <w:szCs w:val="16"/>
                <w:lang w:bidi="ar-SA"/>
              </w:rPr>
            </w:pPr>
            <w:r w:rsidRPr="0052390D">
              <w:rPr>
                <w:rFonts w:eastAsia="Times New Roman"/>
                <w:color w:val="000000"/>
                <w:sz w:val="16"/>
                <w:szCs w:val="16"/>
                <w:lang w:bidi="ar-SA"/>
              </w:rPr>
              <w:t xml:space="preserve">$ 612,000 </w:t>
            </w:r>
          </w:p>
        </w:tc>
      </w:tr>
      <w:tr w:rsidR="0052390D" w:rsidRPr="0052390D" w:rsidTr="0052390D">
        <w:trPr>
          <w:trHeight w:val="24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52390D" w:rsidRPr="0052390D" w:rsidRDefault="0052390D" w:rsidP="0052390D">
            <w:pPr>
              <w:rPr>
                <w:rFonts w:eastAsia="Times New Roman"/>
                <w:color w:val="000000"/>
                <w:sz w:val="16"/>
                <w:szCs w:val="16"/>
                <w:lang w:bidi="ar-SA"/>
              </w:rPr>
            </w:pPr>
            <w:r w:rsidRPr="0052390D">
              <w:rPr>
                <w:rFonts w:eastAsia="Times New Roman"/>
                <w:color w:val="000000"/>
                <w:sz w:val="16"/>
                <w:szCs w:val="16"/>
                <w:lang w:bidi="ar-SA"/>
              </w:rPr>
              <w:t xml:space="preserve">Additional </w:t>
            </w:r>
            <w:r w:rsidR="004F3E1A">
              <w:rPr>
                <w:rFonts w:eastAsia="Times New Roman"/>
                <w:color w:val="000000"/>
                <w:sz w:val="16"/>
                <w:szCs w:val="16"/>
                <w:lang w:bidi="ar-SA"/>
              </w:rPr>
              <w:t>c</w:t>
            </w:r>
            <w:r w:rsidRPr="0052390D">
              <w:rPr>
                <w:rFonts w:eastAsia="Times New Roman"/>
                <w:color w:val="000000"/>
                <w:sz w:val="16"/>
                <w:szCs w:val="16"/>
                <w:lang w:bidi="ar-SA"/>
              </w:rPr>
              <w:t>ompensation</w:t>
            </w:r>
          </w:p>
        </w:tc>
        <w:tc>
          <w:tcPr>
            <w:tcW w:w="1340" w:type="dxa"/>
            <w:tcBorders>
              <w:top w:val="nil"/>
              <w:left w:val="nil"/>
              <w:bottom w:val="single" w:sz="4" w:space="0" w:color="auto"/>
              <w:right w:val="single" w:sz="4" w:space="0" w:color="auto"/>
            </w:tcBorders>
            <w:shd w:val="clear" w:color="auto" w:fill="auto"/>
            <w:noWrap/>
            <w:vAlign w:val="bottom"/>
            <w:hideMark/>
          </w:tcPr>
          <w:p w:rsidR="0052390D" w:rsidRPr="0052390D" w:rsidRDefault="0052390D" w:rsidP="0052390D">
            <w:pPr>
              <w:rPr>
                <w:rFonts w:eastAsia="Times New Roman"/>
                <w:color w:val="000000"/>
                <w:sz w:val="16"/>
                <w:szCs w:val="16"/>
                <w:lang w:bidi="ar-SA"/>
              </w:rPr>
            </w:pPr>
            <w:r w:rsidRPr="0052390D">
              <w:rPr>
                <w:rFonts w:eastAsia="Times New Roman"/>
                <w:color w:val="000000"/>
                <w:sz w:val="16"/>
                <w:szCs w:val="16"/>
                <w:lang w:bidi="ar-SA"/>
              </w:rPr>
              <w:t> </w:t>
            </w:r>
          </w:p>
        </w:tc>
        <w:tc>
          <w:tcPr>
            <w:tcW w:w="1340" w:type="dxa"/>
            <w:tcBorders>
              <w:top w:val="nil"/>
              <w:left w:val="nil"/>
              <w:bottom w:val="single" w:sz="4" w:space="0" w:color="auto"/>
              <w:right w:val="single" w:sz="8" w:space="0" w:color="auto"/>
            </w:tcBorders>
            <w:shd w:val="clear" w:color="auto" w:fill="auto"/>
            <w:vAlign w:val="bottom"/>
            <w:hideMark/>
          </w:tcPr>
          <w:p w:rsidR="0052390D" w:rsidRPr="0052390D" w:rsidRDefault="0052390D" w:rsidP="0052390D">
            <w:pPr>
              <w:jc w:val="right"/>
              <w:rPr>
                <w:rFonts w:eastAsia="Times New Roman"/>
                <w:color w:val="000000"/>
                <w:sz w:val="16"/>
                <w:szCs w:val="16"/>
                <w:lang w:bidi="ar-SA"/>
              </w:rPr>
            </w:pPr>
            <w:r w:rsidRPr="0052390D">
              <w:rPr>
                <w:rFonts w:eastAsia="Times New Roman"/>
                <w:color w:val="000000"/>
                <w:sz w:val="16"/>
                <w:szCs w:val="16"/>
                <w:lang w:bidi="ar-SA"/>
              </w:rPr>
              <w:t xml:space="preserve">$ 1,062,599 </w:t>
            </w:r>
          </w:p>
        </w:tc>
      </w:tr>
      <w:tr w:rsidR="0052390D" w:rsidRPr="0052390D" w:rsidTr="0052390D">
        <w:trPr>
          <w:trHeight w:val="240"/>
        </w:trPr>
        <w:tc>
          <w:tcPr>
            <w:tcW w:w="4900" w:type="dxa"/>
            <w:tcBorders>
              <w:top w:val="nil"/>
              <w:left w:val="single" w:sz="8" w:space="0" w:color="auto"/>
              <w:bottom w:val="single" w:sz="4" w:space="0" w:color="auto"/>
              <w:right w:val="single" w:sz="4" w:space="0" w:color="auto"/>
            </w:tcBorders>
            <w:shd w:val="clear" w:color="auto" w:fill="auto"/>
            <w:noWrap/>
            <w:vAlign w:val="bottom"/>
            <w:hideMark/>
          </w:tcPr>
          <w:p w:rsidR="0052390D" w:rsidRPr="0052390D" w:rsidRDefault="0052390D" w:rsidP="0052390D">
            <w:pPr>
              <w:rPr>
                <w:rFonts w:eastAsia="Times New Roman"/>
                <w:color w:val="000000"/>
                <w:sz w:val="16"/>
                <w:szCs w:val="16"/>
                <w:lang w:bidi="ar-SA"/>
              </w:rPr>
            </w:pPr>
            <w:r w:rsidRPr="0052390D">
              <w:rPr>
                <w:rFonts w:eastAsia="Times New Roman"/>
                <w:color w:val="000000"/>
                <w:sz w:val="16"/>
                <w:szCs w:val="16"/>
                <w:lang w:bidi="ar-SA"/>
              </w:rPr>
              <w:t>Employer payroll tax on additional compensation</w:t>
            </w:r>
          </w:p>
        </w:tc>
        <w:tc>
          <w:tcPr>
            <w:tcW w:w="1340" w:type="dxa"/>
            <w:tcBorders>
              <w:top w:val="nil"/>
              <w:left w:val="nil"/>
              <w:bottom w:val="single" w:sz="4" w:space="0" w:color="auto"/>
              <w:right w:val="single" w:sz="4" w:space="0" w:color="auto"/>
            </w:tcBorders>
            <w:shd w:val="clear" w:color="auto" w:fill="auto"/>
            <w:noWrap/>
            <w:vAlign w:val="bottom"/>
            <w:hideMark/>
          </w:tcPr>
          <w:p w:rsidR="0052390D" w:rsidRPr="0052390D" w:rsidRDefault="0052390D" w:rsidP="0052390D">
            <w:pPr>
              <w:rPr>
                <w:rFonts w:eastAsia="Times New Roman"/>
                <w:color w:val="000000"/>
                <w:sz w:val="16"/>
                <w:szCs w:val="16"/>
                <w:lang w:bidi="ar-SA"/>
              </w:rPr>
            </w:pPr>
            <w:r w:rsidRPr="0052390D">
              <w:rPr>
                <w:rFonts w:eastAsia="Times New Roman"/>
                <w:color w:val="000000"/>
                <w:sz w:val="16"/>
                <w:szCs w:val="16"/>
                <w:lang w:bidi="ar-SA"/>
              </w:rPr>
              <w:t> </w:t>
            </w:r>
          </w:p>
        </w:tc>
        <w:tc>
          <w:tcPr>
            <w:tcW w:w="1340" w:type="dxa"/>
            <w:tcBorders>
              <w:top w:val="nil"/>
              <w:left w:val="nil"/>
              <w:bottom w:val="single" w:sz="4" w:space="0" w:color="auto"/>
              <w:right w:val="single" w:sz="8" w:space="0" w:color="auto"/>
            </w:tcBorders>
            <w:shd w:val="clear" w:color="auto" w:fill="auto"/>
            <w:vAlign w:val="bottom"/>
            <w:hideMark/>
          </w:tcPr>
          <w:p w:rsidR="0052390D" w:rsidRPr="0052390D" w:rsidRDefault="0052390D" w:rsidP="0052390D">
            <w:pPr>
              <w:jc w:val="right"/>
              <w:rPr>
                <w:rFonts w:eastAsia="Times New Roman"/>
                <w:color w:val="000000"/>
                <w:sz w:val="16"/>
                <w:szCs w:val="16"/>
                <w:lang w:bidi="ar-SA"/>
              </w:rPr>
            </w:pPr>
            <w:r w:rsidRPr="0052390D">
              <w:rPr>
                <w:rFonts w:eastAsia="Times New Roman"/>
                <w:color w:val="000000"/>
                <w:sz w:val="16"/>
                <w:szCs w:val="16"/>
                <w:lang w:bidi="ar-SA"/>
              </w:rPr>
              <w:t xml:space="preserve">$ 74,382 </w:t>
            </w:r>
          </w:p>
        </w:tc>
      </w:tr>
      <w:tr w:rsidR="0052390D" w:rsidRPr="0052390D" w:rsidTr="0052390D">
        <w:trPr>
          <w:trHeight w:val="240"/>
        </w:trPr>
        <w:tc>
          <w:tcPr>
            <w:tcW w:w="4900" w:type="dxa"/>
            <w:tcBorders>
              <w:top w:val="nil"/>
              <w:left w:val="single" w:sz="8" w:space="0" w:color="auto"/>
              <w:bottom w:val="single" w:sz="8" w:space="0" w:color="auto"/>
              <w:right w:val="single" w:sz="4" w:space="0" w:color="auto"/>
            </w:tcBorders>
            <w:shd w:val="clear" w:color="auto" w:fill="auto"/>
            <w:noWrap/>
            <w:vAlign w:val="bottom"/>
            <w:hideMark/>
          </w:tcPr>
          <w:p w:rsidR="0052390D" w:rsidRPr="0052390D" w:rsidRDefault="0052390D" w:rsidP="0052390D">
            <w:pPr>
              <w:rPr>
                <w:rFonts w:eastAsia="Times New Roman"/>
                <w:color w:val="000000"/>
                <w:sz w:val="16"/>
                <w:szCs w:val="16"/>
                <w:lang w:bidi="ar-SA"/>
              </w:rPr>
            </w:pPr>
            <w:r w:rsidRPr="0052390D">
              <w:rPr>
                <w:rFonts w:eastAsia="Times New Roman"/>
                <w:color w:val="000000"/>
                <w:sz w:val="16"/>
                <w:szCs w:val="16"/>
                <w:lang w:bidi="ar-SA"/>
              </w:rPr>
              <w:t>Tax impact of penalty not being tax deductible</w:t>
            </w:r>
          </w:p>
        </w:tc>
        <w:tc>
          <w:tcPr>
            <w:tcW w:w="1340" w:type="dxa"/>
            <w:tcBorders>
              <w:top w:val="nil"/>
              <w:left w:val="nil"/>
              <w:bottom w:val="single" w:sz="8" w:space="0" w:color="auto"/>
              <w:right w:val="single" w:sz="4" w:space="0" w:color="auto"/>
            </w:tcBorders>
            <w:shd w:val="clear" w:color="auto" w:fill="auto"/>
            <w:noWrap/>
            <w:vAlign w:val="bottom"/>
            <w:hideMark/>
          </w:tcPr>
          <w:p w:rsidR="0052390D" w:rsidRPr="0052390D" w:rsidRDefault="0052390D" w:rsidP="0052390D">
            <w:pPr>
              <w:rPr>
                <w:rFonts w:eastAsia="Times New Roman"/>
                <w:color w:val="000000"/>
                <w:sz w:val="16"/>
                <w:szCs w:val="16"/>
                <w:lang w:bidi="ar-SA"/>
              </w:rPr>
            </w:pPr>
            <w:r w:rsidRPr="0052390D">
              <w:rPr>
                <w:rFonts w:eastAsia="Times New Roman"/>
                <w:color w:val="000000"/>
                <w:sz w:val="16"/>
                <w:szCs w:val="16"/>
                <w:lang w:bidi="ar-SA"/>
              </w:rPr>
              <w:t> </w:t>
            </w:r>
          </w:p>
        </w:tc>
        <w:tc>
          <w:tcPr>
            <w:tcW w:w="1340" w:type="dxa"/>
            <w:tcBorders>
              <w:top w:val="nil"/>
              <w:left w:val="nil"/>
              <w:bottom w:val="single" w:sz="8" w:space="0" w:color="auto"/>
              <w:right w:val="single" w:sz="8" w:space="0" w:color="auto"/>
            </w:tcBorders>
            <w:shd w:val="clear" w:color="auto" w:fill="auto"/>
            <w:vAlign w:val="bottom"/>
            <w:hideMark/>
          </w:tcPr>
          <w:p w:rsidR="0052390D" w:rsidRPr="0052390D" w:rsidRDefault="0052390D" w:rsidP="0052390D">
            <w:pPr>
              <w:jc w:val="right"/>
              <w:rPr>
                <w:rFonts w:eastAsia="Times New Roman"/>
                <w:color w:val="000000"/>
                <w:sz w:val="16"/>
                <w:szCs w:val="16"/>
                <w:lang w:bidi="ar-SA"/>
              </w:rPr>
            </w:pPr>
            <w:r w:rsidRPr="0052390D">
              <w:rPr>
                <w:rFonts w:eastAsia="Times New Roman"/>
                <w:color w:val="000000"/>
                <w:sz w:val="16"/>
                <w:szCs w:val="16"/>
                <w:lang w:bidi="ar-SA"/>
              </w:rPr>
              <w:t xml:space="preserve">$ 91,800 </w:t>
            </w:r>
          </w:p>
        </w:tc>
      </w:tr>
    </w:tbl>
    <w:p w:rsidR="0052390D" w:rsidRDefault="0052390D" w:rsidP="00885565">
      <w:pPr>
        <w:pStyle w:val="NoSpacing"/>
        <w:rPr>
          <w:szCs w:val="20"/>
        </w:rPr>
      </w:pPr>
    </w:p>
    <w:p w:rsidR="005E5C06" w:rsidRDefault="005E5C06" w:rsidP="00885565">
      <w:pPr>
        <w:pStyle w:val="NoSpacing"/>
        <w:rPr>
          <w:szCs w:val="20"/>
        </w:rPr>
      </w:pPr>
    </w:p>
    <w:sectPr w:rsidR="005E5C06" w:rsidSect="009A7C45">
      <w:headerReference w:type="default" r:id="rId15"/>
      <w:footerReference w:type="default" r:id="rId16"/>
      <w:pgSz w:w="12240" w:h="15840" w:code="1"/>
      <w:pgMar w:top="1296" w:right="720" w:bottom="1296" w:left="1440" w:header="965" w:footer="965" w:gutter="0"/>
      <w:cols w:space="720"/>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FA" w:rsidRDefault="008F66FA" w:rsidP="00BB43DA">
      <w:r>
        <w:separator/>
      </w:r>
    </w:p>
  </w:endnote>
  <w:endnote w:type="continuationSeparator" w:id="0">
    <w:p w:rsidR="008F66FA" w:rsidRDefault="008F66FA" w:rsidP="00BB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01" w:rsidRPr="00486A01" w:rsidRDefault="00486A01" w:rsidP="006F3188">
    <w:pPr>
      <w:pStyle w:val="Footer"/>
      <w:pBdr>
        <w:top w:val="single" w:sz="4" w:space="1" w:color="auto"/>
      </w:pBdr>
      <w:jc w:val="right"/>
      <w:rPr>
        <w:rFonts w:asciiTheme="minorHAnsi" w:hAnsiTheme="minorHAnsi"/>
      </w:rPr>
    </w:pPr>
    <w:r w:rsidRPr="00486A01">
      <w:rPr>
        <w:rFonts w:asciiTheme="minorHAnsi" w:hAnsiTheme="minorHAnsi" w:cs="Arial"/>
      </w:rPr>
      <w:t>©</w:t>
    </w:r>
    <w:r w:rsidR="006F3188">
      <w:rPr>
        <w:rFonts w:asciiTheme="minorHAnsi" w:hAnsiTheme="minorHAnsi"/>
      </w:rPr>
      <w:t>2012</w:t>
    </w:r>
    <w:r w:rsidRPr="00486A01">
      <w:rPr>
        <w:rFonts w:asciiTheme="minorHAnsi" w:hAnsiTheme="minorHAnsi"/>
      </w:rPr>
      <w:t xml:space="preserve"> Benefit Comply,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FA" w:rsidRDefault="008F66FA" w:rsidP="00BB43DA">
      <w:r>
        <w:separator/>
      </w:r>
    </w:p>
  </w:footnote>
  <w:footnote w:type="continuationSeparator" w:id="0">
    <w:p w:rsidR="008F66FA" w:rsidRDefault="008F66FA" w:rsidP="00BB4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F34" w:rsidRDefault="008F66FA" w:rsidP="00DD5F34">
    <w:pPr>
      <w:pStyle w:val="Header"/>
    </w:pPr>
    <w:r>
      <w:rPr>
        <w:rFonts w:asciiTheme="majorHAnsi" w:eastAsiaTheme="majorEastAsia" w:hAnsiTheme="majorHAnsi" w:cstheme="majorBidi"/>
        <w:b/>
        <w:bCs/>
        <w:noProof/>
        <w:color w:val="4F81BD" w:themeColor="accent1"/>
        <w:sz w:val="36"/>
        <w:szCs w:val="36"/>
        <w:lang w:eastAsia="zh-TW"/>
      </w:rPr>
      <w:pict>
        <v:shapetype id="_x0000_t202" coordsize="21600,21600" o:spt="202" path="m,l,21600r21600,l21600,xe">
          <v:stroke joinstyle="miter"/>
          <v:path gradientshapeok="t" o:connecttype="rect"/>
        </v:shapetype>
        <v:shape id="_x0000_s2050" type="#_x0000_t202" style="position:absolute;margin-left:93.6pt;margin-top:30.2pt;width:424.8pt;height:11.5pt;z-index:251658240;mso-width-percent:1000;mso-position-horizontal-relative:page;mso-position-vertical-relative:page;mso-width-percent:1000;mso-width-relative:margin;v-text-anchor:middle" o:allowincell="f" filled="f" stroked="f">
          <v:textbox style="mso-fit-shape-to-text:t" inset=",0,,0">
            <w:txbxContent>
              <w:p w:rsidR="00DD5F34" w:rsidRPr="00486A01" w:rsidRDefault="00A14E5C" w:rsidP="000717DD">
                <w:pPr>
                  <w:ind w:left="5040" w:firstLine="720"/>
                </w:pPr>
                <w:r>
                  <w:t>Health Reform Impact Analysis</w:t>
                </w:r>
              </w:p>
            </w:txbxContent>
          </v:textbox>
          <w10:wrap anchorx="margin" anchory="margin"/>
        </v:shape>
      </w:pict>
    </w:r>
    <w:r>
      <w:rPr>
        <w:rFonts w:asciiTheme="majorHAnsi" w:eastAsiaTheme="majorEastAsia" w:hAnsiTheme="majorHAnsi" w:cstheme="majorBidi"/>
        <w:b/>
        <w:bCs/>
        <w:noProof/>
        <w:color w:val="4F81BD" w:themeColor="accent1"/>
        <w:sz w:val="36"/>
        <w:szCs w:val="36"/>
        <w:lang w:eastAsia="zh-TW"/>
      </w:rPr>
      <w:pict>
        <v:shape id="_x0000_s2049" type="#_x0000_t202" style="position:absolute;margin-left:518.4pt;margin-top:30.2pt;width:93.6pt;height:11.5pt;z-index:251657216;mso-width-percent:1000;mso-position-horizontal-relative:page;mso-position-vertical-relative:page;mso-width-percent:1000;mso-width-relative:right-margin-area;v-text-anchor:middle" o:allowincell="f" fillcolor="#4f81bd" stroked="f">
          <v:textbox style="mso-fit-shape-to-text:t" inset=",0,,0">
            <w:txbxContent>
              <w:p w:rsidR="00DD5F34" w:rsidRPr="00DD5F34" w:rsidRDefault="003B0588">
                <w:pPr>
                  <w:rPr>
                    <w:color w:val="FFFFFF"/>
                  </w:rPr>
                </w:pPr>
                <w:r>
                  <w:fldChar w:fldCharType="begin"/>
                </w:r>
                <w:r w:rsidR="00852A8B">
                  <w:instrText xml:space="preserve"> PAGE   \* MERGEFORMAT </w:instrText>
                </w:r>
                <w:r>
                  <w:fldChar w:fldCharType="separate"/>
                </w:r>
                <w:r w:rsidR="00F26E66" w:rsidRPr="00F26E66">
                  <w:rPr>
                    <w:noProof/>
                    <w:color w:val="FFFFFF"/>
                  </w:rPr>
                  <w:t>2</w:t>
                </w:r>
                <w:r>
                  <w:rPr>
                    <w:noProof/>
                    <w:color w:val="FFFFFF"/>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75C3"/>
    <w:multiLevelType w:val="hybridMultilevel"/>
    <w:tmpl w:val="85B87F64"/>
    <w:lvl w:ilvl="0" w:tplc="1DE8C6D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06682"/>
    <w:multiLevelType w:val="hybridMultilevel"/>
    <w:tmpl w:val="BEB0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A3232"/>
    <w:multiLevelType w:val="hybridMultilevel"/>
    <w:tmpl w:val="0FBCDC4A"/>
    <w:lvl w:ilvl="0" w:tplc="528E7A68">
      <w:start w:val="1"/>
      <w:numFmt w:val="bullet"/>
      <w:lvlText w:val=""/>
      <w:lvlJc w:val="left"/>
      <w:pPr>
        <w:tabs>
          <w:tab w:val="num" w:pos="360"/>
        </w:tabs>
        <w:ind w:left="360" w:hanging="360"/>
      </w:pPr>
      <w:rPr>
        <w:rFonts w:ascii="Wingdings" w:hAnsi="Wingdings" w:hint="default"/>
      </w:rPr>
    </w:lvl>
    <w:lvl w:ilvl="1" w:tplc="89061DF8">
      <w:start w:val="1"/>
      <w:numFmt w:val="bullet"/>
      <w:lvlText w:val=""/>
      <w:lvlJc w:val="left"/>
      <w:pPr>
        <w:tabs>
          <w:tab w:val="num" w:pos="1080"/>
        </w:tabs>
        <w:ind w:left="1080" w:hanging="360"/>
      </w:pPr>
      <w:rPr>
        <w:rFonts w:ascii="Wingdings" w:hAnsi="Wingdings" w:hint="default"/>
      </w:rPr>
    </w:lvl>
    <w:lvl w:ilvl="2" w:tplc="01F8BF06">
      <w:start w:val="2535"/>
      <w:numFmt w:val="bullet"/>
      <w:lvlText w:val="»"/>
      <w:lvlJc w:val="left"/>
      <w:pPr>
        <w:tabs>
          <w:tab w:val="num" w:pos="1800"/>
        </w:tabs>
        <w:ind w:left="1800" w:hanging="360"/>
      </w:pPr>
      <w:rPr>
        <w:rFonts w:ascii="Arial" w:hAnsi="Arial" w:cs="Times New Roman" w:hint="default"/>
      </w:rPr>
    </w:lvl>
    <w:lvl w:ilvl="3" w:tplc="F760B60A">
      <w:start w:val="1"/>
      <w:numFmt w:val="decimal"/>
      <w:lvlText w:val="%4."/>
      <w:lvlJc w:val="left"/>
      <w:pPr>
        <w:tabs>
          <w:tab w:val="num" w:pos="2880"/>
        </w:tabs>
        <w:ind w:left="2880" w:hanging="360"/>
      </w:pPr>
    </w:lvl>
    <w:lvl w:ilvl="4" w:tplc="39828D14">
      <w:start w:val="1"/>
      <w:numFmt w:val="decimal"/>
      <w:lvlText w:val="%5."/>
      <w:lvlJc w:val="left"/>
      <w:pPr>
        <w:tabs>
          <w:tab w:val="num" w:pos="3600"/>
        </w:tabs>
        <w:ind w:left="3600" w:hanging="360"/>
      </w:pPr>
    </w:lvl>
    <w:lvl w:ilvl="5" w:tplc="CA6E726C">
      <w:start w:val="1"/>
      <w:numFmt w:val="decimal"/>
      <w:lvlText w:val="%6."/>
      <w:lvlJc w:val="left"/>
      <w:pPr>
        <w:tabs>
          <w:tab w:val="num" w:pos="4320"/>
        </w:tabs>
        <w:ind w:left="4320" w:hanging="360"/>
      </w:pPr>
    </w:lvl>
    <w:lvl w:ilvl="6" w:tplc="24983790">
      <w:start w:val="1"/>
      <w:numFmt w:val="decimal"/>
      <w:lvlText w:val="%7."/>
      <w:lvlJc w:val="left"/>
      <w:pPr>
        <w:tabs>
          <w:tab w:val="num" w:pos="5040"/>
        </w:tabs>
        <w:ind w:left="5040" w:hanging="360"/>
      </w:pPr>
    </w:lvl>
    <w:lvl w:ilvl="7" w:tplc="E9224E88">
      <w:start w:val="1"/>
      <w:numFmt w:val="decimal"/>
      <w:lvlText w:val="%8."/>
      <w:lvlJc w:val="left"/>
      <w:pPr>
        <w:tabs>
          <w:tab w:val="num" w:pos="5760"/>
        </w:tabs>
        <w:ind w:left="5760" w:hanging="360"/>
      </w:pPr>
    </w:lvl>
    <w:lvl w:ilvl="8" w:tplc="18BA0FD0">
      <w:start w:val="1"/>
      <w:numFmt w:val="decimal"/>
      <w:lvlText w:val="%9."/>
      <w:lvlJc w:val="left"/>
      <w:pPr>
        <w:tabs>
          <w:tab w:val="num" w:pos="6480"/>
        </w:tabs>
        <w:ind w:left="6480" w:hanging="360"/>
      </w:pPr>
    </w:lvl>
  </w:abstractNum>
  <w:abstractNum w:abstractNumId="3">
    <w:nsid w:val="13D879E1"/>
    <w:multiLevelType w:val="hybridMultilevel"/>
    <w:tmpl w:val="CCC88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43733"/>
    <w:multiLevelType w:val="hybridMultilevel"/>
    <w:tmpl w:val="C756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5A4443"/>
    <w:multiLevelType w:val="hybridMultilevel"/>
    <w:tmpl w:val="FF029C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BC783E"/>
    <w:multiLevelType w:val="hybridMultilevel"/>
    <w:tmpl w:val="BCBE6A7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304F0"/>
    <w:multiLevelType w:val="hybridMultilevel"/>
    <w:tmpl w:val="1E6C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2142D"/>
    <w:multiLevelType w:val="hybridMultilevel"/>
    <w:tmpl w:val="5478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51A03"/>
    <w:multiLevelType w:val="hybridMultilevel"/>
    <w:tmpl w:val="46F4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C45C61"/>
    <w:multiLevelType w:val="hybridMultilevel"/>
    <w:tmpl w:val="64EC3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13E82"/>
    <w:multiLevelType w:val="hybridMultilevel"/>
    <w:tmpl w:val="A63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62E83"/>
    <w:multiLevelType w:val="hybridMultilevel"/>
    <w:tmpl w:val="0A328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590680"/>
    <w:multiLevelType w:val="hybridMultilevel"/>
    <w:tmpl w:val="0A76AC2E"/>
    <w:lvl w:ilvl="0" w:tplc="CDACBF76">
      <w:start w:val="1"/>
      <w:numFmt w:val="bullet"/>
      <w:lvlText w:val=""/>
      <w:lvlJc w:val="left"/>
      <w:pPr>
        <w:tabs>
          <w:tab w:val="num" w:pos="360"/>
        </w:tabs>
        <w:ind w:left="360" w:hanging="360"/>
      </w:pPr>
      <w:rPr>
        <w:rFonts w:ascii="Wingdings" w:hAnsi="Wingdings" w:hint="default"/>
      </w:rPr>
    </w:lvl>
    <w:lvl w:ilvl="1" w:tplc="9F2E2208">
      <w:start w:val="1"/>
      <w:numFmt w:val="bullet"/>
      <w:lvlText w:val=""/>
      <w:lvlJc w:val="left"/>
      <w:pPr>
        <w:tabs>
          <w:tab w:val="num" w:pos="1080"/>
        </w:tabs>
        <w:ind w:left="1080" w:hanging="360"/>
      </w:pPr>
      <w:rPr>
        <w:rFonts w:ascii="Wingdings" w:hAnsi="Wingdings" w:hint="default"/>
      </w:rPr>
    </w:lvl>
    <w:lvl w:ilvl="2" w:tplc="F636FDCA">
      <w:start w:val="1732"/>
      <w:numFmt w:val="bullet"/>
      <w:lvlText w:val="»"/>
      <w:lvlJc w:val="left"/>
      <w:pPr>
        <w:tabs>
          <w:tab w:val="num" w:pos="1800"/>
        </w:tabs>
        <w:ind w:left="1800" w:hanging="360"/>
      </w:pPr>
      <w:rPr>
        <w:rFonts w:ascii="Arial" w:hAnsi="Arial" w:cs="Times New Roman" w:hint="default"/>
      </w:rPr>
    </w:lvl>
    <w:lvl w:ilvl="3" w:tplc="C1F0CB2A">
      <w:start w:val="1732"/>
      <w:numFmt w:val="bullet"/>
      <w:lvlText w:val="–"/>
      <w:lvlJc w:val="left"/>
      <w:pPr>
        <w:tabs>
          <w:tab w:val="num" w:pos="2520"/>
        </w:tabs>
        <w:ind w:left="2520" w:hanging="360"/>
      </w:pPr>
      <w:rPr>
        <w:rFonts w:ascii="Times New Roman" w:hAnsi="Times New Roman" w:cs="Times New Roman" w:hint="default"/>
      </w:rPr>
    </w:lvl>
    <w:lvl w:ilvl="4" w:tplc="BBB6E398">
      <w:start w:val="1732"/>
      <w:numFmt w:val="bullet"/>
      <w:lvlText w:val="»"/>
      <w:lvlJc w:val="left"/>
      <w:pPr>
        <w:tabs>
          <w:tab w:val="num" w:pos="3240"/>
        </w:tabs>
        <w:ind w:left="3240" w:hanging="360"/>
      </w:pPr>
      <w:rPr>
        <w:rFonts w:ascii="Times New Roman" w:hAnsi="Times New Roman" w:cs="Times New Roman" w:hint="default"/>
      </w:rPr>
    </w:lvl>
    <w:lvl w:ilvl="5" w:tplc="EA72B2C0">
      <w:start w:val="1"/>
      <w:numFmt w:val="decimal"/>
      <w:lvlText w:val="%6."/>
      <w:lvlJc w:val="left"/>
      <w:pPr>
        <w:tabs>
          <w:tab w:val="num" w:pos="4320"/>
        </w:tabs>
        <w:ind w:left="4320" w:hanging="360"/>
      </w:pPr>
    </w:lvl>
    <w:lvl w:ilvl="6" w:tplc="122A434E">
      <w:start w:val="1"/>
      <w:numFmt w:val="decimal"/>
      <w:lvlText w:val="%7."/>
      <w:lvlJc w:val="left"/>
      <w:pPr>
        <w:tabs>
          <w:tab w:val="num" w:pos="5040"/>
        </w:tabs>
        <w:ind w:left="5040" w:hanging="360"/>
      </w:pPr>
    </w:lvl>
    <w:lvl w:ilvl="7" w:tplc="6FB4BC60">
      <w:start w:val="1"/>
      <w:numFmt w:val="decimal"/>
      <w:lvlText w:val="%8."/>
      <w:lvlJc w:val="left"/>
      <w:pPr>
        <w:tabs>
          <w:tab w:val="num" w:pos="5760"/>
        </w:tabs>
        <w:ind w:left="5760" w:hanging="360"/>
      </w:pPr>
    </w:lvl>
    <w:lvl w:ilvl="8" w:tplc="58925AF2">
      <w:start w:val="1"/>
      <w:numFmt w:val="decimal"/>
      <w:lvlText w:val="%9."/>
      <w:lvlJc w:val="left"/>
      <w:pPr>
        <w:tabs>
          <w:tab w:val="num" w:pos="6480"/>
        </w:tabs>
        <w:ind w:left="6480" w:hanging="360"/>
      </w:pPr>
    </w:lvl>
  </w:abstractNum>
  <w:abstractNum w:abstractNumId="14">
    <w:nsid w:val="3E1E4ADC"/>
    <w:multiLevelType w:val="hybridMultilevel"/>
    <w:tmpl w:val="4D60D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D6F47"/>
    <w:multiLevelType w:val="hybridMultilevel"/>
    <w:tmpl w:val="757A2750"/>
    <w:lvl w:ilvl="0" w:tplc="1DE8C6D6">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E670B6"/>
    <w:multiLevelType w:val="hybridMultilevel"/>
    <w:tmpl w:val="9E3E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30286"/>
    <w:multiLevelType w:val="hybridMultilevel"/>
    <w:tmpl w:val="0248E71C"/>
    <w:lvl w:ilvl="0" w:tplc="1DE8C6D6">
      <w:numFmt w:val="bullet"/>
      <w:lvlText w:val="•"/>
      <w:lvlJc w:val="left"/>
      <w:pPr>
        <w:ind w:left="1440" w:hanging="72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F85FF7"/>
    <w:multiLevelType w:val="hybridMultilevel"/>
    <w:tmpl w:val="296A4D30"/>
    <w:lvl w:ilvl="0" w:tplc="0F28D05E">
      <w:numFmt w:val="bullet"/>
      <w:lvlText w:val="-"/>
      <w:lvlJc w:val="left"/>
      <w:pPr>
        <w:ind w:left="390" w:hanging="360"/>
      </w:pPr>
      <w:rPr>
        <w:rFonts w:ascii="Calibri" w:eastAsia="Calibri" w:hAnsi="Calibri"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nsid w:val="5C1B4C80"/>
    <w:multiLevelType w:val="hybridMultilevel"/>
    <w:tmpl w:val="20524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5A7D42"/>
    <w:multiLevelType w:val="hybridMultilevel"/>
    <w:tmpl w:val="2D58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72664E"/>
    <w:multiLevelType w:val="hybridMultilevel"/>
    <w:tmpl w:val="3998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95245D"/>
    <w:multiLevelType w:val="hybridMultilevel"/>
    <w:tmpl w:val="8270A0E0"/>
    <w:lvl w:ilvl="0" w:tplc="1DE8C6D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E55CD1"/>
    <w:multiLevelType w:val="hybridMultilevel"/>
    <w:tmpl w:val="233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3C7181"/>
    <w:multiLevelType w:val="hybridMultilevel"/>
    <w:tmpl w:val="6DB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49188F"/>
    <w:multiLevelType w:val="hybridMultilevel"/>
    <w:tmpl w:val="194AA6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560CCB"/>
    <w:multiLevelType w:val="hybridMultilevel"/>
    <w:tmpl w:val="18B43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708AA"/>
    <w:multiLevelType w:val="hybridMultilevel"/>
    <w:tmpl w:val="25AC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CA5E30"/>
    <w:multiLevelType w:val="hybridMultilevel"/>
    <w:tmpl w:val="2B08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80FE7"/>
    <w:multiLevelType w:val="hybridMultilevel"/>
    <w:tmpl w:val="967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FC66DE"/>
    <w:multiLevelType w:val="hybridMultilevel"/>
    <w:tmpl w:val="62F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95EFE"/>
    <w:multiLevelType w:val="hybridMultilevel"/>
    <w:tmpl w:val="E250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710310"/>
    <w:multiLevelType w:val="hybridMultilevel"/>
    <w:tmpl w:val="788C0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363C20"/>
    <w:multiLevelType w:val="hybridMultilevel"/>
    <w:tmpl w:val="A46A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9D1608"/>
    <w:multiLevelType w:val="hybridMultilevel"/>
    <w:tmpl w:val="EFD4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0"/>
  </w:num>
  <w:num w:numId="4">
    <w:abstractNumId w:val="19"/>
  </w:num>
  <w:num w:numId="5">
    <w:abstractNumId w:val="11"/>
  </w:num>
  <w:num w:numId="6">
    <w:abstractNumId w:val="32"/>
  </w:num>
  <w:num w:numId="7">
    <w:abstractNumId w:val="34"/>
  </w:num>
  <w:num w:numId="8">
    <w:abstractNumId w:val="2"/>
  </w:num>
  <w:num w:numId="9">
    <w:abstractNumId w:val="23"/>
  </w:num>
  <w:num w:numId="10">
    <w:abstractNumId w:val="10"/>
  </w:num>
  <w:num w:numId="11">
    <w:abstractNumId w:val="9"/>
  </w:num>
  <w:num w:numId="12">
    <w:abstractNumId w:val="29"/>
  </w:num>
  <w:num w:numId="13">
    <w:abstractNumId w:val="7"/>
  </w:num>
  <w:num w:numId="14">
    <w:abstractNumId w:val="0"/>
  </w:num>
  <w:num w:numId="15">
    <w:abstractNumId w:val="15"/>
  </w:num>
  <w:num w:numId="16">
    <w:abstractNumId w:val="17"/>
  </w:num>
  <w:num w:numId="17">
    <w:abstractNumId w:val="22"/>
  </w:num>
  <w:num w:numId="18">
    <w:abstractNumId w:val="6"/>
  </w:num>
  <w:num w:numId="19">
    <w:abstractNumId w:val="12"/>
  </w:num>
  <w:num w:numId="20">
    <w:abstractNumId w:val="16"/>
  </w:num>
  <w:num w:numId="21">
    <w:abstractNumId w:val="4"/>
  </w:num>
  <w:num w:numId="22">
    <w:abstractNumId w:val="18"/>
  </w:num>
  <w:num w:numId="23">
    <w:abstractNumId w:val="25"/>
  </w:num>
  <w:num w:numId="24">
    <w:abstractNumId w:val="27"/>
  </w:num>
  <w:num w:numId="25">
    <w:abstractNumId w:val="28"/>
  </w:num>
  <w:num w:numId="26">
    <w:abstractNumId w:val="33"/>
  </w:num>
  <w:num w:numId="27">
    <w:abstractNumId w:val="21"/>
  </w:num>
  <w:num w:numId="28">
    <w:abstractNumId w:val="30"/>
  </w:num>
  <w:num w:numId="29">
    <w:abstractNumId w:val="31"/>
  </w:num>
  <w:num w:numId="30">
    <w:abstractNumId w:val="14"/>
  </w:num>
  <w:num w:numId="31">
    <w:abstractNumId w:val="3"/>
  </w:num>
  <w:num w:numId="32">
    <w:abstractNumId w:val="5"/>
  </w:num>
  <w:num w:numId="33">
    <w:abstractNumId w:val="1"/>
  </w:num>
  <w:num w:numId="34">
    <w:abstractNumId w:val="26"/>
  </w:num>
  <w:num w:numId="35">
    <w:abstractNumId w:val="2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80"/>
  <w:drawingGridVerticalSpacing w:val="109"/>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7644"/>
    <w:rsid w:val="00000422"/>
    <w:rsid w:val="00002A13"/>
    <w:rsid w:val="00025EE9"/>
    <w:rsid w:val="00027FB2"/>
    <w:rsid w:val="00032855"/>
    <w:rsid w:val="00056250"/>
    <w:rsid w:val="00065703"/>
    <w:rsid w:val="00067D15"/>
    <w:rsid w:val="000717DD"/>
    <w:rsid w:val="000727C5"/>
    <w:rsid w:val="000738D3"/>
    <w:rsid w:val="000939CA"/>
    <w:rsid w:val="000A4E4D"/>
    <w:rsid w:val="000B31A8"/>
    <w:rsid w:val="000B6F38"/>
    <w:rsid w:val="000C3AFC"/>
    <w:rsid w:val="000C41B5"/>
    <w:rsid w:val="000F3791"/>
    <w:rsid w:val="00103145"/>
    <w:rsid w:val="00106156"/>
    <w:rsid w:val="00110541"/>
    <w:rsid w:val="00121E34"/>
    <w:rsid w:val="00131C87"/>
    <w:rsid w:val="00134C97"/>
    <w:rsid w:val="0013571C"/>
    <w:rsid w:val="001359BB"/>
    <w:rsid w:val="00143DAE"/>
    <w:rsid w:val="001825E4"/>
    <w:rsid w:val="00183E6E"/>
    <w:rsid w:val="00186835"/>
    <w:rsid w:val="001871D3"/>
    <w:rsid w:val="00187547"/>
    <w:rsid w:val="001900EE"/>
    <w:rsid w:val="001931BB"/>
    <w:rsid w:val="001952AE"/>
    <w:rsid w:val="0019741B"/>
    <w:rsid w:val="001A07A1"/>
    <w:rsid w:val="001A41F7"/>
    <w:rsid w:val="001A46C0"/>
    <w:rsid w:val="001B2C55"/>
    <w:rsid w:val="001B6D4E"/>
    <w:rsid w:val="001C5ACE"/>
    <w:rsid w:val="001D3EEC"/>
    <w:rsid w:val="001E1550"/>
    <w:rsid w:val="00214EEC"/>
    <w:rsid w:val="00216E32"/>
    <w:rsid w:val="00217EC3"/>
    <w:rsid w:val="00217FC9"/>
    <w:rsid w:val="00221B46"/>
    <w:rsid w:val="002517DC"/>
    <w:rsid w:val="00253E08"/>
    <w:rsid w:val="0025592B"/>
    <w:rsid w:val="00256818"/>
    <w:rsid w:val="00264B4F"/>
    <w:rsid w:val="00272A1F"/>
    <w:rsid w:val="00275AD8"/>
    <w:rsid w:val="00294E8E"/>
    <w:rsid w:val="002952B7"/>
    <w:rsid w:val="00297CD6"/>
    <w:rsid w:val="002A5BCB"/>
    <w:rsid w:val="002A5C8F"/>
    <w:rsid w:val="002B78B6"/>
    <w:rsid w:val="002C08BF"/>
    <w:rsid w:val="002C532F"/>
    <w:rsid w:val="002C6C07"/>
    <w:rsid w:val="002D3FAA"/>
    <w:rsid w:val="002E5AF0"/>
    <w:rsid w:val="002E5FA9"/>
    <w:rsid w:val="002E7688"/>
    <w:rsid w:val="002F1D78"/>
    <w:rsid w:val="002F3C98"/>
    <w:rsid w:val="002F5B6A"/>
    <w:rsid w:val="002F6C01"/>
    <w:rsid w:val="00307479"/>
    <w:rsid w:val="00312119"/>
    <w:rsid w:val="0031427B"/>
    <w:rsid w:val="00316C11"/>
    <w:rsid w:val="003269FC"/>
    <w:rsid w:val="00326BEA"/>
    <w:rsid w:val="00326EF8"/>
    <w:rsid w:val="003340F2"/>
    <w:rsid w:val="00344F53"/>
    <w:rsid w:val="00347BA9"/>
    <w:rsid w:val="00350F2C"/>
    <w:rsid w:val="00353963"/>
    <w:rsid w:val="003578CE"/>
    <w:rsid w:val="003606B3"/>
    <w:rsid w:val="003608D0"/>
    <w:rsid w:val="00362B9B"/>
    <w:rsid w:val="003643D9"/>
    <w:rsid w:val="003717E3"/>
    <w:rsid w:val="003769C8"/>
    <w:rsid w:val="00376C22"/>
    <w:rsid w:val="00377FE4"/>
    <w:rsid w:val="003812C8"/>
    <w:rsid w:val="00387678"/>
    <w:rsid w:val="00393836"/>
    <w:rsid w:val="003963F0"/>
    <w:rsid w:val="003A15A0"/>
    <w:rsid w:val="003A1A34"/>
    <w:rsid w:val="003B0588"/>
    <w:rsid w:val="003D0B22"/>
    <w:rsid w:val="003D23F6"/>
    <w:rsid w:val="003D308A"/>
    <w:rsid w:val="003D3D38"/>
    <w:rsid w:val="003E0110"/>
    <w:rsid w:val="003E2A85"/>
    <w:rsid w:val="003E355C"/>
    <w:rsid w:val="003F3157"/>
    <w:rsid w:val="003F63FC"/>
    <w:rsid w:val="0040499A"/>
    <w:rsid w:val="00416F95"/>
    <w:rsid w:val="00445069"/>
    <w:rsid w:val="004600AA"/>
    <w:rsid w:val="00464A54"/>
    <w:rsid w:val="00465FEC"/>
    <w:rsid w:val="00474B30"/>
    <w:rsid w:val="00482A41"/>
    <w:rsid w:val="00486A01"/>
    <w:rsid w:val="00496AA3"/>
    <w:rsid w:val="004A4950"/>
    <w:rsid w:val="004A4B95"/>
    <w:rsid w:val="004A60A2"/>
    <w:rsid w:val="004A74E7"/>
    <w:rsid w:val="004B2781"/>
    <w:rsid w:val="004B6441"/>
    <w:rsid w:val="004C5189"/>
    <w:rsid w:val="004D2BD6"/>
    <w:rsid w:val="004E535D"/>
    <w:rsid w:val="004F3E1A"/>
    <w:rsid w:val="004F47AD"/>
    <w:rsid w:val="004F6587"/>
    <w:rsid w:val="00500130"/>
    <w:rsid w:val="0050086F"/>
    <w:rsid w:val="00510B64"/>
    <w:rsid w:val="00512070"/>
    <w:rsid w:val="00521617"/>
    <w:rsid w:val="00522C56"/>
    <w:rsid w:val="0052390D"/>
    <w:rsid w:val="00527DED"/>
    <w:rsid w:val="00531761"/>
    <w:rsid w:val="00532F84"/>
    <w:rsid w:val="005344CD"/>
    <w:rsid w:val="00534DBC"/>
    <w:rsid w:val="00535CF4"/>
    <w:rsid w:val="005361E9"/>
    <w:rsid w:val="00536A10"/>
    <w:rsid w:val="00541702"/>
    <w:rsid w:val="00541D94"/>
    <w:rsid w:val="00542BAC"/>
    <w:rsid w:val="00546980"/>
    <w:rsid w:val="0056165E"/>
    <w:rsid w:val="005848FD"/>
    <w:rsid w:val="00593B81"/>
    <w:rsid w:val="005C2382"/>
    <w:rsid w:val="005D09B1"/>
    <w:rsid w:val="005D19AD"/>
    <w:rsid w:val="005D4A1A"/>
    <w:rsid w:val="005E5C06"/>
    <w:rsid w:val="005E6929"/>
    <w:rsid w:val="005F29A3"/>
    <w:rsid w:val="0060404D"/>
    <w:rsid w:val="00604DD6"/>
    <w:rsid w:val="00612489"/>
    <w:rsid w:val="0062122E"/>
    <w:rsid w:val="0062232F"/>
    <w:rsid w:val="00622D35"/>
    <w:rsid w:val="006258BC"/>
    <w:rsid w:val="00627767"/>
    <w:rsid w:val="00634633"/>
    <w:rsid w:val="006473FD"/>
    <w:rsid w:val="0064787A"/>
    <w:rsid w:val="00654029"/>
    <w:rsid w:val="00661377"/>
    <w:rsid w:val="0066643B"/>
    <w:rsid w:val="00666908"/>
    <w:rsid w:val="00667BB7"/>
    <w:rsid w:val="00670A3E"/>
    <w:rsid w:val="00674E11"/>
    <w:rsid w:val="00676D07"/>
    <w:rsid w:val="00685FD2"/>
    <w:rsid w:val="006922E3"/>
    <w:rsid w:val="0069644D"/>
    <w:rsid w:val="00697E5A"/>
    <w:rsid w:val="006A19B8"/>
    <w:rsid w:val="006B19D1"/>
    <w:rsid w:val="006D0497"/>
    <w:rsid w:val="006D3142"/>
    <w:rsid w:val="006D7E96"/>
    <w:rsid w:val="006E6CA1"/>
    <w:rsid w:val="006F06CD"/>
    <w:rsid w:val="006F2A03"/>
    <w:rsid w:val="006F3188"/>
    <w:rsid w:val="0070238D"/>
    <w:rsid w:val="00705C79"/>
    <w:rsid w:val="00707172"/>
    <w:rsid w:val="0071304C"/>
    <w:rsid w:val="00727A52"/>
    <w:rsid w:val="007308B3"/>
    <w:rsid w:val="00731ABB"/>
    <w:rsid w:val="007320FF"/>
    <w:rsid w:val="00736A9B"/>
    <w:rsid w:val="00741C52"/>
    <w:rsid w:val="0075098D"/>
    <w:rsid w:val="00757027"/>
    <w:rsid w:val="00766D45"/>
    <w:rsid w:val="007727DF"/>
    <w:rsid w:val="007923FE"/>
    <w:rsid w:val="007B3843"/>
    <w:rsid w:val="007B38FC"/>
    <w:rsid w:val="007B5A67"/>
    <w:rsid w:val="007C7C7C"/>
    <w:rsid w:val="007D7493"/>
    <w:rsid w:val="007E50DB"/>
    <w:rsid w:val="007E52C1"/>
    <w:rsid w:val="007E60AE"/>
    <w:rsid w:val="007F34B4"/>
    <w:rsid w:val="007F3702"/>
    <w:rsid w:val="00801096"/>
    <w:rsid w:val="00804AE9"/>
    <w:rsid w:val="00804C32"/>
    <w:rsid w:val="00811C83"/>
    <w:rsid w:val="00813598"/>
    <w:rsid w:val="00816408"/>
    <w:rsid w:val="008241C0"/>
    <w:rsid w:val="00845D66"/>
    <w:rsid w:val="008509D4"/>
    <w:rsid w:val="0085137A"/>
    <w:rsid w:val="00852A8B"/>
    <w:rsid w:val="00860FC7"/>
    <w:rsid w:val="008615C4"/>
    <w:rsid w:val="00861E1C"/>
    <w:rsid w:val="00862D19"/>
    <w:rsid w:val="00877177"/>
    <w:rsid w:val="00885565"/>
    <w:rsid w:val="0089727E"/>
    <w:rsid w:val="008A251F"/>
    <w:rsid w:val="008A5AF3"/>
    <w:rsid w:val="008B2208"/>
    <w:rsid w:val="008E00A6"/>
    <w:rsid w:val="008F2654"/>
    <w:rsid w:val="008F2B56"/>
    <w:rsid w:val="008F52A2"/>
    <w:rsid w:val="008F66FA"/>
    <w:rsid w:val="00907054"/>
    <w:rsid w:val="009120AB"/>
    <w:rsid w:val="00915E40"/>
    <w:rsid w:val="00917C4B"/>
    <w:rsid w:val="0093057E"/>
    <w:rsid w:val="0093214B"/>
    <w:rsid w:val="00934193"/>
    <w:rsid w:val="00935906"/>
    <w:rsid w:val="00946203"/>
    <w:rsid w:val="00951C77"/>
    <w:rsid w:val="0095590F"/>
    <w:rsid w:val="00956301"/>
    <w:rsid w:val="0099163B"/>
    <w:rsid w:val="00991739"/>
    <w:rsid w:val="00991DA1"/>
    <w:rsid w:val="00997226"/>
    <w:rsid w:val="009A33DE"/>
    <w:rsid w:val="009A5262"/>
    <w:rsid w:val="009A7C45"/>
    <w:rsid w:val="009C42BF"/>
    <w:rsid w:val="009C7644"/>
    <w:rsid w:val="009E3837"/>
    <w:rsid w:val="009E68C3"/>
    <w:rsid w:val="009F5D48"/>
    <w:rsid w:val="00A14E5C"/>
    <w:rsid w:val="00A14F7C"/>
    <w:rsid w:val="00A17B9E"/>
    <w:rsid w:val="00A21DC4"/>
    <w:rsid w:val="00A2301C"/>
    <w:rsid w:val="00A36EE8"/>
    <w:rsid w:val="00A671B6"/>
    <w:rsid w:val="00A67386"/>
    <w:rsid w:val="00A77683"/>
    <w:rsid w:val="00A810DA"/>
    <w:rsid w:val="00A860FC"/>
    <w:rsid w:val="00A862DF"/>
    <w:rsid w:val="00A87F6D"/>
    <w:rsid w:val="00AA63BE"/>
    <w:rsid w:val="00AB72E4"/>
    <w:rsid w:val="00AB76C9"/>
    <w:rsid w:val="00AB7FC0"/>
    <w:rsid w:val="00AC7E1B"/>
    <w:rsid w:val="00AD033E"/>
    <w:rsid w:val="00AD274B"/>
    <w:rsid w:val="00AE2E61"/>
    <w:rsid w:val="00B04FAF"/>
    <w:rsid w:val="00B11B1D"/>
    <w:rsid w:val="00B15B2C"/>
    <w:rsid w:val="00B17060"/>
    <w:rsid w:val="00B2353D"/>
    <w:rsid w:val="00B318ED"/>
    <w:rsid w:val="00B3598A"/>
    <w:rsid w:val="00B366E9"/>
    <w:rsid w:val="00B401BE"/>
    <w:rsid w:val="00B415FD"/>
    <w:rsid w:val="00B420AA"/>
    <w:rsid w:val="00B43E91"/>
    <w:rsid w:val="00B44398"/>
    <w:rsid w:val="00B447A7"/>
    <w:rsid w:val="00B46422"/>
    <w:rsid w:val="00B50F2E"/>
    <w:rsid w:val="00B510B7"/>
    <w:rsid w:val="00B56AD5"/>
    <w:rsid w:val="00B6090B"/>
    <w:rsid w:val="00B60FE5"/>
    <w:rsid w:val="00B70669"/>
    <w:rsid w:val="00B7501C"/>
    <w:rsid w:val="00B80AAF"/>
    <w:rsid w:val="00B90848"/>
    <w:rsid w:val="00BB1F96"/>
    <w:rsid w:val="00BB43DA"/>
    <w:rsid w:val="00BD2CDE"/>
    <w:rsid w:val="00BE5C1B"/>
    <w:rsid w:val="00BE6454"/>
    <w:rsid w:val="00BF767D"/>
    <w:rsid w:val="00C00D27"/>
    <w:rsid w:val="00C119A0"/>
    <w:rsid w:val="00C159C1"/>
    <w:rsid w:val="00C17203"/>
    <w:rsid w:val="00C17834"/>
    <w:rsid w:val="00C26009"/>
    <w:rsid w:val="00C3038B"/>
    <w:rsid w:val="00C47190"/>
    <w:rsid w:val="00C57AC1"/>
    <w:rsid w:val="00C66135"/>
    <w:rsid w:val="00C66471"/>
    <w:rsid w:val="00C733A8"/>
    <w:rsid w:val="00C766D3"/>
    <w:rsid w:val="00C941AD"/>
    <w:rsid w:val="00C969B7"/>
    <w:rsid w:val="00CA7774"/>
    <w:rsid w:val="00CB69F0"/>
    <w:rsid w:val="00CC2CE4"/>
    <w:rsid w:val="00CD1BA0"/>
    <w:rsid w:val="00CD7756"/>
    <w:rsid w:val="00CE5E35"/>
    <w:rsid w:val="00CF1368"/>
    <w:rsid w:val="00CF47A4"/>
    <w:rsid w:val="00CF563B"/>
    <w:rsid w:val="00D03BC7"/>
    <w:rsid w:val="00D11090"/>
    <w:rsid w:val="00D23232"/>
    <w:rsid w:val="00D2365B"/>
    <w:rsid w:val="00D33FE0"/>
    <w:rsid w:val="00D41679"/>
    <w:rsid w:val="00D41DEE"/>
    <w:rsid w:val="00D43200"/>
    <w:rsid w:val="00D44BC6"/>
    <w:rsid w:val="00D50747"/>
    <w:rsid w:val="00D52504"/>
    <w:rsid w:val="00D649D1"/>
    <w:rsid w:val="00D74FA6"/>
    <w:rsid w:val="00D75374"/>
    <w:rsid w:val="00D75F1E"/>
    <w:rsid w:val="00D84937"/>
    <w:rsid w:val="00D92563"/>
    <w:rsid w:val="00D95875"/>
    <w:rsid w:val="00DB06C4"/>
    <w:rsid w:val="00DB5BF9"/>
    <w:rsid w:val="00DC04E5"/>
    <w:rsid w:val="00DD38BC"/>
    <w:rsid w:val="00DD5F34"/>
    <w:rsid w:val="00DD6913"/>
    <w:rsid w:val="00DF75A6"/>
    <w:rsid w:val="00E0293F"/>
    <w:rsid w:val="00E03AED"/>
    <w:rsid w:val="00E042A9"/>
    <w:rsid w:val="00E0571B"/>
    <w:rsid w:val="00E17B2E"/>
    <w:rsid w:val="00E270CE"/>
    <w:rsid w:val="00E275FC"/>
    <w:rsid w:val="00E31F4D"/>
    <w:rsid w:val="00E32395"/>
    <w:rsid w:val="00E34A48"/>
    <w:rsid w:val="00E42963"/>
    <w:rsid w:val="00E45340"/>
    <w:rsid w:val="00E46F87"/>
    <w:rsid w:val="00E5175F"/>
    <w:rsid w:val="00E52AA0"/>
    <w:rsid w:val="00E53468"/>
    <w:rsid w:val="00E55C59"/>
    <w:rsid w:val="00E70237"/>
    <w:rsid w:val="00E72DCC"/>
    <w:rsid w:val="00E8144F"/>
    <w:rsid w:val="00E8630C"/>
    <w:rsid w:val="00E964EC"/>
    <w:rsid w:val="00E96E7C"/>
    <w:rsid w:val="00EA20FA"/>
    <w:rsid w:val="00EA40F7"/>
    <w:rsid w:val="00EA625C"/>
    <w:rsid w:val="00EB36C8"/>
    <w:rsid w:val="00EB69B5"/>
    <w:rsid w:val="00EC4523"/>
    <w:rsid w:val="00EC6619"/>
    <w:rsid w:val="00EC6FD7"/>
    <w:rsid w:val="00F04F8E"/>
    <w:rsid w:val="00F11492"/>
    <w:rsid w:val="00F1789A"/>
    <w:rsid w:val="00F250B5"/>
    <w:rsid w:val="00F26E66"/>
    <w:rsid w:val="00F53ECB"/>
    <w:rsid w:val="00F5643D"/>
    <w:rsid w:val="00F612AB"/>
    <w:rsid w:val="00F61E1D"/>
    <w:rsid w:val="00F71228"/>
    <w:rsid w:val="00F94EBB"/>
    <w:rsid w:val="00FA034E"/>
    <w:rsid w:val="00FA0651"/>
    <w:rsid w:val="00FA755D"/>
    <w:rsid w:val="00FB37E3"/>
    <w:rsid w:val="00FC55F9"/>
    <w:rsid w:val="00FC5DFB"/>
    <w:rsid w:val="00FD0A6B"/>
    <w:rsid w:val="00FD5F7B"/>
    <w:rsid w:val="00FD66BC"/>
    <w:rsid w:val="00FE7E04"/>
    <w:rsid w:val="00FF3B69"/>
    <w:rsid w:val="00FF4E99"/>
    <w:rsid w:val="00FF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B9B"/>
    <w:rPr>
      <w:szCs w:val="22"/>
      <w:lang w:bidi="en-US"/>
    </w:rPr>
  </w:style>
  <w:style w:type="paragraph" w:styleId="Heading1">
    <w:name w:val="heading 1"/>
    <w:basedOn w:val="Heading2"/>
    <w:next w:val="Normal"/>
    <w:link w:val="Heading1Char"/>
    <w:uiPriority w:val="9"/>
    <w:qFormat/>
    <w:rsid w:val="00510B64"/>
    <w:pPr>
      <w:pBdr>
        <w:bottom w:val="single" w:sz="4" w:space="1" w:color="auto"/>
      </w:pBdr>
      <w:outlineLvl w:val="0"/>
    </w:pPr>
    <w:rPr>
      <w:sz w:val="32"/>
      <w:szCs w:val="32"/>
    </w:rPr>
  </w:style>
  <w:style w:type="paragraph" w:styleId="Heading2">
    <w:name w:val="heading 2"/>
    <w:basedOn w:val="Normal"/>
    <w:next w:val="Normal"/>
    <w:link w:val="Heading2Char"/>
    <w:uiPriority w:val="9"/>
    <w:unhideWhenUsed/>
    <w:qFormat/>
    <w:rsid w:val="00510B64"/>
    <w:pPr>
      <w:spacing w:before="120"/>
      <w:outlineLvl w:val="1"/>
    </w:pPr>
    <w:rPr>
      <w:b/>
      <w:sz w:val="24"/>
      <w:szCs w:val="24"/>
    </w:rPr>
  </w:style>
  <w:style w:type="paragraph" w:styleId="Heading3">
    <w:name w:val="heading 3"/>
    <w:basedOn w:val="Normal"/>
    <w:next w:val="Normal"/>
    <w:link w:val="Heading3Char"/>
    <w:uiPriority w:val="9"/>
    <w:unhideWhenUsed/>
    <w:qFormat/>
    <w:rsid w:val="00445069"/>
    <w:pPr>
      <w:outlineLvl w:val="2"/>
    </w:pPr>
    <w:rPr>
      <w:u w:val="single"/>
    </w:rPr>
  </w:style>
  <w:style w:type="paragraph" w:styleId="Heading4">
    <w:name w:val="heading 4"/>
    <w:basedOn w:val="Normal"/>
    <w:next w:val="Normal"/>
    <w:link w:val="Heading4Char"/>
    <w:uiPriority w:val="9"/>
    <w:semiHidden/>
    <w:unhideWhenUsed/>
    <w:qFormat/>
    <w:rsid w:val="00D649D1"/>
    <w:pPr>
      <w:spacing w:before="200"/>
      <w:outlineLvl w:val="3"/>
    </w:pPr>
    <w:rPr>
      <w:rFonts w:ascii="Cambria" w:eastAsia="Times New Roman" w:hAnsi="Cambria"/>
      <w:b/>
      <w:bCs/>
      <w:i/>
      <w:iCs/>
      <w:sz w:val="22"/>
    </w:rPr>
  </w:style>
  <w:style w:type="paragraph" w:styleId="Heading5">
    <w:name w:val="heading 5"/>
    <w:basedOn w:val="Normal"/>
    <w:next w:val="Normal"/>
    <w:link w:val="Heading5Char"/>
    <w:uiPriority w:val="9"/>
    <w:semiHidden/>
    <w:unhideWhenUsed/>
    <w:qFormat/>
    <w:rsid w:val="00D649D1"/>
    <w:pPr>
      <w:spacing w:before="200"/>
      <w:outlineLvl w:val="4"/>
    </w:pPr>
    <w:rPr>
      <w:rFonts w:ascii="Cambria" w:eastAsia="Times New Roman" w:hAnsi="Cambria"/>
      <w:b/>
      <w:bCs/>
      <w:color w:val="7F7F7F"/>
      <w:sz w:val="22"/>
    </w:rPr>
  </w:style>
  <w:style w:type="paragraph" w:styleId="Heading6">
    <w:name w:val="heading 6"/>
    <w:basedOn w:val="Normal"/>
    <w:next w:val="Normal"/>
    <w:link w:val="Heading6Char"/>
    <w:uiPriority w:val="9"/>
    <w:semiHidden/>
    <w:unhideWhenUsed/>
    <w:qFormat/>
    <w:rsid w:val="00D649D1"/>
    <w:pPr>
      <w:spacing w:line="271" w:lineRule="auto"/>
      <w:outlineLvl w:val="5"/>
    </w:pPr>
    <w:rPr>
      <w:rFonts w:ascii="Cambria" w:eastAsia="Times New Roman" w:hAnsi="Cambria"/>
      <w:b/>
      <w:bCs/>
      <w:i/>
      <w:iCs/>
      <w:color w:val="7F7F7F"/>
      <w:sz w:val="22"/>
    </w:rPr>
  </w:style>
  <w:style w:type="paragraph" w:styleId="Heading7">
    <w:name w:val="heading 7"/>
    <w:basedOn w:val="Normal"/>
    <w:next w:val="Normal"/>
    <w:link w:val="Heading7Char"/>
    <w:uiPriority w:val="9"/>
    <w:semiHidden/>
    <w:unhideWhenUsed/>
    <w:qFormat/>
    <w:rsid w:val="00D649D1"/>
    <w:pPr>
      <w:outlineLvl w:val="6"/>
    </w:pPr>
    <w:rPr>
      <w:rFonts w:ascii="Cambria" w:eastAsia="Times New Roman" w:hAnsi="Cambria"/>
      <w:i/>
      <w:iCs/>
      <w:sz w:val="22"/>
    </w:rPr>
  </w:style>
  <w:style w:type="paragraph" w:styleId="Heading8">
    <w:name w:val="heading 8"/>
    <w:basedOn w:val="Normal"/>
    <w:next w:val="Normal"/>
    <w:link w:val="Heading8Char"/>
    <w:uiPriority w:val="9"/>
    <w:semiHidden/>
    <w:unhideWhenUsed/>
    <w:qFormat/>
    <w:rsid w:val="00D649D1"/>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D649D1"/>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B64"/>
    <w:rPr>
      <w:rFonts w:ascii="Calibri" w:hAnsi="Calibri"/>
      <w:b/>
      <w:sz w:val="32"/>
      <w:szCs w:val="32"/>
      <w:lang w:bidi="en-US"/>
    </w:rPr>
  </w:style>
  <w:style w:type="character" w:customStyle="1" w:styleId="Heading2Char">
    <w:name w:val="Heading 2 Char"/>
    <w:basedOn w:val="DefaultParagraphFont"/>
    <w:link w:val="Heading2"/>
    <w:uiPriority w:val="9"/>
    <w:rsid w:val="00510B64"/>
    <w:rPr>
      <w:rFonts w:ascii="Calibri" w:hAnsi="Calibri"/>
      <w:b/>
      <w:sz w:val="24"/>
      <w:szCs w:val="24"/>
      <w:lang w:bidi="en-US"/>
    </w:rPr>
  </w:style>
  <w:style w:type="character" w:customStyle="1" w:styleId="Heading3Char">
    <w:name w:val="Heading 3 Char"/>
    <w:basedOn w:val="DefaultParagraphFont"/>
    <w:link w:val="Heading3"/>
    <w:uiPriority w:val="9"/>
    <w:rsid w:val="00445069"/>
    <w:rPr>
      <w:rFonts w:ascii="Calibri" w:hAnsi="Calibri"/>
      <w:szCs w:val="22"/>
      <w:u w:val="single"/>
      <w:lang w:bidi="en-US"/>
    </w:rPr>
  </w:style>
  <w:style w:type="character" w:customStyle="1" w:styleId="Heading4Char">
    <w:name w:val="Heading 4 Char"/>
    <w:basedOn w:val="DefaultParagraphFont"/>
    <w:link w:val="Heading4"/>
    <w:uiPriority w:val="9"/>
    <w:semiHidden/>
    <w:rsid w:val="00D649D1"/>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D649D1"/>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D649D1"/>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D649D1"/>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D649D1"/>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D649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D649D1"/>
    <w:pPr>
      <w:pBdr>
        <w:bottom w:val="single" w:sz="4" w:space="1" w:color="auto"/>
      </w:pBdr>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D649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D649D1"/>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D649D1"/>
    <w:rPr>
      <w:rFonts w:ascii="Cambria" w:eastAsia="Times New Roman" w:hAnsi="Cambria" w:cs="Times New Roman"/>
      <w:i/>
      <w:iCs/>
      <w:spacing w:val="13"/>
      <w:sz w:val="24"/>
      <w:szCs w:val="24"/>
    </w:rPr>
  </w:style>
  <w:style w:type="character" w:styleId="Strong">
    <w:name w:val="Strong"/>
    <w:uiPriority w:val="22"/>
    <w:qFormat/>
    <w:rsid w:val="00D649D1"/>
    <w:rPr>
      <w:b/>
      <w:bCs/>
    </w:rPr>
  </w:style>
  <w:style w:type="character" w:styleId="Emphasis">
    <w:name w:val="Emphasis"/>
    <w:uiPriority w:val="20"/>
    <w:qFormat/>
    <w:rsid w:val="00D649D1"/>
    <w:rPr>
      <w:b/>
      <w:bCs/>
      <w:i/>
      <w:iCs/>
      <w:spacing w:val="10"/>
      <w:bdr w:val="none" w:sz="0" w:space="0" w:color="auto"/>
      <w:shd w:val="clear" w:color="auto" w:fill="auto"/>
    </w:rPr>
  </w:style>
  <w:style w:type="paragraph" w:styleId="NoSpacing">
    <w:name w:val="No Spacing"/>
    <w:aliases w:val="Bob Comments"/>
    <w:basedOn w:val="Normal"/>
    <w:link w:val="NoSpacingChar"/>
    <w:uiPriority w:val="1"/>
    <w:qFormat/>
    <w:rsid w:val="00D649D1"/>
  </w:style>
  <w:style w:type="paragraph" w:styleId="ListParagraph">
    <w:name w:val="List Paragraph"/>
    <w:basedOn w:val="Normal"/>
    <w:uiPriority w:val="34"/>
    <w:qFormat/>
    <w:rsid w:val="00D649D1"/>
    <w:pPr>
      <w:contextualSpacing/>
    </w:pPr>
  </w:style>
  <w:style w:type="paragraph" w:styleId="Quote">
    <w:name w:val="Quote"/>
    <w:basedOn w:val="Normal"/>
    <w:next w:val="Normal"/>
    <w:link w:val="QuoteChar"/>
    <w:uiPriority w:val="29"/>
    <w:qFormat/>
    <w:rsid w:val="00D649D1"/>
    <w:pPr>
      <w:spacing w:before="200"/>
      <w:ind w:right="360"/>
    </w:pPr>
    <w:rPr>
      <w:i/>
      <w:iCs/>
      <w:sz w:val="22"/>
    </w:rPr>
  </w:style>
  <w:style w:type="character" w:customStyle="1" w:styleId="QuoteChar">
    <w:name w:val="Quote Char"/>
    <w:basedOn w:val="DefaultParagraphFont"/>
    <w:link w:val="Quote"/>
    <w:uiPriority w:val="29"/>
    <w:rsid w:val="00D649D1"/>
    <w:rPr>
      <w:i/>
      <w:iCs/>
    </w:rPr>
  </w:style>
  <w:style w:type="paragraph" w:styleId="IntenseQuote">
    <w:name w:val="Intense Quote"/>
    <w:basedOn w:val="Normal"/>
    <w:next w:val="Normal"/>
    <w:link w:val="IntenseQuoteChar"/>
    <w:uiPriority w:val="30"/>
    <w:qFormat/>
    <w:rsid w:val="00D649D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30"/>
    <w:rsid w:val="00D649D1"/>
    <w:rPr>
      <w:b/>
      <w:bCs/>
      <w:i/>
      <w:iCs/>
    </w:rPr>
  </w:style>
  <w:style w:type="character" w:styleId="SubtleEmphasis">
    <w:name w:val="Subtle Emphasis"/>
    <w:uiPriority w:val="19"/>
    <w:qFormat/>
    <w:rsid w:val="00D649D1"/>
    <w:rPr>
      <w:i/>
      <w:iCs/>
    </w:rPr>
  </w:style>
  <w:style w:type="character" w:styleId="IntenseEmphasis">
    <w:name w:val="Intense Emphasis"/>
    <w:uiPriority w:val="21"/>
    <w:qFormat/>
    <w:rsid w:val="00D649D1"/>
    <w:rPr>
      <w:b/>
      <w:bCs/>
    </w:rPr>
  </w:style>
  <w:style w:type="character" w:styleId="SubtleReference">
    <w:name w:val="Subtle Reference"/>
    <w:uiPriority w:val="31"/>
    <w:qFormat/>
    <w:rsid w:val="00D649D1"/>
    <w:rPr>
      <w:smallCaps/>
    </w:rPr>
  </w:style>
  <w:style w:type="character" w:styleId="IntenseReference">
    <w:name w:val="Intense Reference"/>
    <w:uiPriority w:val="32"/>
    <w:qFormat/>
    <w:rsid w:val="00D649D1"/>
    <w:rPr>
      <w:smallCaps/>
      <w:spacing w:val="5"/>
      <w:u w:val="single"/>
    </w:rPr>
  </w:style>
  <w:style w:type="character" w:styleId="BookTitle">
    <w:name w:val="Book Title"/>
    <w:uiPriority w:val="33"/>
    <w:qFormat/>
    <w:rsid w:val="00D649D1"/>
    <w:rPr>
      <w:i/>
      <w:iCs/>
      <w:smallCaps/>
      <w:spacing w:val="5"/>
    </w:rPr>
  </w:style>
  <w:style w:type="paragraph" w:styleId="TOCHeading">
    <w:name w:val="TOC Heading"/>
    <w:basedOn w:val="Heading1"/>
    <w:next w:val="Normal"/>
    <w:uiPriority w:val="39"/>
    <w:semiHidden/>
    <w:unhideWhenUsed/>
    <w:qFormat/>
    <w:rsid w:val="00D649D1"/>
    <w:pPr>
      <w:outlineLvl w:val="9"/>
    </w:pPr>
  </w:style>
  <w:style w:type="paragraph" w:styleId="EndnoteText">
    <w:name w:val="endnote text"/>
    <w:basedOn w:val="Normal"/>
    <w:link w:val="EndnoteTextChar"/>
    <w:uiPriority w:val="99"/>
    <w:semiHidden/>
    <w:unhideWhenUsed/>
    <w:rsid w:val="00BB43DA"/>
    <w:rPr>
      <w:szCs w:val="20"/>
    </w:rPr>
  </w:style>
  <w:style w:type="character" w:customStyle="1" w:styleId="EndnoteTextChar">
    <w:name w:val="Endnote Text Char"/>
    <w:basedOn w:val="DefaultParagraphFont"/>
    <w:link w:val="EndnoteText"/>
    <w:uiPriority w:val="99"/>
    <w:semiHidden/>
    <w:rsid w:val="00BB43DA"/>
    <w:rPr>
      <w:rFonts w:ascii="Arial" w:hAnsi="Arial"/>
      <w:lang w:bidi="en-US"/>
    </w:rPr>
  </w:style>
  <w:style w:type="character" w:styleId="EndnoteReference">
    <w:name w:val="endnote reference"/>
    <w:basedOn w:val="DefaultParagraphFont"/>
    <w:uiPriority w:val="99"/>
    <w:semiHidden/>
    <w:unhideWhenUsed/>
    <w:rsid w:val="00BB43DA"/>
    <w:rPr>
      <w:vertAlign w:val="superscript"/>
    </w:rPr>
  </w:style>
  <w:style w:type="paragraph" w:styleId="BalloonText">
    <w:name w:val="Balloon Text"/>
    <w:basedOn w:val="Normal"/>
    <w:link w:val="BalloonTextChar"/>
    <w:uiPriority w:val="99"/>
    <w:semiHidden/>
    <w:unhideWhenUsed/>
    <w:rsid w:val="00E55C59"/>
    <w:rPr>
      <w:rFonts w:ascii="Tahoma" w:hAnsi="Tahoma" w:cs="Tahoma"/>
      <w:sz w:val="16"/>
      <w:szCs w:val="16"/>
    </w:rPr>
  </w:style>
  <w:style w:type="character" w:customStyle="1" w:styleId="BalloonTextChar">
    <w:name w:val="Balloon Text Char"/>
    <w:basedOn w:val="DefaultParagraphFont"/>
    <w:link w:val="BalloonText"/>
    <w:uiPriority w:val="99"/>
    <w:semiHidden/>
    <w:rsid w:val="00E55C59"/>
    <w:rPr>
      <w:rFonts w:ascii="Tahoma" w:hAnsi="Tahoma" w:cs="Tahoma"/>
      <w:sz w:val="16"/>
      <w:szCs w:val="16"/>
      <w:lang w:bidi="en-US"/>
    </w:rPr>
  </w:style>
  <w:style w:type="paragraph" w:styleId="Header">
    <w:name w:val="header"/>
    <w:basedOn w:val="Normal"/>
    <w:link w:val="HeaderChar"/>
    <w:uiPriority w:val="99"/>
    <w:unhideWhenUsed/>
    <w:rsid w:val="00DD5F34"/>
    <w:pPr>
      <w:tabs>
        <w:tab w:val="center" w:pos="4680"/>
        <w:tab w:val="right" w:pos="9360"/>
      </w:tabs>
    </w:pPr>
  </w:style>
  <w:style w:type="character" w:customStyle="1" w:styleId="HeaderChar">
    <w:name w:val="Header Char"/>
    <w:basedOn w:val="DefaultParagraphFont"/>
    <w:link w:val="Header"/>
    <w:uiPriority w:val="99"/>
    <w:rsid w:val="00DD5F34"/>
    <w:rPr>
      <w:rFonts w:ascii="Arial" w:hAnsi="Arial"/>
      <w:szCs w:val="22"/>
      <w:lang w:bidi="en-US"/>
    </w:rPr>
  </w:style>
  <w:style w:type="paragraph" w:styleId="Footer">
    <w:name w:val="footer"/>
    <w:basedOn w:val="Normal"/>
    <w:link w:val="FooterChar"/>
    <w:uiPriority w:val="99"/>
    <w:unhideWhenUsed/>
    <w:rsid w:val="00DD5F34"/>
    <w:pPr>
      <w:tabs>
        <w:tab w:val="center" w:pos="4680"/>
        <w:tab w:val="right" w:pos="9360"/>
      </w:tabs>
    </w:pPr>
  </w:style>
  <w:style w:type="character" w:customStyle="1" w:styleId="FooterChar">
    <w:name w:val="Footer Char"/>
    <w:basedOn w:val="DefaultParagraphFont"/>
    <w:link w:val="Footer"/>
    <w:uiPriority w:val="99"/>
    <w:rsid w:val="00DD5F34"/>
    <w:rPr>
      <w:rFonts w:ascii="Arial" w:hAnsi="Arial"/>
      <w:szCs w:val="22"/>
      <w:lang w:bidi="en-US"/>
    </w:rPr>
  </w:style>
  <w:style w:type="character" w:customStyle="1" w:styleId="NoSpacingChar">
    <w:name w:val="No Spacing Char"/>
    <w:aliases w:val="Bob Comments Char"/>
    <w:basedOn w:val="DefaultParagraphFont"/>
    <w:link w:val="NoSpacing"/>
    <w:uiPriority w:val="1"/>
    <w:rsid w:val="00510B64"/>
    <w:rPr>
      <w:rFonts w:ascii="Arial" w:hAnsi="Arial"/>
      <w:szCs w:val="22"/>
      <w:lang w:bidi="en-US"/>
    </w:rPr>
  </w:style>
  <w:style w:type="character" w:styleId="Hyperlink">
    <w:name w:val="Hyperlink"/>
    <w:basedOn w:val="DefaultParagraphFont"/>
    <w:uiPriority w:val="99"/>
    <w:unhideWhenUsed/>
    <w:rsid w:val="00362B9B"/>
    <w:rPr>
      <w:color w:val="0000FF"/>
      <w:u w:val="single"/>
    </w:rPr>
  </w:style>
  <w:style w:type="table" w:styleId="TableGrid">
    <w:name w:val="Table Grid"/>
    <w:basedOn w:val="TableNormal"/>
    <w:uiPriority w:val="59"/>
    <w:rsid w:val="00C178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542BA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542BA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4F3E1A"/>
    <w:rPr>
      <w:sz w:val="16"/>
      <w:szCs w:val="16"/>
    </w:rPr>
  </w:style>
  <w:style w:type="paragraph" w:styleId="CommentText">
    <w:name w:val="annotation text"/>
    <w:basedOn w:val="Normal"/>
    <w:link w:val="CommentTextChar"/>
    <w:uiPriority w:val="99"/>
    <w:semiHidden/>
    <w:unhideWhenUsed/>
    <w:rsid w:val="004F3E1A"/>
    <w:rPr>
      <w:szCs w:val="20"/>
    </w:rPr>
  </w:style>
  <w:style w:type="character" w:customStyle="1" w:styleId="CommentTextChar">
    <w:name w:val="Comment Text Char"/>
    <w:basedOn w:val="DefaultParagraphFont"/>
    <w:link w:val="CommentText"/>
    <w:uiPriority w:val="99"/>
    <w:semiHidden/>
    <w:rsid w:val="004F3E1A"/>
    <w:rPr>
      <w:lang w:bidi="en-US"/>
    </w:rPr>
  </w:style>
  <w:style w:type="paragraph" w:styleId="CommentSubject">
    <w:name w:val="annotation subject"/>
    <w:basedOn w:val="CommentText"/>
    <w:next w:val="CommentText"/>
    <w:link w:val="CommentSubjectChar"/>
    <w:uiPriority w:val="99"/>
    <w:semiHidden/>
    <w:unhideWhenUsed/>
    <w:rsid w:val="004F3E1A"/>
    <w:rPr>
      <w:b/>
      <w:bCs/>
    </w:rPr>
  </w:style>
  <w:style w:type="character" w:customStyle="1" w:styleId="CommentSubjectChar">
    <w:name w:val="Comment Subject Char"/>
    <w:basedOn w:val="CommentTextChar"/>
    <w:link w:val="CommentSubject"/>
    <w:uiPriority w:val="99"/>
    <w:semiHidden/>
    <w:rsid w:val="004F3E1A"/>
    <w:rPr>
      <w:b/>
      <w:bCs/>
      <w:lang w:bidi="en-US"/>
    </w:rPr>
  </w:style>
  <w:style w:type="paragraph" w:styleId="Revision">
    <w:name w:val="Revision"/>
    <w:hidden/>
    <w:uiPriority w:val="99"/>
    <w:semiHidden/>
    <w:rsid w:val="004A4950"/>
    <w:rPr>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75759">
      <w:bodyDiv w:val="1"/>
      <w:marLeft w:val="0"/>
      <w:marRight w:val="0"/>
      <w:marTop w:val="0"/>
      <w:marBottom w:val="0"/>
      <w:divBdr>
        <w:top w:val="none" w:sz="0" w:space="0" w:color="auto"/>
        <w:left w:val="none" w:sz="0" w:space="0" w:color="auto"/>
        <w:bottom w:val="none" w:sz="0" w:space="0" w:color="auto"/>
        <w:right w:val="none" w:sz="0" w:space="0" w:color="auto"/>
      </w:divBdr>
    </w:div>
    <w:div w:id="62456265">
      <w:bodyDiv w:val="1"/>
      <w:marLeft w:val="0"/>
      <w:marRight w:val="0"/>
      <w:marTop w:val="0"/>
      <w:marBottom w:val="0"/>
      <w:divBdr>
        <w:top w:val="none" w:sz="0" w:space="0" w:color="auto"/>
        <w:left w:val="none" w:sz="0" w:space="0" w:color="auto"/>
        <w:bottom w:val="none" w:sz="0" w:space="0" w:color="auto"/>
        <w:right w:val="none" w:sz="0" w:space="0" w:color="auto"/>
      </w:divBdr>
    </w:div>
    <w:div w:id="116997101">
      <w:bodyDiv w:val="1"/>
      <w:marLeft w:val="0"/>
      <w:marRight w:val="0"/>
      <w:marTop w:val="0"/>
      <w:marBottom w:val="0"/>
      <w:divBdr>
        <w:top w:val="none" w:sz="0" w:space="0" w:color="auto"/>
        <w:left w:val="none" w:sz="0" w:space="0" w:color="auto"/>
        <w:bottom w:val="none" w:sz="0" w:space="0" w:color="auto"/>
        <w:right w:val="none" w:sz="0" w:space="0" w:color="auto"/>
      </w:divBdr>
    </w:div>
    <w:div w:id="128128664">
      <w:bodyDiv w:val="1"/>
      <w:marLeft w:val="0"/>
      <w:marRight w:val="0"/>
      <w:marTop w:val="0"/>
      <w:marBottom w:val="0"/>
      <w:divBdr>
        <w:top w:val="none" w:sz="0" w:space="0" w:color="auto"/>
        <w:left w:val="none" w:sz="0" w:space="0" w:color="auto"/>
        <w:bottom w:val="none" w:sz="0" w:space="0" w:color="auto"/>
        <w:right w:val="none" w:sz="0" w:space="0" w:color="auto"/>
      </w:divBdr>
    </w:div>
    <w:div w:id="128935392">
      <w:bodyDiv w:val="1"/>
      <w:marLeft w:val="0"/>
      <w:marRight w:val="0"/>
      <w:marTop w:val="0"/>
      <w:marBottom w:val="0"/>
      <w:divBdr>
        <w:top w:val="none" w:sz="0" w:space="0" w:color="auto"/>
        <w:left w:val="none" w:sz="0" w:space="0" w:color="auto"/>
        <w:bottom w:val="none" w:sz="0" w:space="0" w:color="auto"/>
        <w:right w:val="none" w:sz="0" w:space="0" w:color="auto"/>
      </w:divBdr>
    </w:div>
    <w:div w:id="140587485">
      <w:bodyDiv w:val="1"/>
      <w:marLeft w:val="0"/>
      <w:marRight w:val="0"/>
      <w:marTop w:val="0"/>
      <w:marBottom w:val="0"/>
      <w:divBdr>
        <w:top w:val="none" w:sz="0" w:space="0" w:color="auto"/>
        <w:left w:val="none" w:sz="0" w:space="0" w:color="auto"/>
        <w:bottom w:val="none" w:sz="0" w:space="0" w:color="auto"/>
        <w:right w:val="none" w:sz="0" w:space="0" w:color="auto"/>
      </w:divBdr>
    </w:div>
    <w:div w:id="182478988">
      <w:bodyDiv w:val="1"/>
      <w:marLeft w:val="0"/>
      <w:marRight w:val="0"/>
      <w:marTop w:val="0"/>
      <w:marBottom w:val="0"/>
      <w:divBdr>
        <w:top w:val="none" w:sz="0" w:space="0" w:color="auto"/>
        <w:left w:val="none" w:sz="0" w:space="0" w:color="auto"/>
        <w:bottom w:val="none" w:sz="0" w:space="0" w:color="auto"/>
        <w:right w:val="none" w:sz="0" w:space="0" w:color="auto"/>
      </w:divBdr>
    </w:div>
    <w:div w:id="196162986">
      <w:bodyDiv w:val="1"/>
      <w:marLeft w:val="0"/>
      <w:marRight w:val="0"/>
      <w:marTop w:val="0"/>
      <w:marBottom w:val="0"/>
      <w:divBdr>
        <w:top w:val="none" w:sz="0" w:space="0" w:color="auto"/>
        <w:left w:val="none" w:sz="0" w:space="0" w:color="auto"/>
        <w:bottom w:val="none" w:sz="0" w:space="0" w:color="auto"/>
        <w:right w:val="none" w:sz="0" w:space="0" w:color="auto"/>
      </w:divBdr>
    </w:div>
    <w:div w:id="206918002">
      <w:bodyDiv w:val="1"/>
      <w:marLeft w:val="0"/>
      <w:marRight w:val="0"/>
      <w:marTop w:val="0"/>
      <w:marBottom w:val="0"/>
      <w:divBdr>
        <w:top w:val="none" w:sz="0" w:space="0" w:color="auto"/>
        <w:left w:val="none" w:sz="0" w:space="0" w:color="auto"/>
        <w:bottom w:val="none" w:sz="0" w:space="0" w:color="auto"/>
        <w:right w:val="none" w:sz="0" w:space="0" w:color="auto"/>
      </w:divBdr>
    </w:div>
    <w:div w:id="225452255">
      <w:bodyDiv w:val="1"/>
      <w:marLeft w:val="0"/>
      <w:marRight w:val="0"/>
      <w:marTop w:val="0"/>
      <w:marBottom w:val="0"/>
      <w:divBdr>
        <w:top w:val="none" w:sz="0" w:space="0" w:color="auto"/>
        <w:left w:val="none" w:sz="0" w:space="0" w:color="auto"/>
        <w:bottom w:val="none" w:sz="0" w:space="0" w:color="auto"/>
        <w:right w:val="none" w:sz="0" w:space="0" w:color="auto"/>
      </w:divBdr>
    </w:div>
    <w:div w:id="266815610">
      <w:bodyDiv w:val="1"/>
      <w:marLeft w:val="0"/>
      <w:marRight w:val="0"/>
      <w:marTop w:val="0"/>
      <w:marBottom w:val="0"/>
      <w:divBdr>
        <w:top w:val="none" w:sz="0" w:space="0" w:color="auto"/>
        <w:left w:val="none" w:sz="0" w:space="0" w:color="auto"/>
        <w:bottom w:val="none" w:sz="0" w:space="0" w:color="auto"/>
        <w:right w:val="none" w:sz="0" w:space="0" w:color="auto"/>
      </w:divBdr>
    </w:div>
    <w:div w:id="274142356">
      <w:bodyDiv w:val="1"/>
      <w:marLeft w:val="0"/>
      <w:marRight w:val="0"/>
      <w:marTop w:val="0"/>
      <w:marBottom w:val="0"/>
      <w:divBdr>
        <w:top w:val="none" w:sz="0" w:space="0" w:color="auto"/>
        <w:left w:val="none" w:sz="0" w:space="0" w:color="auto"/>
        <w:bottom w:val="none" w:sz="0" w:space="0" w:color="auto"/>
        <w:right w:val="none" w:sz="0" w:space="0" w:color="auto"/>
      </w:divBdr>
    </w:div>
    <w:div w:id="303660932">
      <w:bodyDiv w:val="1"/>
      <w:marLeft w:val="0"/>
      <w:marRight w:val="0"/>
      <w:marTop w:val="0"/>
      <w:marBottom w:val="0"/>
      <w:divBdr>
        <w:top w:val="none" w:sz="0" w:space="0" w:color="auto"/>
        <w:left w:val="none" w:sz="0" w:space="0" w:color="auto"/>
        <w:bottom w:val="none" w:sz="0" w:space="0" w:color="auto"/>
        <w:right w:val="none" w:sz="0" w:space="0" w:color="auto"/>
      </w:divBdr>
    </w:div>
    <w:div w:id="321351940">
      <w:bodyDiv w:val="1"/>
      <w:marLeft w:val="0"/>
      <w:marRight w:val="0"/>
      <w:marTop w:val="0"/>
      <w:marBottom w:val="0"/>
      <w:divBdr>
        <w:top w:val="none" w:sz="0" w:space="0" w:color="auto"/>
        <w:left w:val="none" w:sz="0" w:space="0" w:color="auto"/>
        <w:bottom w:val="none" w:sz="0" w:space="0" w:color="auto"/>
        <w:right w:val="none" w:sz="0" w:space="0" w:color="auto"/>
      </w:divBdr>
    </w:div>
    <w:div w:id="366415624">
      <w:bodyDiv w:val="1"/>
      <w:marLeft w:val="0"/>
      <w:marRight w:val="0"/>
      <w:marTop w:val="0"/>
      <w:marBottom w:val="0"/>
      <w:divBdr>
        <w:top w:val="none" w:sz="0" w:space="0" w:color="auto"/>
        <w:left w:val="none" w:sz="0" w:space="0" w:color="auto"/>
        <w:bottom w:val="none" w:sz="0" w:space="0" w:color="auto"/>
        <w:right w:val="none" w:sz="0" w:space="0" w:color="auto"/>
      </w:divBdr>
    </w:div>
    <w:div w:id="393746506">
      <w:bodyDiv w:val="1"/>
      <w:marLeft w:val="0"/>
      <w:marRight w:val="0"/>
      <w:marTop w:val="0"/>
      <w:marBottom w:val="0"/>
      <w:divBdr>
        <w:top w:val="none" w:sz="0" w:space="0" w:color="auto"/>
        <w:left w:val="none" w:sz="0" w:space="0" w:color="auto"/>
        <w:bottom w:val="none" w:sz="0" w:space="0" w:color="auto"/>
        <w:right w:val="none" w:sz="0" w:space="0" w:color="auto"/>
      </w:divBdr>
    </w:div>
    <w:div w:id="395051866">
      <w:bodyDiv w:val="1"/>
      <w:marLeft w:val="0"/>
      <w:marRight w:val="0"/>
      <w:marTop w:val="0"/>
      <w:marBottom w:val="0"/>
      <w:divBdr>
        <w:top w:val="none" w:sz="0" w:space="0" w:color="auto"/>
        <w:left w:val="none" w:sz="0" w:space="0" w:color="auto"/>
        <w:bottom w:val="none" w:sz="0" w:space="0" w:color="auto"/>
        <w:right w:val="none" w:sz="0" w:space="0" w:color="auto"/>
      </w:divBdr>
    </w:div>
    <w:div w:id="405733457">
      <w:bodyDiv w:val="1"/>
      <w:marLeft w:val="0"/>
      <w:marRight w:val="0"/>
      <w:marTop w:val="0"/>
      <w:marBottom w:val="0"/>
      <w:divBdr>
        <w:top w:val="none" w:sz="0" w:space="0" w:color="auto"/>
        <w:left w:val="none" w:sz="0" w:space="0" w:color="auto"/>
        <w:bottom w:val="none" w:sz="0" w:space="0" w:color="auto"/>
        <w:right w:val="none" w:sz="0" w:space="0" w:color="auto"/>
      </w:divBdr>
    </w:div>
    <w:div w:id="436170974">
      <w:bodyDiv w:val="1"/>
      <w:marLeft w:val="0"/>
      <w:marRight w:val="0"/>
      <w:marTop w:val="0"/>
      <w:marBottom w:val="0"/>
      <w:divBdr>
        <w:top w:val="none" w:sz="0" w:space="0" w:color="auto"/>
        <w:left w:val="none" w:sz="0" w:space="0" w:color="auto"/>
        <w:bottom w:val="none" w:sz="0" w:space="0" w:color="auto"/>
        <w:right w:val="none" w:sz="0" w:space="0" w:color="auto"/>
      </w:divBdr>
    </w:div>
    <w:div w:id="458493701">
      <w:bodyDiv w:val="1"/>
      <w:marLeft w:val="0"/>
      <w:marRight w:val="0"/>
      <w:marTop w:val="0"/>
      <w:marBottom w:val="0"/>
      <w:divBdr>
        <w:top w:val="none" w:sz="0" w:space="0" w:color="auto"/>
        <w:left w:val="none" w:sz="0" w:space="0" w:color="auto"/>
        <w:bottom w:val="none" w:sz="0" w:space="0" w:color="auto"/>
        <w:right w:val="none" w:sz="0" w:space="0" w:color="auto"/>
      </w:divBdr>
    </w:div>
    <w:div w:id="478687598">
      <w:bodyDiv w:val="1"/>
      <w:marLeft w:val="0"/>
      <w:marRight w:val="0"/>
      <w:marTop w:val="0"/>
      <w:marBottom w:val="0"/>
      <w:divBdr>
        <w:top w:val="none" w:sz="0" w:space="0" w:color="auto"/>
        <w:left w:val="none" w:sz="0" w:space="0" w:color="auto"/>
        <w:bottom w:val="none" w:sz="0" w:space="0" w:color="auto"/>
        <w:right w:val="none" w:sz="0" w:space="0" w:color="auto"/>
      </w:divBdr>
    </w:div>
    <w:div w:id="483741911">
      <w:bodyDiv w:val="1"/>
      <w:marLeft w:val="0"/>
      <w:marRight w:val="0"/>
      <w:marTop w:val="0"/>
      <w:marBottom w:val="0"/>
      <w:divBdr>
        <w:top w:val="none" w:sz="0" w:space="0" w:color="auto"/>
        <w:left w:val="none" w:sz="0" w:space="0" w:color="auto"/>
        <w:bottom w:val="none" w:sz="0" w:space="0" w:color="auto"/>
        <w:right w:val="none" w:sz="0" w:space="0" w:color="auto"/>
      </w:divBdr>
    </w:div>
    <w:div w:id="512452293">
      <w:bodyDiv w:val="1"/>
      <w:marLeft w:val="0"/>
      <w:marRight w:val="0"/>
      <w:marTop w:val="0"/>
      <w:marBottom w:val="0"/>
      <w:divBdr>
        <w:top w:val="none" w:sz="0" w:space="0" w:color="auto"/>
        <w:left w:val="none" w:sz="0" w:space="0" w:color="auto"/>
        <w:bottom w:val="none" w:sz="0" w:space="0" w:color="auto"/>
        <w:right w:val="none" w:sz="0" w:space="0" w:color="auto"/>
      </w:divBdr>
    </w:div>
    <w:div w:id="528178091">
      <w:bodyDiv w:val="1"/>
      <w:marLeft w:val="0"/>
      <w:marRight w:val="0"/>
      <w:marTop w:val="0"/>
      <w:marBottom w:val="0"/>
      <w:divBdr>
        <w:top w:val="none" w:sz="0" w:space="0" w:color="auto"/>
        <w:left w:val="none" w:sz="0" w:space="0" w:color="auto"/>
        <w:bottom w:val="none" w:sz="0" w:space="0" w:color="auto"/>
        <w:right w:val="none" w:sz="0" w:space="0" w:color="auto"/>
      </w:divBdr>
    </w:div>
    <w:div w:id="555238687">
      <w:bodyDiv w:val="1"/>
      <w:marLeft w:val="0"/>
      <w:marRight w:val="0"/>
      <w:marTop w:val="0"/>
      <w:marBottom w:val="0"/>
      <w:divBdr>
        <w:top w:val="none" w:sz="0" w:space="0" w:color="auto"/>
        <w:left w:val="none" w:sz="0" w:space="0" w:color="auto"/>
        <w:bottom w:val="none" w:sz="0" w:space="0" w:color="auto"/>
        <w:right w:val="none" w:sz="0" w:space="0" w:color="auto"/>
      </w:divBdr>
    </w:div>
    <w:div w:id="558513236">
      <w:bodyDiv w:val="1"/>
      <w:marLeft w:val="0"/>
      <w:marRight w:val="0"/>
      <w:marTop w:val="0"/>
      <w:marBottom w:val="0"/>
      <w:divBdr>
        <w:top w:val="none" w:sz="0" w:space="0" w:color="auto"/>
        <w:left w:val="none" w:sz="0" w:space="0" w:color="auto"/>
        <w:bottom w:val="none" w:sz="0" w:space="0" w:color="auto"/>
        <w:right w:val="none" w:sz="0" w:space="0" w:color="auto"/>
      </w:divBdr>
    </w:div>
    <w:div w:id="587538077">
      <w:bodyDiv w:val="1"/>
      <w:marLeft w:val="0"/>
      <w:marRight w:val="0"/>
      <w:marTop w:val="0"/>
      <w:marBottom w:val="0"/>
      <w:divBdr>
        <w:top w:val="none" w:sz="0" w:space="0" w:color="auto"/>
        <w:left w:val="none" w:sz="0" w:space="0" w:color="auto"/>
        <w:bottom w:val="none" w:sz="0" w:space="0" w:color="auto"/>
        <w:right w:val="none" w:sz="0" w:space="0" w:color="auto"/>
      </w:divBdr>
    </w:div>
    <w:div w:id="654339104">
      <w:bodyDiv w:val="1"/>
      <w:marLeft w:val="0"/>
      <w:marRight w:val="0"/>
      <w:marTop w:val="0"/>
      <w:marBottom w:val="0"/>
      <w:divBdr>
        <w:top w:val="none" w:sz="0" w:space="0" w:color="auto"/>
        <w:left w:val="none" w:sz="0" w:space="0" w:color="auto"/>
        <w:bottom w:val="none" w:sz="0" w:space="0" w:color="auto"/>
        <w:right w:val="none" w:sz="0" w:space="0" w:color="auto"/>
      </w:divBdr>
    </w:div>
    <w:div w:id="659698917">
      <w:bodyDiv w:val="1"/>
      <w:marLeft w:val="0"/>
      <w:marRight w:val="0"/>
      <w:marTop w:val="0"/>
      <w:marBottom w:val="0"/>
      <w:divBdr>
        <w:top w:val="none" w:sz="0" w:space="0" w:color="auto"/>
        <w:left w:val="none" w:sz="0" w:space="0" w:color="auto"/>
        <w:bottom w:val="none" w:sz="0" w:space="0" w:color="auto"/>
        <w:right w:val="none" w:sz="0" w:space="0" w:color="auto"/>
      </w:divBdr>
    </w:div>
    <w:div w:id="673993130">
      <w:bodyDiv w:val="1"/>
      <w:marLeft w:val="0"/>
      <w:marRight w:val="0"/>
      <w:marTop w:val="0"/>
      <w:marBottom w:val="0"/>
      <w:divBdr>
        <w:top w:val="none" w:sz="0" w:space="0" w:color="auto"/>
        <w:left w:val="none" w:sz="0" w:space="0" w:color="auto"/>
        <w:bottom w:val="none" w:sz="0" w:space="0" w:color="auto"/>
        <w:right w:val="none" w:sz="0" w:space="0" w:color="auto"/>
      </w:divBdr>
    </w:div>
    <w:div w:id="690569614">
      <w:bodyDiv w:val="1"/>
      <w:marLeft w:val="0"/>
      <w:marRight w:val="0"/>
      <w:marTop w:val="0"/>
      <w:marBottom w:val="0"/>
      <w:divBdr>
        <w:top w:val="none" w:sz="0" w:space="0" w:color="auto"/>
        <w:left w:val="none" w:sz="0" w:space="0" w:color="auto"/>
        <w:bottom w:val="none" w:sz="0" w:space="0" w:color="auto"/>
        <w:right w:val="none" w:sz="0" w:space="0" w:color="auto"/>
      </w:divBdr>
    </w:div>
    <w:div w:id="735711176">
      <w:bodyDiv w:val="1"/>
      <w:marLeft w:val="0"/>
      <w:marRight w:val="0"/>
      <w:marTop w:val="0"/>
      <w:marBottom w:val="0"/>
      <w:divBdr>
        <w:top w:val="none" w:sz="0" w:space="0" w:color="auto"/>
        <w:left w:val="none" w:sz="0" w:space="0" w:color="auto"/>
        <w:bottom w:val="none" w:sz="0" w:space="0" w:color="auto"/>
        <w:right w:val="none" w:sz="0" w:space="0" w:color="auto"/>
      </w:divBdr>
    </w:div>
    <w:div w:id="765030356">
      <w:bodyDiv w:val="1"/>
      <w:marLeft w:val="0"/>
      <w:marRight w:val="0"/>
      <w:marTop w:val="0"/>
      <w:marBottom w:val="0"/>
      <w:divBdr>
        <w:top w:val="none" w:sz="0" w:space="0" w:color="auto"/>
        <w:left w:val="none" w:sz="0" w:space="0" w:color="auto"/>
        <w:bottom w:val="none" w:sz="0" w:space="0" w:color="auto"/>
        <w:right w:val="none" w:sz="0" w:space="0" w:color="auto"/>
      </w:divBdr>
    </w:div>
    <w:div w:id="906961471">
      <w:bodyDiv w:val="1"/>
      <w:marLeft w:val="0"/>
      <w:marRight w:val="0"/>
      <w:marTop w:val="0"/>
      <w:marBottom w:val="0"/>
      <w:divBdr>
        <w:top w:val="none" w:sz="0" w:space="0" w:color="auto"/>
        <w:left w:val="none" w:sz="0" w:space="0" w:color="auto"/>
        <w:bottom w:val="none" w:sz="0" w:space="0" w:color="auto"/>
        <w:right w:val="none" w:sz="0" w:space="0" w:color="auto"/>
      </w:divBdr>
    </w:div>
    <w:div w:id="911046758">
      <w:bodyDiv w:val="1"/>
      <w:marLeft w:val="0"/>
      <w:marRight w:val="0"/>
      <w:marTop w:val="0"/>
      <w:marBottom w:val="0"/>
      <w:divBdr>
        <w:top w:val="none" w:sz="0" w:space="0" w:color="auto"/>
        <w:left w:val="none" w:sz="0" w:space="0" w:color="auto"/>
        <w:bottom w:val="none" w:sz="0" w:space="0" w:color="auto"/>
        <w:right w:val="none" w:sz="0" w:space="0" w:color="auto"/>
      </w:divBdr>
    </w:div>
    <w:div w:id="957488692">
      <w:bodyDiv w:val="1"/>
      <w:marLeft w:val="0"/>
      <w:marRight w:val="0"/>
      <w:marTop w:val="0"/>
      <w:marBottom w:val="0"/>
      <w:divBdr>
        <w:top w:val="none" w:sz="0" w:space="0" w:color="auto"/>
        <w:left w:val="none" w:sz="0" w:space="0" w:color="auto"/>
        <w:bottom w:val="none" w:sz="0" w:space="0" w:color="auto"/>
        <w:right w:val="none" w:sz="0" w:space="0" w:color="auto"/>
      </w:divBdr>
    </w:div>
    <w:div w:id="983849413">
      <w:bodyDiv w:val="1"/>
      <w:marLeft w:val="0"/>
      <w:marRight w:val="0"/>
      <w:marTop w:val="0"/>
      <w:marBottom w:val="0"/>
      <w:divBdr>
        <w:top w:val="none" w:sz="0" w:space="0" w:color="auto"/>
        <w:left w:val="none" w:sz="0" w:space="0" w:color="auto"/>
        <w:bottom w:val="none" w:sz="0" w:space="0" w:color="auto"/>
        <w:right w:val="none" w:sz="0" w:space="0" w:color="auto"/>
      </w:divBdr>
    </w:div>
    <w:div w:id="1004434521">
      <w:bodyDiv w:val="1"/>
      <w:marLeft w:val="0"/>
      <w:marRight w:val="0"/>
      <w:marTop w:val="0"/>
      <w:marBottom w:val="0"/>
      <w:divBdr>
        <w:top w:val="none" w:sz="0" w:space="0" w:color="auto"/>
        <w:left w:val="none" w:sz="0" w:space="0" w:color="auto"/>
        <w:bottom w:val="none" w:sz="0" w:space="0" w:color="auto"/>
        <w:right w:val="none" w:sz="0" w:space="0" w:color="auto"/>
      </w:divBdr>
    </w:div>
    <w:div w:id="1005867318">
      <w:bodyDiv w:val="1"/>
      <w:marLeft w:val="0"/>
      <w:marRight w:val="0"/>
      <w:marTop w:val="0"/>
      <w:marBottom w:val="0"/>
      <w:divBdr>
        <w:top w:val="none" w:sz="0" w:space="0" w:color="auto"/>
        <w:left w:val="none" w:sz="0" w:space="0" w:color="auto"/>
        <w:bottom w:val="none" w:sz="0" w:space="0" w:color="auto"/>
        <w:right w:val="none" w:sz="0" w:space="0" w:color="auto"/>
      </w:divBdr>
    </w:div>
    <w:div w:id="1027758685">
      <w:bodyDiv w:val="1"/>
      <w:marLeft w:val="0"/>
      <w:marRight w:val="0"/>
      <w:marTop w:val="0"/>
      <w:marBottom w:val="0"/>
      <w:divBdr>
        <w:top w:val="none" w:sz="0" w:space="0" w:color="auto"/>
        <w:left w:val="none" w:sz="0" w:space="0" w:color="auto"/>
        <w:bottom w:val="none" w:sz="0" w:space="0" w:color="auto"/>
        <w:right w:val="none" w:sz="0" w:space="0" w:color="auto"/>
      </w:divBdr>
    </w:div>
    <w:div w:id="1046955477">
      <w:bodyDiv w:val="1"/>
      <w:marLeft w:val="0"/>
      <w:marRight w:val="0"/>
      <w:marTop w:val="0"/>
      <w:marBottom w:val="0"/>
      <w:divBdr>
        <w:top w:val="none" w:sz="0" w:space="0" w:color="auto"/>
        <w:left w:val="none" w:sz="0" w:space="0" w:color="auto"/>
        <w:bottom w:val="none" w:sz="0" w:space="0" w:color="auto"/>
        <w:right w:val="none" w:sz="0" w:space="0" w:color="auto"/>
      </w:divBdr>
    </w:div>
    <w:div w:id="1056507218">
      <w:bodyDiv w:val="1"/>
      <w:marLeft w:val="0"/>
      <w:marRight w:val="0"/>
      <w:marTop w:val="0"/>
      <w:marBottom w:val="0"/>
      <w:divBdr>
        <w:top w:val="none" w:sz="0" w:space="0" w:color="auto"/>
        <w:left w:val="none" w:sz="0" w:space="0" w:color="auto"/>
        <w:bottom w:val="none" w:sz="0" w:space="0" w:color="auto"/>
        <w:right w:val="none" w:sz="0" w:space="0" w:color="auto"/>
      </w:divBdr>
    </w:div>
    <w:div w:id="1128356029">
      <w:bodyDiv w:val="1"/>
      <w:marLeft w:val="0"/>
      <w:marRight w:val="0"/>
      <w:marTop w:val="0"/>
      <w:marBottom w:val="0"/>
      <w:divBdr>
        <w:top w:val="none" w:sz="0" w:space="0" w:color="auto"/>
        <w:left w:val="none" w:sz="0" w:space="0" w:color="auto"/>
        <w:bottom w:val="none" w:sz="0" w:space="0" w:color="auto"/>
        <w:right w:val="none" w:sz="0" w:space="0" w:color="auto"/>
      </w:divBdr>
    </w:div>
    <w:div w:id="1177813067">
      <w:bodyDiv w:val="1"/>
      <w:marLeft w:val="0"/>
      <w:marRight w:val="0"/>
      <w:marTop w:val="0"/>
      <w:marBottom w:val="0"/>
      <w:divBdr>
        <w:top w:val="none" w:sz="0" w:space="0" w:color="auto"/>
        <w:left w:val="none" w:sz="0" w:space="0" w:color="auto"/>
        <w:bottom w:val="none" w:sz="0" w:space="0" w:color="auto"/>
        <w:right w:val="none" w:sz="0" w:space="0" w:color="auto"/>
      </w:divBdr>
    </w:div>
    <w:div w:id="1202858316">
      <w:bodyDiv w:val="1"/>
      <w:marLeft w:val="0"/>
      <w:marRight w:val="0"/>
      <w:marTop w:val="0"/>
      <w:marBottom w:val="0"/>
      <w:divBdr>
        <w:top w:val="none" w:sz="0" w:space="0" w:color="auto"/>
        <w:left w:val="none" w:sz="0" w:space="0" w:color="auto"/>
        <w:bottom w:val="none" w:sz="0" w:space="0" w:color="auto"/>
        <w:right w:val="none" w:sz="0" w:space="0" w:color="auto"/>
      </w:divBdr>
    </w:div>
    <w:div w:id="1203862506">
      <w:bodyDiv w:val="1"/>
      <w:marLeft w:val="0"/>
      <w:marRight w:val="0"/>
      <w:marTop w:val="0"/>
      <w:marBottom w:val="0"/>
      <w:divBdr>
        <w:top w:val="none" w:sz="0" w:space="0" w:color="auto"/>
        <w:left w:val="none" w:sz="0" w:space="0" w:color="auto"/>
        <w:bottom w:val="none" w:sz="0" w:space="0" w:color="auto"/>
        <w:right w:val="none" w:sz="0" w:space="0" w:color="auto"/>
      </w:divBdr>
    </w:div>
    <w:div w:id="1296524957">
      <w:bodyDiv w:val="1"/>
      <w:marLeft w:val="0"/>
      <w:marRight w:val="0"/>
      <w:marTop w:val="0"/>
      <w:marBottom w:val="0"/>
      <w:divBdr>
        <w:top w:val="none" w:sz="0" w:space="0" w:color="auto"/>
        <w:left w:val="none" w:sz="0" w:space="0" w:color="auto"/>
        <w:bottom w:val="none" w:sz="0" w:space="0" w:color="auto"/>
        <w:right w:val="none" w:sz="0" w:space="0" w:color="auto"/>
      </w:divBdr>
    </w:div>
    <w:div w:id="1306010996">
      <w:bodyDiv w:val="1"/>
      <w:marLeft w:val="0"/>
      <w:marRight w:val="0"/>
      <w:marTop w:val="0"/>
      <w:marBottom w:val="0"/>
      <w:divBdr>
        <w:top w:val="none" w:sz="0" w:space="0" w:color="auto"/>
        <w:left w:val="none" w:sz="0" w:space="0" w:color="auto"/>
        <w:bottom w:val="none" w:sz="0" w:space="0" w:color="auto"/>
        <w:right w:val="none" w:sz="0" w:space="0" w:color="auto"/>
      </w:divBdr>
    </w:div>
    <w:div w:id="1308128789">
      <w:bodyDiv w:val="1"/>
      <w:marLeft w:val="0"/>
      <w:marRight w:val="0"/>
      <w:marTop w:val="0"/>
      <w:marBottom w:val="0"/>
      <w:divBdr>
        <w:top w:val="none" w:sz="0" w:space="0" w:color="auto"/>
        <w:left w:val="none" w:sz="0" w:space="0" w:color="auto"/>
        <w:bottom w:val="none" w:sz="0" w:space="0" w:color="auto"/>
        <w:right w:val="none" w:sz="0" w:space="0" w:color="auto"/>
      </w:divBdr>
    </w:div>
    <w:div w:id="1324511036">
      <w:bodyDiv w:val="1"/>
      <w:marLeft w:val="0"/>
      <w:marRight w:val="0"/>
      <w:marTop w:val="0"/>
      <w:marBottom w:val="0"/>
      <w:divBdr>
        <w:top w:val="none" w:sz="0" w:space="0" w:color="auto"/>
        <w:left w:val="none" w:sz="0" w:space="0" w:color="auto"/>
        <w:bottom w:val="none" w:sz="0" w:space="0" w:color="auto"/>
        <w:right w:val="none" w:sz="0" w:space="0" w:color="auto"/>
      </w:divBdr>
    </w:div>
    <w:div w:id="1367288379">
      <w:bodyDiv w:val="1"/>
      <w:marLeft w:val="0"/>
      <w:marRight w:val="0"/>
      <w:marTop w:val="0"/>
      <w:marBottom w:val="0"/>
      <w:divBdr>
        <w:top w:val="none" w:sz="0" w:space="0" w:color="auto"/>
        <w:left w:val="none" w:sz="0" w:space="0" w:color="auto"/>
        <w:bottom w:val="none" w:sz="0" w:space="0" w:color="auto"/>
        <w:right w:val="none" w:sz="0" w:space="0" w:color="auto"/>
      </w:divBdr>
    </w:div>
    <w:div w:id="1371997180">
      <w:bodyDiv w:val="1"/>
      <w:marLeft w:val="0"/>
      <w:marRight w:val="0"/>
      <w:marTop w:val="0"/>
      <w:marBottom w:val="0"/>
      <w:divBdr>
        <w:top w:val="none" w:sz="0" w:space="0" w:color="auto"/>
        <w:left w:val="none" w:sz="0" w:space="0" w:color="auto"/>
        <w:bottom w:val="none" w:sz="0" w:space="0" w:color="auto"/>
        <w:right w:val="none" w:sz="0" w:space="0" w:color="auto"/>
      </w:divBdr>
    </w:div>
    <w:div w:id="1401094887">
      <w:bodyDiv w:val="1"/>
      <w:marLeft w:val="0"/>
      <w:marRight w:val="0"/>
      <w:marTop w:val="0"/>
      <w:marBottom w:val="0"/>
      <w:divBdr>
        <w:top w:val="none" w:sz="0" w:space="0" w:color="auto"/>
        <w:left w:val="none" w:sz="0" w:space="0" w:color="auto"/>
        <w:bottom w:val="none" w:sz="0" w:space="0" w:color="auto"/>
        <w:right w:val="none" w:sz="0" w:space="0" w:color="auto"/>
      </w:divBdr>
    </w:div>
    <w:div w:id="1402175393">
      <w:bodyDiv w:val="1"/>
      <w:marLeft w:val="0"/>
      <w:marRight w:val="0"/>
      <w:marTop w:val="0"/>
      <w:marBottom w:val="0"/>
      <w:divBdr>
        <w:top w:val="none" w:sz="0" w:space="0" w:color="auto"/>
        <w:left w:val="none" w:sz="0" w:space="0" w:color="auto"/>
        <w:bottom w:val="none" w:sz="0" w:space="0" w:color="auto"/>
        <w:right w:val="none" w:sz="0" w:space="0" w:color="auto"/>
      </w:divBdr>
    </w:div>
    <w:div w:id="1418476648">
      <w:bodyDiv w:val="1"/>
      <w:marLeft w:val="0"/>
      <w:marRight w:val="0"/>
      <w:marTop w:val="0"/>
      <w:marBottom w:val="0"/>
      <w:divBdr>
        <w:top w:val="none" w:sz="0" w:space="0" w:color="auto"/>
        <w:left w:val="none" w:sz="0" w:space="0" w:color="auto"/>
        <w:bottom w:val="none" w:sz="0" w:space="0" w:color="auto"/>
        <w:right w:val="none" w:sz="0" w:space="0" w:color="auto"/>
      </w:divBdr>
    </w:div>
    <w:div w:id="1457261305">
      <w:bodyDiv w:val="1"/>
      <w:marLeft w:val="0"/>
      <w:marRight w:val="0"/>
      <w:marTop w:val="0"/>
      <w:marBottom w:val="0"/>
      <w:divBdr>
        <w:top w:val="none" w:sz="0" w:space="0" w:color="auto"/>
        <w:left w:val="none" w:sz="0" w:space="0" w:color="auto"/>
        <w:bottom w:val="none" w:sz="0" w:space="0" w:color="auto"/>
        <w:right w:val="none" w:sz="0" w:space="0" w:color="auto"/>
      </w:divBdr>
    </w:div>
    <w:div w:id="1469084352">
      <w:bodyDiv w:val="1"/>
      <w:marLeft w:val="0"/>
      <w:marRight w:val="0"/>
      <w:marTop w:val="0"/>
      <w:marBottom w:val="0"/>
      <w:divBdr>
        <w:top w:val="none" w:sz="0" w:space="0" w:color="auto"/>
        <w:left w:val="none" w:sz="0" w:space="0" w:color="auto"/>
        <w:bottom w:val="none" w:sz="0" w:space="0" w:color="auto"/>
        <w:right w:val="none" w:sz="0" w:space="0" w:color="auto"/>
      </w:divBdr>
    </w:div>
    <w:div w:id="1541747280">
      <w:bodyDiv w:val="1"/>
      <w:marLeft w:val="0"/>
      <w:marRight w:val="0"/>
      <w:marTop w:val="0"/>
      <w:marBottom w:val="0"/>
      <w:divBdr>
        <w:top w:val="none" w:sz="0" w:space="0" w:color="auto"/>
        <w:left w:val="none" w:sz="0" w:space="0" w:color="auto"/>
        <w:bottom w:val="none" w:sz="0" w:space="0" w:color="auto"/>
        <w:right w:val="none" w:sz="0" w:space="0" w:color="auto"/>
      </w:divBdr>
    </w:div>
    <w:div w:id="1554079577">
      <w:bodyDiv w:val="1"/>
      <w:marLeft w:val="0"/>
      <w:marRight w:val="0"/>
      <w:marTop w:val="0"/>
      <w:marBottom w:val="0"/>
      <w:divBdr>
        <w:top w:val="none" w:sz="0" w:space="0" w:color="auto"/>
        <w:left w:val="none" w:sz="0" w:space="0" w:color="auto"/>
        <w:bottom w:val="none" w:sz="0" w:space="0" w:color="auto"/>
        <w:right w:val="none" w:sz="0" w:space="0" w:color="auto"/>
      </w:divBdr>
    </w:div>
    <w:div w:id="1556770957">
      <w:bodyDiv w:val="1"/>
      <w:marLeft w:val="0"/>
      <w:marRight w:val="0"/>
      <w:marTop w:val="0"/>
      <w:marBottom w:val="0"/>
      <w:divBdr>
        <w:top w:val="none" w:sz="0" w:space="0" w:color="auto"/>
        <w:left w:val="none" w:sz="0" w:space="0" w:color="auto"/>
        <w:bottom w:val="none" w:sz="0" w:space="0" w:color="auto"/>
        <w:right w:val="none" w:sz="0" w:space="0" w:color="auto"/>
      </w:divBdr>
    </w:div>
    <w:div w:id="1600486912">
      <w:bodyDiv w:val="1"/>
      <w:marLeft w:val="0"/>
      <w:marRight w:val="0"/>
      <w:marTop w:val="0"/>
      <w:marBottom w:val="0"/>
      <w:divBdr>
        <w:top w:val="none" w:sz="0" w:space="0" w:color="auto"/>
        <w:left w:val="none" w:sz="0" w:space="0" w:color="auto"/>
        <w:bottom w:val="none" w:sz="0" w:space="0" w:color="auto"/>
        <w:right w:val="none" w:sz="0" w:space="0" w:color="auto"/>
      </w:divBdr>
    </w:div>
    <w:div w:id="1625429805">
      <w:bodyDiv w:val="1"/>
      <w:marLeft w:val="0"/>
      <w:marRight w:val="0"/>
      <w:marTop w:val="0"/>
      <w:marBottom w:val="0"/>
      <w:divBdr>
        <w:top w:val="none" w:sz="0" w:space="0" w:color="auto"/>
        <w:left w:val="none" w:sz="0" w:space="0" w:color="auto"/>
        <w:bottom w:val="none" w:sz="0" w:space="0" w:color="auto"/>
        <w:right w:val="none" w:sz="0" w:space="0" w:color="auto"/>
      </w:divBdr>
    </w:div>
    <w:div w:id="1636176446">
      <w:bodyDiv w:val="1"/>
      <w:marLeft w:val="0"/>
      <w:marRight w:val="0"/>
      <w:marTop w:val="0"/>
      <w:marBottom w:val="0"/>
      <w:divBdr>
        <w:top w:val="none" w:sz="0" w:space="0" w:color="auto"/>
        <w:left w:val="none" w:sz="0" w:space="0" w:color="auto"/>
        <w:bottom w:val="none" w:sz="0" w:space="0" w:color="auto"/>
        <w:right w:val="none" w:sz="0" w:space="0" w:color="auto"/>
      </w:divBdr>
    </w:div>
    <w:div w:id="1650136922">
      <w:bodyDiv w:val="1"/>
      <w:marLeft w:val="0"/>
      <w:marRight w:val="0"/>
      <w:marTop w:val="0"/>
      <w:marBottom w:val="0"/>
      <w:divBdr>
        <w:top w:val="none" w:sz="0" w:space="0" w:color="auto"/>
        <w:left w:val="none" w:sz="0" w:space="0" w:color="auto"/>
        <w:bottom w:val="none" w:sz="0" w:space="0" w:color="auto"/>
        <w:right w:val="none" w:sz="0" w:space="0" w:color="auto"/>
      </w:divBdr>
    </w:div>
    <w:div w:id="1734505668">
      <w:bodyDiv w:val="1"/>
      <w:marLeft w:val="0"/>
      <w:marRight w:val="0"/>
      <w:marTop w:val="0"/>
      <w:marBottom w:val="0"/>
      <w:divBdr>
        <w:top w:val="none" w:sz="0" w:space="0" w:color="auto"/>
        <w:left w:val="none" w:sz="0" w:space="0" w:color="auto"/>
        <w:bottom w:val="none" w:sz="0" w:space="0" w:color="auto"/>
        <w:right w:val="none" w:sz="0" w:space="0" w:color="auto"/>
      </w:divBdr>
    </w:div>
    <w:div w:id="1781416271">
      <w:bodyDiv w:val="1"/>
      <w:marLeft w:val="0"/>
      <w:marRight w:val="0"/>
      <w:marTop w:val="0"/>
      <w:marBottom w:val="0"/>
      <w:divBdr>
        <w:top w:val="none" w:sz="0" w:space="0" w:color="auto"/>
        <w:left w:val="none" w:sz="0" w:space="0" w:color="auto"/>
        <w:bottom w:val="none" w:sz="0" w:space="0" w:color="auto"/>
        <w:right w:val="none" w:sz="0" w:space="0" w:color="auto"/>
      </w:divBdr>
    </w:div>
    <w:div w:id="1785537358">
      <w:bodyDiv w:val="1"/>
      <w:marLeft w:val="0"/>
      <w:marRight w:val="0"/>
      <w:marTop w:val="0"/>
      <w:marBottom w:val="0"/>
      <w:divBdr>
        <w:top w:val="none" w:sz="0" w:space="0" w:color="auto"/>
        <w:left w:val="none" w:sz="0" w:space="0" w:color="auto"/>
        <w:bottom w:val="none" w:sz="0" w:space="0" w:color="auto"/>
        <w:right w:val="none" w:sz="0" w:space="0" w:color="auto"/>
      </w:divBdr>
    </w:div>
    <w:div w:id="1799881491">
      <w:bodyDiv w:val="1"/>
      <w:marLeft w:val="0"/>
      <w:marRight w:val="0"/>
      <w:marTop w:val="0"/>
      <w:marBottom w:val="0"/>
      <w:divBdr>
        <w:top w:val="none" w:sz="0" w:space="0" w:color="auto"/>
        <w:left w:val="none" w:sz="0" w:space="0" w:color="auto"/>
        <w:bottom w:val="none" w:sz="0" w:space="0" w:color="auto"/>
        <w:right w:val="none" w:sz="0" w:space="0" w:color="auto"/>
      </w:divBdr>
    </w:div>
    <w:div w:id="1981768757">
      <w:bodyDiv w:val="1"/>
      <w:marLeft w:val="0"/>
      <w:marRight w:val="0"/>
      <w:marTop w:val="0"/>
      <w:marBottom w:val="0"/>
      <w:divBdr>
        <w:top w:val="none" w:sz="0" w:space="0" w:color="auto"/>
        <w:left w:val="none" w:sz="0" w:space="0" w:color="auto"/>
        <w:bottom w:val="none" w:sz="0" w:space="0" w:color="auto"/>
        <w:right w:val="none" w:sz="0" w:space="0" w:color="auto"/>
      </w:divBdr>
    </w:div>
    <w:div w:id="1994485214">
      <w:bodyDiv w:val="1"/>
      <w:marLeft w:val="0"/>
      <w:marRight w:val="0"/>
      <w:marTop w:val="0"/>
      <w:marBottom w:val="0"/>
      <w:divBdr>
        <w:top w:val="none" w:sz="0" w:space="0" w:color="auto"/>
        <w:left w:val="none" w:sz="0" w:space="0" w:color="auto"/>
        <w:bottom w:val="none" w:sz="0" w:space="0" w:color="auto"/>
        <w:right w:val="none" w:sz="0" w:space="0" w:color="auto"/>
      </w:divBdr>
    </w:div>
    <w:div w:id="2080864208">
      <w:bodyDiv w:val="1"/>
      <w:marLeft w:val="0"/>
      <w:marRight w:val="0"/>
      <w:marTop w:val="0"/>
      <w:marBottom w:val="0"/>
      <w:divBdr>
        <w:top w:val="none" w:sz="0" w:space="0" w:color="auto"/>
        <w:left w:val="none" w:sz="0" w:space="0" w:color="auto"/>
        <w:bottom w:val="none" w:sz="0" w:space="0" w:color="auto"/>
        <w:right w:val="none" w:sz="0" w:space="0" w:color="auto"/>
      </w:divBdr>
    </w:div>
    <w:div w:id="2082747648">
      <w:bodyDiv w:val="1"/>
      <w:marLeft w:val="0"/>
      <w:marRight w:val="0"/>
      <w:marTop w:val="0"/>
      <w:marBottom w:val="0"/>
      <w:divBdr>
        <w:top w:val="none" w:sz="0" w:space="0" w:color="auto"/>
        <w:left w:val="none" w:sz="0" w:space="0" w:color="auto"/>
        <w:bottom w:val="none" w:sz="0" w:space="0" w:color="auto"/>
        <w:right w:val="none" w:sz="0" w:space="0" w:color="auto"/>
      </w:divBdr>
    </w:div>
    <w:div w:id="2105374598">
      <w:bodyDiv w:val="1"/>
      <w:marLeft w:val="0"/>
      <w:marRight w:val="0"/>
      <w:marTop w:val="0"/>
      <w:marBottom w:val="0"/>
      <w:divBdr>
        <w:top w:val="none" w:sz="0" w:space="0" w:color="auto"/>
        <w:left w:val="none" w:sz="0" w:space="0" w:color="auto"/>
        <w:bottom w:val="none" w:sz="0" w:space="0" w:color="auto"/>
        <w:right w:val="none" w:sz="0" w:space="0" w:color="auto"/>
      </w:divBdr>
    </w:div>
    <w:div w:id="212214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Desktop\New%20Test%20Version%20332\Health%20Reform%20Analysis%20Report%20v332.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ob\Local%20Settings\Temporary%20Internet%20Files\Content.Outlook\LG2Z2MYY\Medmark%20350%20tool.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Bob\Local%20Settings\Temporary%20Internet%20Files\Content.Outlook\LG2Z2MYY\Medmark%20350%20tool.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Tables!$J$84</c:f>
              <c:strCache>
                <c:ptCount val="1"/>
                <c:pt idx="0">
                  <c:v>Plan cost including newly eligible employees</c:v>
                </c:pt>
              </c:strCache>
            </c:strRef>
          </c:tx>
          <c:spPr>
            <a:solidFill>
              <a:schemeClr val="tx2">
                <a:lumMod val="75000"/>
              </a:schemeClr>
            </a:solidFill>
            <a:ln>
              <a:solidFill>
                <a:schemeClr val="accent1"/>
              </a:solidFill>
            </a:ln>
            <a:effectLst>
              <a:outerShdw blurRad="50800" dist="38100" dir="2700000" algn="tl" rotWithShape="0">
                <a:prstClr val="black">
                  <a:alpha val="40000"/>
                </a:prstClr>
              </a:outerShdw>
            </a:effectLst>
          </c:spPr>
          <c:invertIfNegative val="0"/>
          <c:cat>
            <c:strRef>
              <c:f>Tables!$C$83:$D$83</c:f>
              <c:strCache>
                <c:ptCount val="2"/>
                <c:pt idx="0">
                  <c:v>Current</c:v>
                </c:pt>
                <c:pt idx="1">
                  <c:v>After ACA</c:v>
                </c:pt>
              </c:strCache>
            </c:strRef>
          </c:cat>
          <c:val>
            <c:numRef>
              <c:f>Tables!$K$84:$L$84</c:f>
              <c:numCache>
                <c:formatCode>[$$-500A]\ #,##0_);[Red]\([$$-500A]\ #,##0\)</c:formatCode>
                <c:ptCount val="2"/>
                <c:pt idx="0">
                  <c:v>1099371.8400000031</c:v>
                </c:pt>
                <c:pt idx="1">
                  <c:v>1099371.8400000031</c:v>
                </c:pt>
              </c:numCache>
            </c:numRef>
          </c:val>
        </c:ser>
        <c:ser>
          <c:idx val="1"/>
          <c:order val="1"/>
          <c:tx>
            <c:strRef>
              <c:f>Tables!$J$85</c:f>
              <c:strCache>
                <c:ptCount val="1"/>
                <c:pt idx="0">
                  <c:v>Employer penalty</c:v>
                </c:pt>
              </c:strCache>
            </c:strRef>
          </c:tx>
          <c:spPr>
            <a:pattFill prst="dkDnDiag">
              <a:fgClr>
                <a:srgbClr val="C00000"/>
              </a:fgClr>
              <a:bgClr>
                <a:srgbClr val="FFFFFF"/>
              </a:bgClr>
            </a:pattFill>
            <a:ln>
              <a:solidFill>
                <a:srgbClr val="4F81BD"/>
              </a:solidFill>
            </a:ln>
            <a:effectLst>
              <a:outerShdw blurRad="50800" dist="38100" dir="2700000" algn="tl" rotWithShape="0">
                <a:prstClr val="black">
                  <a:alpha val="40000"/>
                </a:prstClr>
              </a:outerShdw>
            </a:effectLst>
          </c:spPr>
          <c:invertIfNegative val="0"/>
          <c:dPt>
            <c:idx val="1"/>
            <c:invertIfNegative val="0"/>
            <c:bubble3D val="0"/>
            <c:spPr>
              <a:pattFill prst="dkDnDiag">
                <a:fgClr>
                  <a:srgbClr val="FF0000"/>
                </a:fgClr>
                <a:bgClr>
                  <a:srgbClr val="FFFFFF"/>
                </a:bgClr>
              </a:pattFill>
              <a:ln>
                <a:solidFill>
                  <a:srgbClr val="4F81BD"/>
                </a:solidFill>
              </a:ln>
              <a:effectLst>
                <a:outerShdw blurRad="50800" dist="38100" dir="2700000" algn="tl" rotWithShape="0">
                  <a:prstClr val="black">
                    <a:alpha val="40000"/>
                  </a:prstClr>
                </a:outerShdw>
              </a:effectLst>
            </c:spPr>
          </c:dPt>
          <c:cat>
            <c:strRef>
              <c:f>Tables!$C$83:$D$83</c:f>
              <c:strCache>
                <c:ptCount val="2"/>
                <c:pt idx="0">
                  <c:v>Current</c:v>
                </c:pt>
                <c:pt idx="1">
                  <c:v>After ACA</c:v>
                </c:pt>
              </c:strCache>
            </c:strRef>
          </c:cat>
          <c:val>
            <c:numRef>
              <c:f>Tables!$K$85:$L$85</c:f>
              <c:numCache>
                <c:formatCode>[$$-500A]\ #,##0_);[Red]\([$$-500A]\ #,##0\)</c:formatCode>
                <c:ptCount val="2"/>
                <c:pt idx="0">
                  <c:v>0</c:v>
                </c:pt>
                <c:pt idx="1">
                  <c:v>0</c:v>
                </c:pt>
              </c:numCache>
            </c:numRef>
          </c:val>
        </c:ser>
        <c:dLbls>
          <c:showLegendKey val="0"/>
          <c:showVal val="0"/>
          <c:showCatName val="0"/>
          <c:showSerName val="0"/>
          <c:showPercent val="0"/>
          <c:showBubbleSize val="0"/>
        </c:dLbls>
        <c:gapWidth val="75"/>
        <c:overlap val="100"/>
        <c:axId val="148368768"/>
        <c:axId val="155034752"/>
      </c:barChart>
      <c:lineChart>
        <c:grouping val="standard"/>
        <c:varyColors val="0"/>
        <c:ser>
          <c:idx val="2"/>
          <c:order val="2"/>
          <c:tx>
            <c:strRef>
              <c:f>Tables!$J$86</c:f>
              <c:strCache>
                <c:ptCount val="1"/>
                <c:pt idx="0">
                  <c:v>Total</c:v>
                </c:pt>
              </c:strCache>
            </c:strRef>
          </c:tx>
          <c:spPr>
            <a:ln>
              <a:noFill/>
            </a:ln>
          </c:spPr>
          <c:marker>
            <c:symbol val="none"/>
          </c:marker>
          <c:dLbls>
            <c:spPr>
              <a:solidFill>
                <a:schemeClr val="bg1"/>
              </a:solidFill>
            </c:spPr>
            <c:txPr>
              <a:bodyPr/>
              <a:lstStyle/>
              <a:p>
                <a:pPr>
                  <a:defRPr lang="en-GB" sz="900" b="1"/>
                </a:pPr>
                <a:endParaRPr lang="en-US"/>
              </a:p>
            </c:txPr>
            <c:dLblPos val="t"/>
            <c:showLegendKey val="0"/>
            <c:showVal val="1"/>
            <c:showCatName val="0"/>
            <c:showSerName val="0"/>
            <c:showPercent val="0"/>
            <c:showBubbleSize val="0"/>
            <c:showLeaderLines val="0"/>
          </c:dLbls>
          <c:cat>
            <c:strRef>
              <c:f>Tables!$C$83:$D$83</c:f>
              <c:strCache>
                <c:ptCount val="2"/>
                <c:pt idx="0">
                  <c:v>Current</c:v>
                </c:pt>
                <c:pt idx="1">
                  <c:v>After ACA</c:v>
                </c:pt>
              </c:strCache>
            </c:strRef>
          </c:cat>
          <c:val>
            <c:numRef>
              <c:f>Tables!$K$86:$L$86</c:f>
              <c:numCache>
                <c:formatCode>[$$-500A]\ #,##0</c:formatCode>
                <c:ptCount val="2"/>
                <c:pt idx="0">
                  <c:v>1099371.8400000031</c:v>
                </c:pt>
                <c:pt idx="1">
                  <c:v>1099371.8400000031</c:v>
                </c:pt>
              </c:numCache>
            </c:numRef>
          </c:val>
          <c:smooth val="0"/>
        </c:ser>
        <c:dLbls>
          <c:showLegendKey val="0"/>
          <c:showVal val="0"/>
          <c:showCatName val="0"/>
          <c:showSerName val="0"/>
          <c:showPercent val="0"/>
          <c:showBubbleSize val="0"/>
        </c:dLbls>
        <c:marker val="1"/>
        <c:smooth val="0"/>
        <c:axId val="148368768"/>
        <c:axId val="155034752"/>
      </c:lineChart>
      <c:catAx>
        <c:axId val="148368768"/>
        <c:scaling>
          <c:orientation val="minMax"/>
        </c:scaling>
        <c:delete val="1"/>
        <c:axPos val="b"/>
        <c:majorTickMark val="none"/>
        <c:minorTickMark val="none"/>
        <c:tickLblPos val="none"/>
        <c:crossAx val="155034752"/>
        <c:crosses val="autoZero"/>
        <c:auto val="1"/>
        <c:lblAlgn val="ctr"/>
        <c:lblOffset val="100"/>
        <c:noMultiLvlLbl val="0"/>
      </c:catAx>
      <c:valAx>
        <c:axId val="155034752"/>
        <c:scaling>
          <c:orientation val="minMax"/>
          <c:min val="0"/>
        </c:scaling>
        <c:delete val="0"/>
        <c:axPos val="l"/>
        <c:majorGridlines/>
        <c:numFmt formatCode="[$$-500A]\ #,##0_);[Red]\([$$-500A]\ #,##0\)" sourceLinked="1"/>
        <c:majorTickMark val="none"/>
        <c:minorTickMark val="none"/>
        <c:tickLblPos val="nextTo"/>
        <c:spPr>
          <a:ln w="9525">
            <a:noFill/>
          </a:ln>
        </c:spPr>
        <c:txPr>
          <a:bodyPr/>
          <a:lstStyle/>
          <a:p>
            <a:pPr>
              <a:defRPr lang="en-GB"/>
            </a:pPr>
            <a:endParaRPr lang="en-US"/>
          </a:p>
        </c:txPr>
        <c:crossAx val="148368768"/>
        <c:crosses val="autoZero"/>
        <c:crossBetween val="between"/>
      </c:valAx>
      <c:spPr>
        <a:noFill/>
      </c:spPr>
    </c:plotArea>
    <c:legend>
      <c:legendPos val="r"/>
      <c:legendEntry>
        <c:idx val="0"/>
        <c:txPr>
          <a:bodyPr/>
          <a:lstStyle/>
          <a:p>
            <a:pPr>
              <a:defRPr lang="en-GB" sz="900"/>
            </a:pPr>
            <a:endParaRPr lang="en-US"/>
          </a:p>
        </c:txPr>
      </c:legendEntry>
      <c:legendEntry>
        <c:idx val="1"/>
        <c:txPr>
          <a:bodyPr/>
          <a:lstStyle/>
          <a:p>
            <a:pPr>
              <a:defRPr lang="en-GB" sz="900"/>
            </a:pPr>
            <a:endParaRPr lang="en-US"/>
          </a:p>
        </c:txPr>
      </c:legendEntry>
      <c:legendEntry>
        <c:idx val="2"/>
        <c:delete val="1"/>
      </c:legendEntry>
      <c:overlay val="0"/>
      <c:txPr>
        <a:bodyPr/>
        <a:lstStyle/>
        <a:p>
          <a:pPr>
            <a:defRPr lang="en-GB"/>
          </a:pPr>
          <a:endParaRPr lang="en-US"/>
        </a:p>
      </c:txPr>
    </c:legend>
    <c:plotVisOnly val="1"/>
    <c:dispBlanksAs val="gap"/>
    <c:showDLblsOverMax val="0"/>
  </c:chart>
  <c:spPr>
    <a:ln>
      <a:solidFill>
        <a:srgbClr val="4F81BD"/>
      </a:solidFill>
    </a:ln>
    <a:effectLst>
      <a:outerShdw blurRad="50800" dist="38100" dir="2700000" algn="tl" rotWithShape="0">
        <a:prstClr val="black">
          <a:alpha val="40000"/>
        </a:prstClr>
      </a:outerShd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66830708661729"/>
          <c:y val="3.3387177705728042E-2"/>
          <c:w val="0.63940452755905564"/>
          <c:h val="0.88522329010344292"/>
        </c:manualLayout>
      </c:layout>
      <c:barChart>
        <c:barDir val="col"/>
        <c:grouping val="stacked"/>
        <c:varyColors val="0"/>
        <c:ser>
          <c:idx val="5"/>
          <c:order val="0"/>
          <c:tx>
            <c:strRef>
              <c:f>Tables!$B$202</c:f>
              <c:strCache>
                <c:ptCount val="1"/>
                <c:pt idx="0">
                  <c:v>Employer Cost</c:v>
                </c:pt>
              </c:strCache>
            </c:strRef>
          </c:tx>
          <c:spPr>
            <a:solidFill>
              <a:schemeClr val="accent1">
                <a:lumMod val="75000"/>
              </a:schemeClr>
            </a:solidFill>
            <a:effectLst>
              <a:outerShdw blurRad="50800" dist="38100" dir="2700000" algn="tl" rotWithShape="0">
                <a:prstClr val="black">
                  <a:alpha val="40000"/>
                </a:prstClr>
              </a:outerShdw>
            </a:effectLst>
          </c:spPr>
          <c:invertIfNegative val="0"/>
          <c:dLbls>
            <c:delete val="1"/>
          </c:dLbls>
          <c:cat>
            <c:strRef>
              <c:f>Tables!$C$201:$D$201</c:f>
              <c:strCache>
                <c:ptCount val="2"/>
                <c:pt idx="0">
                  <c:v>Current</c:v>
                </c:pt>
                <c:pt idx="1">
                  <c:v>Impact</c:v>
                </c:pt>
              </c:strCache>
            </c:strRef>
          </c:cat>
          <c:val>
            <c:numRef>
              <c:f>Tables!$C$202</c:f>
              <c:numCache>
                <c:formatCode>[$$-500A]\ #,##0_);[Red]\([$$-500A]\ #,##0\)</c:formatCode>
                <c:ptCount val="1"/>
                <c:pt idx="0">
                  <c:v>1062599.15625</c:v>
                </c:pt>
              </c:numCache>
            </c:numRef>
          </c:val>
        </c:ser>
        <c:ser>
          <c:idx val="0"/>
          <c:order val="1"/>
          <c:tx>
            <c:strRef>
              <c:f>other_results!$B$10</c:f>
              <c:strCache>
                <c:ptCount val="1"/>
                <c:pt idx="0">
                  <c:v>Penalty</c:v>
                </c:pt>
              </c:strCache>
            </c:strRef>
          </c:tx>
          <c:spPr>
            <a:pattFill prst="dkDnDiag">
              <a:fgClr>
                <a:srgbClr val="FF0000"/>
              </a:fgClr>
              <a:bgClr>
                <a:srgbClr val="FFFFFF"/>
              </a:bgClr>
            </a:pattFill>
            <a:ln>
              <a:solidFill>
                <a:srgbClr val="4F81BD"/>
              </a:solidFill>
            </a:ln>
            <a:effectLst>
              <a:outerShdw blurRad="50800" dist="38100" dir="2700000" algn="tl" rotWithShape="0">
                <a:prstClr val="black">
                  <a:alpha val="40000"/>
                </a:prstClr>
              </a:outerShdw>
            </a:effectLst>
          </c:spPr>
          <c:invertIfNegative val="0"/>
          <c:dLbls>
            <c:delete val="1"/>
          </c:dLbls>
          <c:cat>
            <c:strRef>
              <c:f>Tables!$C$201:$D$201</c:f>
              <c:strCache>
                <c:ptCount val="2"/>
                <c:pt idx="0">
                  <c:v>Current</c:v>
                </c:pt>
                <c:pt idx="1">
                  <c:v>Impact</c:v>
                </c:pt>
              </c:strCache>
            </c:strRef>
          </c:cat>
          <c:val>
            <c:numRef>
              <c:f>other_results!$C$10:$D$10</c:f>
              <c:numCache>
                <c:formatCode>"$"#,##0</c:formatCode>
                <c:ptCount val="2"/>
                <c:pt idx="1">
                  <c:v>611999.99999999697</c:v>
                </c:pt>
              </c:numCache>
            </c:numRef>
          </c:val>
        </c:ser>
        <c:ser>
          <c:idx val="1"/>
          <c:order val="2"/>
          <c:tx>
            <c:strRef>
              <c:f>other_results!$B$11</c:f>
              <c:strCache>
                <c:ptCount val="1"/>
                <c:pt idx="0">
                  <c:v>Additional Comp</c:v>
                </c:pt>
              </c:strCache>
            </c:strRef>
          </c:tx>
          <c:spPr>
            <a:pattFill prst="pct80">
              <a:fgClr>
                <a:srgbClr val="002060"/>
              </a:fgClr>
              <a:bgClr>
                <a:srgbClr val="FFFFFF"/>
              </a:bgClr>
            </a:pattFill>
            <a:ln>
              <a:solidFill>
                <a:srgbClr val="4F81BD"/>
              </a:solidFill>
            </a:ln>
            <a:effectLst>
              <a:outerShdw blurRad="50800" dist="38100" dir="2700000" algn="tl" rotWithShape="0">
                <a:prstClr val="black">
                  <a:alpha val="40000"/>
                </a:prstClr>
              </a:outerShdw>
            </a:effectLst>
          </c:spPr>
          <c:invertIfNegative val="0"/>
          <c:dLbls>
            <c:delete val="1"/>
          </c:dLbls>
          <c:cat>
            <c:strRef>
              <c:f>Tables!$C$201:$D$201</c:f>
              <c:strCache>
                <c:ptCount val="2"/>
                <c:pt idx="0">
                  <c:v>Current</c:v>
                </c:pt>
                <c:pt idx="1">
                  <c:v>Impact</c:v>
                </c:pt>
              </c:strCache>
            </c:strRef>
          </c:cat>
          <c:val>
            <c:numRef>
              <c:f>Tables!$C$204:$D$204</c:f>
              <c:numCache>
                <c:formatCode>[$$-500A]\ #,##0_);[Red]\([$$-500A]\ #,##0\)</c:formatCode>
                <c:ptCount val="2"/>
                <c:pt idx="1">
                  <c:v>1062599.15625</c:v>
                </c:pt>
              </c:numCache>
            </c:numRef>
          </c:val>
        </c:ser>
        <c:ser>
          <c:idx val="2"/>
          <c:order val="3"/>
          <c:tx>
            <c:strRef>
              <c:f>other_results!$B$12</c:f>
              <c:strCache>
                <c:ptCount val="1"/>
                <c:pt idx="0">
                  <c:v>Payroll Tax</c:v>
                </c:pt>
              </c:strCache>
            </c:strRef>
          </c:tx>
          <c:spPr>
            <a:pattFill prst="plaid">
              <a:fgClr>
                <a:srgbClr val="FFFF00"/>
              </a:fgClr>
              <a:bgClr>
                <a:srgbClr val="FFFFFF"/>
              </a:bgClr>
            </a:pattFill>
            <a:ln>
              <a:solidFill>
                <a:srgbClr val="4F81BD"/>
              </a:solidFill>
            </a:ln>
            <a:effectLst>
              <a:outerShdw blurRad="50800" dist="38100" dir="2700000" algn="tl" rotWithShape="0">
                <a:prstClr val="black">
                  <a:alpha val="40000"/>
                </a:prstClr>
              </a:outerShdw>
            </a:effectLst>
          </c:spPr>
          <c:invertIfNegative val="0"/>
          <c:dLbls>
            <c:delete val="1"/>
          </c:dLbls>
          <c:cat>
            <c:strRef>
              <c:f>Tables!$C$201:$D$201</c:f>
              <c:strCache>
                <c:ptCount val="2"/>
                <c:pt idx="0">
                  <c:v>Current</c:v>
                </c:pt>
                <c:pt idx="1">
                  <c:v>Impact</c:v>
                </c:pt>
              </c:strCache>
            </c:strRef>
          </c:cat>
          <c:val>
            <c:numRef>
              <c:f>Tables!$C$205:$D$205</c:f>
              <c:numCache>
                <c:formatCode>[$$-500A]\ #,##0_);[Red]\([$$-500A]\ #,##0\)</c:formatCode>
                <c:ptCount val="2"/>
                <c:pt idx="1">
                  <c:v>74381.940937499778</c:v>
                </c:pt>
              </c:numCache>
            </c:numRef>
          </c:val>
        </c:ser>
        <c:ser>
          <c:idx val="3"/>
          <c:order val="4"/>
          <c:tx>
            <c:strRef>
              <c:f>other_results!$B$13</c:f>
              <c:strCache>
                <c:ptCount val="1"/>
                <c:pt idx="0">
                  <c:v>Employer Tax</c:v>
                </c:pt>
              </c:strCache>
            </c:strRef>
          </c:tx>
          <c:spPr>
            <a:pattFill prst="smGrid">
              <a:fgClr>
                <a:srgbClr val="002060"/>
              </a:fgClr>
              <a:bgClr>
                <a:srgbClr val="FFFFFF"/>
              </a:bgClr>
            </a:pattFill>
            <a:ln>
              <a:solidFill>
                <a:srgbClr val="4F81BD"/>
              </a:solidFill>
            </a:ln>
            <a:effectLst>
              <a:outerShdw blurRad="50800" dist="38100" dir="2700000" algn="tl" rotWithShape="0">
                <a:prstClr val="black">
                  <a:alpha val="40000"/>
                </a:prstClr>
              </a:outerShdw>
            </a:effectLst>
          </c:spPr>
          <c:invertIfNegative val="0"/>
          <c:dLbls>
            <c:delete val="1"/>
          </c:dLbls>
          <c:cat>
            <c:strRef>
              <c:f>Tables!$C$201:$D$201</c:f>
              <c:strCache>
                <c:ptCount val="2"/>
                <c:pt idx="0">
                  <c:v>Current</c:v>
                </c:pt>
                <c:pt idx="1">
                  <c:v>Impact</c:v>
                </c:pt>
              </c:strCache>
            </c:strRef>
          </c:cat>
          <c:val>
            <c:numRef>
              <c:f>Tables!$C$206:$D$206</c:f>
              <c:numCache>
                <c:formatCode>[$$-500A]\ #,##0_);[Red]\([$$-500A]\ #,##0\)</c:formatCode>
                <c:ptCount val="2"/>
                <c:pt idx="1">
                  <c:v>91799.999999999578</c:v>
                </c:pt>
              </c:numCache>
            </c:numRef>
          </c:val>
        </c:ser>
        <c:dLbls>
          <c:showLegendKey val="0"/>
          <c:showVal val="1"/>
          <c:showCatName val="0"/>
          <c:showSerName val="0"/>
          <c:showPercent val="0"/>
          <c:showBubbleSize val="0"/>
        </c:dLbls>
        <c:gapWidth val="97"/>
        <c:overlap val="100"/>
        <c:axId val="155106304"/>
        <c:axId val="155108096"/>
      </c:barChart>
      <c:lineChart>
        <c:grouping val="standard"/>
        <c:varyColors val="0"/>
        <c:ser>
          <c:idx val="4"/>
          <c:order val="5"/>
          <c:tx>
            <c:strRef>
              <c:f>Tables!$C$201:$D$201</c:f>
              <c:strCache>
                <c:ptCount val="1"/>
                <c:pt idx="0">
                  <c:v>Current Impact</c:v>
                </c:pt>
              </c:strCache>
            </c:strRef>
          </c:tx>
          <c:spPr>
            <a:ln>
              <a:noFill/>
            </a:ln>
          </c:spPr>
          <c:marker>
            <c:symbol val="none"/>
          </c:marker>
          <c:dLbls>
            <c:numFmt formatCode="&quot;$&quot;#,##0_);[Red]\(&quot;$&quot;#,##0\)" sourceLinked="0"/>
            <c:spPr>
              <a:solidFill>
                <a:sysClr val="window" lastClr="FFFFFF"/>
              </a:solidFill>
            </c:spPr>
            <c:txPr>
              <a:bodyPr/>
              <a:lstStyle/>
              <a:p>
                <a:pPr>
                  <a:defRPr lang="en-GB" sz="900" b="1"/>
                </a:pPr>
                <a:endParaRPr lang="en-US"/>
              </a:p>
            </c:txPr>
            <c:dLblPos val="t"/>
            <c:showLegendKey val="0"/>
            <c:showVal val="1"/>
            <c:showCatName val="1"/>
            <c:showSerName val="0"/>
            <c:showPercent val="0"/>
            <c:showBubbleSize val="0"/>
            <c:separator>
</c:separator>
            <c:showLeaderLines val="0"/>
          </c:dLbls>
          <c:val>
            <c:numRef>
              <c:f>Tables!$C$202:$D$202</c:f>
              <c:numCache>
                <c:formatCode>[$$]\ #,##0.00;\-[$$]\ #,##0.00</c:formatCode>
                <c:ptCount val="2"/>
                <c:pt idx="0" formatCode="[$$-500A]\ #,##0_);[Red]\([$$-500A]\ #,##0\)">
                  <c:v>1062599.15625</c:v>
                </c:pt>
                <c:pt idx="1">
                  <c:v>1840781.0971874981</c:v>
                </c:pt>
              </c:numCache>
            </c:numRef>
          </c:val>
          <c:smooth val="0"/>
        </c:ser>
        <c:dLbls>
          <c:showLegendKey val="0"/>
          <c:showVal val="0"/>
          <c:showCatName val="0"/>
          <c:showSerName val="0"/>
          <c:showPercent val="0"/>
          <c:showBubbleSize val="0"/>
        </c:dLbls>
        <c:marker val="1"/>
        <c:smooth val="0"/>
        <c:axId val="155106304"/>
        <c:axId val="155108096"/>
      </c:lineChart>
      <c:catAx>
        <c:axId val="155106304"/>
        <c:scaling>
          <c:orientation val="minMax"/>
        </c:scaling>
        <c:delete val="0"/>
        <c:axPos val="b"/>
        <c:majorTickMark val="none"/>
        <c:minorTickMark val="none"/>
        <c:tickLblPos val="none"/>
        <c:txPr>
          <a:bodyPr/>
          <a:lstStyle/>
          <a:p>
            <a:pPr>
              <a:defRPr lang="en-GB" sz="1200" b="1" i="0" baseline="0"/>
            </a:pPr>
            <a:endParaRPr lang="en-US"/>
          </a:p>
        </c:txPr>
        <c:crossAx val="155108096"/>
        <c:crosses val="autoZero"/>
        <c:auto val="1"/>
        <c:lblAlgn val="ctr"/>
        <c:lblOffset val="100"/>
        <c:noMultiLvlLbl val="0"/>
      </c:catAx>
      <c:valAx>
        <c:axId val="155108096"/>
        <c:scaling>
          <c:orientation val="minMax"/>
          <c:min val="0"/>
        </c:scaling>
        <c:delete val="0"/>
        <c:axPos val="l"/>
        <c:majorGridlines/>
        <c:numFmt formatCode="&quot;$&quot;#,##0_);[Red]\(&quot;$&quot;#,##0\)" sourceLinked="0"/>
        <c:majorTickMark val="out"/>
        <c:minorTickMark val="none"/>
        <c:tickLblPos val="nextTo"/>
        <c:txPr>
          <a:bodyPr/>
          <a:lstStyle/>
          <a:p>
            <a:pPr>
              <a:defRPr lang="en-GB"/>
            </a:pPr>
            <a:endParaRPr lang="en-US"/>
          </a:p>
        </c:txPr>
        <c:crossAx val="155106304"/>
        <c:crosses val="autoZero"/>
        <c:crossBetween val="between"/>
      </c:valAx>
    </c:plotArea>
    <c:legend>
      <c:legendPos val="r"/>
      <c:legendEntry>
        <c:idx val="0"/>
        <c:txPr>
          <a:bodyPr/>
          <a:lstStyle/>
          <a:p>
            <a:pPr>
              <a:defRPr sz="900"/>
            </a:pPr>
            <a:endParaRPr lang="en-US"/>
          </a:p>
        </c:txPr>
      </c:legendEntry>
      <c:legendEntry>
        <c:idx val="1"/>
        <c:txPr>
          <a:bodyPr/>
          <a:lstStyle/>
          <a:p>
            <a:pPr>
              <a:defRPr sz="900"/>
            </a:pPr>
            <a:endParaRPr lang="en-US"/>
          </a:p>
        </c:txPr>
      </c:legendEntry>
      <c:legendEntry>
        <c:idx val="2"/>
        <c:txPr>
          <a:bodyPr/>
          <a:lstStyle/>
          <a:p>
            <a:pPr>
              <a:defRPr sz="900"/>
            </a:pPr>
            <a:endParaRPr lang="en-US"/>
          </a:p>
        </c:txPr>
      </c:legendEntry>
      <c:legendEntry>
        <c:idx val="3"/>
        <c:txPr>
          <a:bodyPr/>
          <a:lstStyle/>
          <a:p>
            <a:pPr>
              <a:defRPr sz="900"/>
            </a:pPr>
            <a:endParaRPr lang="en-US"/>
          </a:p>
        </c:txPr>
      </c:legendEntry>
      <c:legendEntry>
        <c:idx val="4"/>
        <c:delete val="1"/>
      </c:legendEntry>
      <c:layout>
        <c:manualLayout>
          <c:xMode val="edge"/>
          <c:yMode val="edge"/>
          <c:x val="0.76404790026246761"/>
          <c:y val="0.3237838420882323"/>
          <c:w val="0.22345209973753291"/>
          <c:h val="0.44375651673677774"/>
        </c:manualLayout>
      </c:layout>
      <c:overlay val="0"/>
      <c:txPr>
        <a:bodyPr/>
        <a:lstStyle/>
        <a:p>
          <a:pPr>
            <a:defRPr lang="en-GB"/>
          </a:pPr>
          <a:endParaRPr lang="en-US"/>
        </a:p>
      </c:txPr>
    </c:legend>
    <c:plotVisOnly val="1"/>
    <c:dispBlanksAs val="gap"/>
    <c:showDLblsOverMax val="0"/>
  </c:chart>
  <c:spPr>
    <a:ln>
      <a:solidFill>
        <a:srgbClr val="4F81BD"/>
      </a:solidFill>
    </a:ln>
    <a:effectLst>
      <a:outerShdw blurRad="50800" dist="38100" dir="2700000" algn="tl"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C81CB-ED96-4F54-94AB-D66E7A9F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Reform Analysis Report v332</Template>
  <TotalTime>0</TotalTime>
  <Pages>10</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HP Office Desktop</cp:lastModifiedBy>
  <cp:revision>2</cp:revision>
  <cp:lastPrinted>2011-04-15T19:27:00Z</cp:lastPrinted>
  <dcterms:created xsi:type="dcterms:W3CDTF">2013-02-25T21:19:00Z</dcterms:created>
  <dcterms:modified xsi:type="dcterms:W3CDTF">2013-02-25T21:19:00Z</dcterms:modified>
</cp:coreProperties>
</file>