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9DDDFB" w14:textId="77777777" w:rsidR="006C7EC1" w:rsidRPr="00605355" w:rsidRDefault="003359B4" w:rsidP="006C7EC1">
      <w:pPr>
        <w:jc w:val="center"/>
        <w:rPr>
          <w:b/>
          <w:szCs w:val="20"/>
        </w:rPr>
      </w:pPr>
      <w:r>
        <w:rPr>
          <w:rFonts w:cs="Arial"/>
          <w:b/>
          <w:noProof/>
          <w:sz w:val="24"/>
          <w:szCs w:val="24"/>
          <w:lang w:eastAsia="zh-TW"/>
        </w:rPr>
        <w:pict w14:anchorId="438BE60F">
          <v:shapetype id="_x0000_t202" coordsize="21600,21600" o:spt="202" path="m0,0l0,21600,21600,21600,21600,0xe">
            <v:stroke joinstyle="miter"/>
            <v:path gradientshapeok="t" o:connecttype="rect"/>
          </v:shapetype>
          <v:shape id="_x0000_s1047" type="#_x0000_t202" style="position:absolute;left:0;text-align:left;margin-left:343pt;margin-top:-28.4pt;width:143pt;height:14.1pt;z-index:251660800;mso-height-percent:200;mso-height-percent:200;mso-width-relative:margin;mso-height-relative:margin" filled="f" stroked="f">
            <v:textbox style="mso-fit-shape-to-text:t">
              <w:txbxContent>
                <w:p w14:paraId="19C6F0E8" w14:textId="77777777" w:rsidR="006E1247" w:rsidRPr="006E1247" w:rsidRDefault="006E1247" w:rsidP="006E1247">
                  <w:pPr>
                    <w:ind w:left="0"/>
                    <w:rPr>
                      <w:color w:val="BFBFBF"/>
                      <w:sz w:val="12"/>
                      <w:szCs w:val="12"/>
                    </w:rPr>
                  </w:pPr>
                  <w:r w:rsidRPr="006E1247">
                    <w:rPr>
                      <w:color w:val="BFBFBF"/>
                      <w:sz w:val="12"/>
                      <w:szCs w:val="12"/>
                    </w:rPr>
                    <w:t>Employee Benefit Compliance Support</w:t>
                  </w:r>
                  <w:r w:rsidR="009D6B8F">
                    <w:rPr>
                      <w:color w:val="BFBFBF"/>
                      <w:sz w:val="12"/>
                      <w:szCs w:val="12"/>
                    </w:rPr>
                    <w:t xml:space="preserve"> Services</w:t>
                  </w:r>
                </w:p>
              </w:txbxContent>
            </v:textbox>
          </v:shape>
        </w:pict>
      </w:r>
      <w:r>
        <w:rPr>
          <w:noProof/>
          <w:lang w:bidi="ar-SA"/>
        </w:rPr>
        <w:pict w14:anchorId="6905AF27">
          <v:shapetype id="_x0000_t32" coordsize="21600,21600" o:spt="32" o:oned="t" path="m0,0l21600,21600e" filled="f">
            <v:path arrowok="t" fillok="f" o:connecttype="none"/>
            <o:lock v:ext="edit" shapetype="t"/>
          </v:shapetype>
          <v:shape id="_x0000_s1044" type="#_x0000_t32" style="position:absolute;left:0;text-align:left;margin-left:350.75pt;margin-top:-25.5pt;width:130.75pt;height:.05pt;z-index:251657728" o:connectortype="straight" strokecolor="#bfbfbf"/>
        </w:pict>
      </w:r>
      <w:r>
        <w:rPr>
          <w:noProof/>
          <w:lang w:bidi="ar-SA"/>
        </w:rPr>
        <w:pict w14:anchorId="74DDF67E">
          <v:shape id="_x0000_s1046" type="#_x0000_t32" style="position:absolute;left:0;text-align:left;margin-left:509.55pt;margin-top:-25.5pt;width:4.05pt;height:.05pt;z-index:251659776" o:connectortype="straight" strokecolor="#bfbfbf"/>
        </w:pict>
      </w:r>
      <w:r>
        <w:rPr>
          <w:noProof/>
          <w:lang w:bidi="ar-SA"/>
        </w:rPr>
        <w:pict w14:anchorId="5A78FDEE">
          <v:shape id="_x0000_s1045" type="#_x0000_t32" style="position:absolute;left:0;text-align:left;margin-left:486pt;margin-top:-25.5pt;width:20.1pt;height:0;z-index:251658752" o:connectortype="straight" strokecolor="#bfbfbf"/>
        </w:pict>
      </w:r>
      <w:r>
        <w:rPr>
          <w:rFonts w:cs="Arial"/>
          <w:b/>
          <w:noProof/>
          <w:sz w:val="24"/>
          <w:szCs w:val="24"/>
          <w:lang w:eastAsia="zh-TW"/>
        </w:rPr>
        <w:pict w14:anchorId="21AB3E48">
          <v:shape id="_x0000_s1043" type="#_x0000_t202" style="position:absolute;left:0;text-align:left;margin-left:324.4pt;margin-top:-53.15pt;width:204.35pt;height:36.1pt;z-index:251656704;mso-height-percent:200;mso-height-percent:200;mso-width-relative:margin;mso-height-relative:margin" filled="f" stroked="f">
            <v:textbox style="mso-next-textbox:#_x0000_s1043;mso-fit-shape-to-text:t">
              <w:txbxContent>
                <w:p w14:paraId="330FF3AD" w14:textId="77777777" w:rsidR="006E1247" w:rsidRPr="006E1247" w:rsidRDefault="006E1247">
                  <w:pPr>
                    <w:rPr>
                      <w:rFonts w:ascii="Bell MT" w:hAnsi="Bell MT"/>
                      <w:color w:val="BFBFBF"/>
                      <w:sz w:val="52"/>
                      <w:szCs w:val="52"/>
                    </w:rPr>
                  </w:pPr>
                  <w:r w:rsidRPr="006E1247">
                    <w:rPr>
                      <w:rFonts w:ascii="Bell MT" w:hAnsi="Bell MT"/>
                      <w:color w:val="BFBFBF"/>
                      <w:sz w:val="52"/>
                      <w:szCs w:val="52"/>
                    </w:rPr>
                    <w:t>Benefit Comply</w:t>
                  </w:r>
                </w:p>
              </w:txbxContent>
            </v:textbox>
          </v:shape>
        </w:pict>
      </w:r>
      <w:r>
        <w:rPr>
          <w:b/>
          <w:noProof/>
          <w:sz w:val="28"/>
          <w:szCs w:val="28"/>
          <w:lang w:eastAsia="zh-TW"/>
        </w:rPr>
        <w:pict w14:anchorId="44C67144">
          <v:shape id="_x0000_s1032" type="#_x0000_t202" style="position:absolute;left:0;text-align:left;margin-left:-24.2pt;margin-top:-31.2pt;width:339.95pt;height:47.65pt;z-index:251655680;mso-width-relative:margin;mso-height-relative:margin" filled="f" stroked="f">
            <v:textbox style="mso-next-textbox:#_x0000_s1032">
              <w:txbxContent>
                <w:p w14:paraId="631B28ED" w14:textId="77777777" w:rsidR="00BA6FBA" w:rsidRPr="00D636DB" w:rsidRDefault="00056762">
                  <w:pPr>
                    <w:rPr>
                      <w:color w:val="BFBFBF"/>
                      <w:sz w:val="72"/>
                      <w:szCs w:val="72"/>
                    </w:rPr>
                  </w:pPr>
                  <w:r>
                    <w:rPr>
                      <w:color w:val="BFBFBF"/>
                      <w:sz w:val="72"/>
                      <w:szCs w:val="72"/>
                    </w:rPr>
                    <w:t xml:space="preserve">Compliance </w:t>
                  </w:r>
                  <w:r w:rsidR="00D00064">
                    <w:rPr>
                      <w:color w:val="BFBFBF"/>
                      <w:sz w:val="72"/>
                      <w:szCs w:val="72"/>
                    </w:rPr>
                    <w:t>Alert</w:t>
                  </w:r>
                </w:p>
              </w:txbxContent>
            </v:textbox>
          </v:shape>
        </w:pict>
      </w:r>
      <w:r>
        <w:rPr>
          <w:noProof/>
          <w:lang w:bidi="ar-SA"/>
        </w:rPr>
        <w:pict w14:anchorId="3009AC38">
          <v:rect id="_x0000_s1031" style="position:absolute;left:0;text-align:left;margin-left:-77.4pt;margin-top:-1in;width:625.2pt;height:93pt;z-index:251654656" fillcolor="#243f60" stroked="f"/>
        </w:pict>
      </w:r>
    </w:p>
    <w:p w14:paraId="3A59C9B0" w14:textId="77777777" w:rsidR="001824D9" w:rsidRPr="00605355" w:rsidRDefault="001824D9" w:rsidP="00DD1020">
      <w:pPr>
        <w:rPr>
          <w:b/>
          <w:szCs w:val="20"/>
        </w:rPr>
      </w:pPr>
    </w:p>
    <w:p w14:paraId="219B472C" w14:textId="77777777" w:rsidR="00BA6FBA" w:rsidRDefault="00BA6FBA" w:rsidP="00BA6FBA">
      <w:pPr>
        <w:ind w:left="90"/>
        <w:rPr>
          <w:rFonts w:cs="Arial"/>
          <w:b/>
          <w:sz w:val="24"/>
          <w:szCs w:val="24"/>
        </w:rPr>
      </w:pPr>
    </w:p>
    <w:p w14:paraId="5D061B7B" w14:textId="77777777" w:rsidR="008063A7" w:rsidRDefault="008063A7" w:rsidP="00AF0B9D">
      <w:pPr>
        <w:ind w:left="0"/>
        <w:rPr>
          <w:b/>
          <w:sz w:val="28"/>
          <w:szCs w:val="28"/>
        </w:rPr>
      </w:pPr>
    </w:p>
    <w:p w14:paraId="4E5915E0" w14:textId="77777777" w:rsidR="00AF0B9D" w:rsidRPr="00AE33B8" w:rsidRDefault="0023336A" w:rsidP="00AF0B9D">
      <w:pPr>
        <w:ind w:left="0"/>
        <w:rPr>
          <w:b/>
          <w:sz w:val="28"/>
          <w:szCs w:val="28"/>
        </w:rPr>
      </w:pPr>
      <w:bookmarkStart w:id="0" w:name="_GoBack"/>
      <w:r>
        <w:rPr>
          <w:b/>
          <w:sz w:val="28"/>
          <w:szCs w:val="28"/>
        </w:rPr>
        <w:t>What the Supreme Court Hobby Lobby Case Means to Employers</w:t>
      </w:r>
    </w:p>
    <w:p w14:paraId="4AA90432" w14:textId="77777777" w:rsidR="00AF0B9D" w:rsidRDefault="00DB46C3" w:rsidP="00AF0B9D">
      <w:pPr>
        <w:ind w:left="0"/>
        <w:rPr>
          <w:b/>
          <w:szCs w:val="20"/>
        </w:rPr>
      </w:pPr>
      <w:r w:rsidRPr="00E44F0B">
        <w:rPr>
          <w:b/>
          <w:szCs w:val="20"/>
        </w:rPr>
        <w:t>Issue</w:t>
      </w:r>
      <w:r w:rsidR="00AF0B9D" w:rsidRPr="00E44F0B">
        <w:rPr>
          <w:b/>
          <w:szCs w:val="20"/>
        </w:rPr>
        <w:t xml:space="preserve"> Date: </w:t>
      </w:r>
      <w:r w:rsidR="0023336A">
        <w:rPr>
          <w:b/>
          <w:szCs w:val="20"/>
        </w:rPr>
        <w:t>July</w:t>
      </w:r>
      <w:r w:rsidR="00427478">
        <w:rPr>
          <w:b/>
          <w:szCs w:val="20"/>
        </w:rPr>
        <w:t xml:space="preserve"> </w:t>
      </w:r>
      <w:r w:rsidR="00D00064">
        <w:rPr>
          <w:b/>
          <w:szCs w:val="20"/>
        </w:rPr>
        <w:t>2014</w:t>
      </w:r>
    </w:p>
    <w:p w14:paraId="5112D97D" w14:textId="77777777" w:rsidR="008063A7" w:rsidRDefault="008063A7" w:rsidP="00D209A7">
      <w:pPr>
        <w:ind w:left="0"/>
        <w:rPr>
          <w:szCs w:val="20"/>
        </w:rPr>
      </w:pPr>
    </w:p>
    <w:p w14:paraId="5B2E7CC1" w14:textId="77777777" w:rsidR="00427478" w:rsidRDefault="0023336A" w:rsidP="00D209A7">
      <w:pPr>
        <w:ind w:left="0"/>
        <w:rPr>
          <w:szCs w:val="20"/>
        </w:rPr>
      </w:pPr>
      <w:r>
        <w:rPr>
          <w:szCs w:val="20"/>
        </w:rPr>
        <w:t xml:space="preserve">In a </w:t>
      </w:r>
      <w:r w:rsidRPr="0023336A">
        <w:rPr>
          <w:szCs w:val="20"/>
        </w:rPr>
        <w:t>5 to 4</w:t>
      </w:r>
      <w:r>
        <w:rPr>
          <w:szCs w:val="20"/>
        </w:rPr>
        <w:t xml:space="preserve"> decision</w:t>
      </w:r>
      <w:r w:rsidRPr="0023336A">
        <w:rPr>
          <w:szCs w:val="20"/>
        </w:rPr>
        <w:t xml:space="preserve"> the Supreme Court has ruled that</w:t>
      </w:r>
      <w:r>
        <w:rPr>
          <w:szCs w:val="20"/>
        </w:rPr>
        <w:t xml:space="preserve"> certain privately held </w:t>
      </w:r>
      <w:r w:rsidRPr="0023336A">
        <w:rPr>
          <w:szCs w:val="20"/>
        </w:rPr>
        <w:t xml:space="preserve">corporations do not have to comply with </w:t>
      </w:r>
      <w:r>
        <w:rPr>
          <w:szCs w:val="20"/>
        </w:rPr>
        <w:t xml:space="preserve">some of </w:t>
      </w:r>
      <w:r w:rsidRPr="0023336A">
        <w:rPr>
          <w:szCs w:val="20"/>
        </w:rPr>
        <w:t xml:space="preserve">the </w:t>
      </w:r>
      <w:r>
        <w:rPr>
          <w:szCs w:val="20"/>
        </w:rPr>
        <w:t xml:space="preserve">Affordable Care Act’s (ACA) </w:t>
      </w:r>
      <w:r w:rsidRPr="0023336A">
        <w:rPr>
          <w:szCs w:val="20"/>
        </w:rPr>
        <w:t>contraception coverage requirements if they violate the owner’s religious views.</w:t>
      </w:r>
      <w:r>
        <w:rPr>
          <w:szCs w:val="20"/>
        </w:rPr>
        <w:t xml:space="preserve"> The decision opens the door for companies that meet the IRS definition of a “closely held corporation” to opt-out of providing certain contraception coverage in their employer sponsored group health plan.</w:t>
      </w:r>
    </w:p>
    <w:p w14:paraId="2174EAFB" w14:textId="77777777" w:rsidR="007D7586" w:rsidRDefault="007D7586" w:rsidP="00FB52C2">
      <w:pPr>
        <w:ind w:left="0"/>
        <w:rPr>
          <w:b/>
        </w:rPr>
      </w:pPr>
    </w:p>
    <w:p w14:paraId="1D67641F" w14:textId="77777777" w:rsidR="0023336A" w:rsidRPr="008063A7" w:rsidRDefault="0023336A" w:rsidP="0023336A">
      <w:pPr>
        <w:ind w:left="0"/>
        <w:rPr>
          <w:rFonts w:ascii="Tahoma" w:hAnsi="Tahoma" w:cs="Tahoma"/>
          <w:b/>
          <w:szCs w:val="20"/>
          <w:shd w:val="clear" w:color="auto" w:fill="FFFFFF"/>
        </w:rPr>
      </w:pPr>
      <w:r>
        <w:rPr>
          <w:rFonts w:ascii="Tahoma" w:hAnsi="Tahoma" w:cs="Tahoma"/>
          <w:b/>
          <w:szCs w:val="20"/>
          <w:shd w:val="clear" w:color="auto" w:fill="FFFFFF"/>
        </w:rPr>
        <w:t>Background</w:t>
      </w:r>
    </w:p>
    <w:p w14:paraId="2278B0F0" w14:textId="569EC6E4" w:rsidR="00D132F4" w:rsidRDefault="0023336A" w:rsidP="0023336A">
      <w:pPr>
        <w:ind w:left="0"/>
      </w:pPr>
      <w:r>
        <w:t>The ACA require</w:t>
      </w:r>
      <w:r w:rsidR="00D132F4">
        <w:t>s</w:t>
      </w:r>
      <w:r>
        <w:t xml:space="preserve"> non-grandfathered group health plans to offer a broad set of preventi</w:t>
      </w:r>
      <w:r w:rsidR="00BC33B1">
        <w:t>ve health services with no cost-</w:t>
      </w:r>
      <w:r>
        <w:t xml:space="preserve">sharing to plan participants. Coverage for some forms of contraception are included in this preventive care requirement. </w:t>
      </w:r>
    </w:p>
    <w:p w14:paraId="0B289918" w14:textId="77777777" w:rsidR="00D132F4" w:rsidRDefault="00D132F4" w:rsidP="0023336A">
      <w:pPr>
        <w:ind w:left="0"/>
      </w:pPr>
    </w:p>
    <w:p w14:paraId="2F85E026" w14:textId="77777777" w:rsidR="0023336A" w:rsidRDefault="0023336A" w:rsidP="0023336A">
      <w:pPr>
        <w:ind w:left="0"/>
      </w:pPr>
      <w:r>
        <w:t xml:space="preserve">Previous regulations provided an exception to this requirement for religious organizations and most non-profit entities. Qualified organizations wishing to take advantage of this exemption were subject to certification and participant notification requirements. </w:t>
      </w:r>
      <w:r w:rsidR="00D132F4">
        <w:t>The exemption also required non-profits to arrange for their insurance carrier or administrator to provide the contraceptive coverage directly to employees who want it, outside the term of the employer’s plan. T</w:t>
      </w:r>
      <w:r>
        <w:t xml:space="preserve">his </w:t>
      </w:r>
      <w:r w:rsidR="004C71CF">
        <w:t>exemption</w:t>
      </w:r>
      <w:r>
        <w:t xml:space="preserve">, however, has not been </w:t>
      </w:r>
      <w:r w:rsidR="004C71CF">
        <w:t>available</w:t>
      </w:r>
      <w:r>
        <w:t xml:space="preserve"> </w:t>
      </w:r>
      <w:r w:rsidR="004C71CF">
        <w:t>to for-profit companies.</w:t>
      </w:r>
      <w:r>
        <w:t xml:space="preserve">  </w:t>
      </w:r>
    </w:p>
    <w:p w14:paraId="3DF4CEA6" w14:textId="77777777" w:rsidR="0023336A" w:rsidRDefault="0023336A" w:rsidP="0023336A">
      <w:pPr>
        <w:ind w:left="0"/>
      </w:pPr>
    </w:p>
    <w:p w14:paraId="73A87CA9" w14:textId="77777777" w:rsidR="008063A7" w:rsidRPr="008063A7" w:rsidRDefault="004C71CF" w:rsidP="0023336A">
      <w:pPr>
        <w:ind w:left="0"/>
        <w:rPr>
          <w:rFonts w:ascii="Tahoma" w:hAnsi="Tahoma" w:cs="Tahoma"/>
          <w:b/>
          <w:szCs w:val="20"/>
          <w:shd w:val="clear" w:color="auto" w:fill="FFFFFF"/>
        </w:rPr>
      </w:pPr>
      <w:r>
        <w:rPr>
          <w:rFonts w:ascii="Tahoma" w:hAnsi="Tahoma" w:cs="Tahoma"/>
          <w:b/>
          <w:szCs w:val="20"/>
          <w:shd w:val="clear" w:color="auto" w:fill="FFFFFF"/>
        </w:rPr>
        <w:t>Impact of the Court Decision on Employer Plans</w:t>
      </w:r>
    </w:p>
    <w:p w14:paraId="21C34EBD" w14:textId="2440FDC2" w:rsidR="004C71CF" w:rsidRPr="004C71CF" w:rsidRDefault="004C71CF" w:rsidP="004C71CF">
      <w:pPr>
        <w:ind w:left="0"/>
        <w:rPr>
          <w:rFonts w:ascii="Tahoma" w:hAnsi="Tahoma" w:cs="Tahoma"/>
          <w:color w:val="000000"/>
          <w:szCs w:val="20"/>
          <w:shd w:val="clear" w:color="auto" w:fill="FFFFFF"/>
        </w:rPr>
      </w:pPr>
      <w:r>
        <w:t>The court specifically limited its decision to “closely held</w:t>
      </w:r>
      <w:r w:rsidR="00BC33B1">
        <w:t xml:space="preserve"> corporations.</w:t>
      </w:r>
      <w:r>
        <w:t>” The IRS defines a closely held corporation as a corporation that:</w:t>
      </w:r>
    </w:p>
    <w:p w14:paraId="5CB07F80" w14:textId="77777777" w:rsidR="004C71CF" w:rsidRDefault="004C71CF" w:rsidP="004C71CF">
      <w:pPr>
        <w:numPr>
          <w:ilvl w:val="0"/>
          <w:numId w:val="22"/>
        </w:numPr>
      </w:pPr>
      <w:r>
        <w:t>Has more than 50% of the value of its outstanding stock owned (directly or indirectly) by 5 or fewer individuals at any time during the last half of the tax year; and</w:t>
      </w:r>
    </w:p>
    <w:p w14:paraId="7A183F57" w14:textId="77777777" w:rsidR="007B0419" w:rsidRDefault="004C71CF" w:rsidP="004C71CF">
      <w:pPr>
        <w:numPr>
          <w:ilvl w:val="0"/>
          <w:numId w:val="22"/>
        </w:numPr>
      </w:pPr>
      <w:r>
        <w:t>Is not a personal service corporation.</w:t>
      </w:r>
    </w:p>
    <w:p w14:paraId="0F42F7C0" w14:textId="77777777" w:rsidR="007D7586" w:rsidRDefault="004C71CF" w:rsidP="007B0419">
      <w:pPr>
        <w:ind w:left="720"/>
      </w:pPr>
      <w:r>
        <w:t xml:space="preserve"> </w:t>
      </w:r>
    </w:p>
    <w:p w14:paraId="17274011" w14:textId="3816EF06" w:rsidR="004C71CF" w:rsidRDefault="007B0419" w:rsidP="004C71CF">
      <w:pPr>
        <w:ind w:left="0"/>
      </w:pPr>
      <w:r>
        <w:t>The court case does not automatically mean that the current IRS definition will be controlling. However, b</w:t>
      </w:r>
      <w:r w:rsidR="00D132F4">
        <w:t>ase</w:t>
      </w:r>
      <w:r w:rsidR="004C71CF">
        <w:t>d</w:t>
      </w:r>
      <w:r w:rsidR="00D132F4">
        <w:t xml:space="preserve"> on this definition</w:t>
      </w:r>
      <w:r w:rsidR="00BC33B1">
        <w:t>,</w:t>
      </w:r>
      <w:r w:rsidR="004C71CF">
        <w:t xml:space="preserve"> it seems </w:t>
      </w:r>
      <w:r w:rsidR="00D132F4">
        <w:t xml:space="preserve">likely </w:t>
      </w:r>
      <w:r w:rsidR="004C71CF">
        <w:t>that the exception will not be granted to larger organization</w:t>
      </w:r>
      <w:r w:rsidR="00D132F4">
        <w:t>s</w:t>
      </w:r>
      <w:r w:rsidR="004C71CF">
        <w:t>, p</w:t>
      </w:r>
      <w:r>
        <w:t>ublicly held</w:t>
      </w:r>
      <w:r w:rsidR="004C71CF">
        <w:t xml:space="preserve"> companies, </w:t>
      </w:r>
      <w:r w:rsidR="00BC33B1">
        <w:t>or</w:t>
      </w:r>
      <w:r w:rsidR="004C71CF">
        <w:t xml:space="preserve"> even closely held companies with a l</w:t>
      </w:r>
      <w:r w:rsidR="00D132F4">
        <w:t>a</w:t>
      </w:r>
      <w:r w:rsidR="004C71CF">
        <w:t>rger number of owners.</w:t>
      </w:r>
    </w:p>
    <w:p w14:paraId="57D1924F" w14:textId="77777777" w:rsidR="004C71CF" w:rsidRDefault="004C71CF" w:rsidP="004C71CF">
      <w:pPr>
        <w:ind w:left="0"/>
      </w:pPr>
    </w:p>
    <w:p w14:paraId="1DE6BB24" w14:textId="1C1170A3" w:rsidR="004C71CF" w:rsidRDefault="00D132F4" w:rsidP="004C71CF">
      <w:pPr>
        <w:ind w:left="0"/>
      </w:pPr>
      <w:r>
        <w:t>The court also suggested that employers who do qualify for the exception will be subject to the existing rules applicable to non-profit entities</w:t>
      </w:r>
      <w:r w:rsidR="00FA002C">
        <w:t xml:space="preserve"> (as described above)</w:t>
      </w:r>
      <w:r>
        <w:t>. It is expected that the regulatory agencies will issue new guidance regarding this process.</w:t>
      </w:r>
    </w:p>
    <w:p w14:paraId="37A610C5" w14:textId="77777777" w:rsidR="004C71CF" w:rsidRPr="004C71CF" w:rsidRDefault="004C71CF" w:rsidP="004C71CF">
      <w:pPr>
        <w:ind w:left="0"/>
      </w:pPr>
    </w:p>
    <w:p w14:paraId="78DE3459" w14:textId="77777777" w:rsidR="00004729" w:rsidRPr="00F07543" w:rsidRDefault="00F07543" w:rsidP="00FA2F25">
      <w:pPr>
        <w:ind w:left="0"/>
        <w:rPr>
          <w:rFonts w:ascii="Tahoma" w:hAnsi="Tahoma" w:cs="Tahoma"/>
          <w:b/>
          <w:color w:val="000000"/>
          <w:szCs w:val="20"/>
          <w:shd w:val="clear" w:color="auto" w:fill="FFFFFF"/>
        </w:rPr>
      </w:pPr>
      <w:r w:rsidRPr="00F07543">
        <w:rPr>
          <w:rFonts w:ascii="Tahoma" w:hAnsi="Tahoma" w:cs="Tahoma"/>
          <w:b/>
          <w:color w:val="000000"/>
          <w:szCs w:val="20"/>
          <w:shd w:val="clear" w:color="auto" w:fill="FFFFFF"/>
        </w:rPr>
        <w:t>Summary</w:t>
      </w:r>
    </w:p>
    <w:p w14:paraId="7F8B31EA" w14:textId="029E4BE4" w:rsidR="005B716E" w:rsidRDefault="00D132F4" w:rsidP="00FA2F25">
      <w:pPr>
        <w:ind w:left="0"/>
      </w:pPr>
      <w:r>
        <w:rPr>
          <w:rFonts w:ascii="Tahoma" w:hAnsi="Tahoma" w:cs="Tahoma"/>
          <w:color w:val="000000"/>
          <w:szCs w:val="20"/>
          <w:shd w:val="clear" w:color="auto" w:fill="FFFFFF"/>
        </w:rPr>
        <w:t>Employers interested in taking advantage of the exception should study the rules in place for non-profit entities, and also watch for new guidance expected soon from the regulatory agencies.</w:t>
      </w:r>
      <w:r w:rsidR="00BC33B1">
        <w:rPr>
          <w:rFonts w:ascii="Tahoma" w:hAnsi="Tahoma" w:cs="Tahoma"/>
          <w:color w:val="000000"/>
          <w:szCs w:val="20"/>
          <w:shd w:val="clear" w:color="auto" w:fill="FFFFFF"/>
        </w:rPr>
        <w:t xml:space="preserve"> Additional g</w:t>
      </w:r>
      <w:r w:rsidR="007B0419">
        <w:rPr>
          <w:rFonts w:ascii="Tahoma" w:hAnsi="Tahoma" w:cs="Tahoma"/>
          <w:color w:val="000000"/>
          <w:szCs w:val="20"/>
          <w:shd w:val="clear" w:color="auto" w:fill="FFFFFF"/>
        </w:rPr>
        <w:t xml:space="preserve">uidance on exactly </w:t>
      </w:r>
      <w:r w:rsidR="00BC33B1">
        <w:rPr>
          <w:rFonts w:ascii="Tahoma" w:hAnsi="Tahoma" w:cs="Tahoma"/>
          <w:color w:val="000000"/>
          <w:szCs w:val="20"/>
          <w:shd w:val="clear" w:color="auto" w:fill="FFFFFF"/>
        </w:rPr>
        <w:t>which</w:t>
      </w:r>
      <w:r w:rsidR="007B0419">
        <w:rPr>
          <w:rFonts w:ascii="Tahoma" w:hAnsi="Tahoma" w:cs="Tahoma"/>
          <w:color w:val="000000"/>
          <w:szCs w:val="20"/>
          <w:shd w:val="clear" w:color="auto" w:fill="FFFFFF"/>
        </w:rPr>
        <w:t xml:space="preserve"> companies can take advantage of the exemption is of particular importance.</w:t>
      </w:r>
    </w:p>
    <w:p w14:paraId="1A06DA51" w14:textId="77777777" w:rsidR="00B51719" w:rsidRDefault="00B51719" w:rsidP="00FA002C">
      <w:pPr>
        <w:pStyle w:val="MediumGrid21"/>
        <w:ind w:left="0"/>
        <w:rPr>
          <w:i/>
          <w:sz w:val="16"/>
          <w:szCs w:val="16"/>
          <w:lang w:val="en-US"/>
        </w:rPr>
      </w:pPr>
    </w:p>
    <w:p w14:paraId="13F21618" w14:textId="77777777" w:rsidR="00B51719" w:rsidRPr="00FA2F25" w:rsidRDefault="00B51719" w:rsidP="00FA002C">
      <w:pPr>
        <w:pStyle w:val="MediumGrid21"/>
        <w:ind w:left="0"/>
        <w:rPr>
          <w:sz w:val="16"/>
          <w:szCs w:val="16"/>
          <w:lang w:val="en-US"/>
        </w:rPr>
      </w:pPr>
    </w:p>
    <w:p w14:paraId="494640D4" w14:textId="77777777" w:rsidR="00B51719" w:rsidRDefault="00B51719" w:rsidP="00FA002C">
      <w:pPr>
        <w:pStyle w:val="MediumGrid21"/>
        <w:ind w:left="0"/>
        <w:rPr>
          <w:i/>
          <w:sz w:val="16"/>
          <w:szCs w:val="16"/>
          <w:lang w:val="en-US"/>
        </w:rPr>
      </w:pPr>
    </w:p>
    <w:p w14:paraId="2731E201" w14:textId="77777777" w:rsidR="008362F4" w:rsidRPr="008362F4" w:rsidRDefault="0035725D" w:rsidP="00FA002C">
      <w:pPr>
        <w:pStyle w:val="MediumGrid21"/>
        <w:ind w:left="0"/>
        <w:rPr>
          <w:rFonts w:cs="Arial"/>
          <w:szCs w:val="20"/>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bookmarkEnd w:id="0"/>
    <w:sectPr w:rsidR="008362F4" w:rsidRPr="008362F4" w:rsidSect="00E53468">
      <w:footerReference w:type="default" r:id="rId10"/>
      <w:headerReference w:type="first" r:id="rId11"/>
      <w:footerReference w:type="first" r:id="rId12"/>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339E127" w14:textId="77777777" w:rsidR="00A7338A" w:rsidRDefault="00A7338A" w:rsidP="006C7EC1">
      <w:r>
        <w:separator/>
      </w:r>
    </w:p>
  </w:endnote>
  <w:endnote w:type="continuationSeparator" w:id="0">
    <w:p w14:paraId="55C4C016" w14:textId="77777777" w:rsidR="00A7338A" w:rsidRDefault="00A7338A" w:rsidP="006C7EC1">
      <w:r>
        <w:continuationSeparator/>
      </w:r>
    </w:p>
  </w:endnote>
  <w:endnote w:type="continuationNotice" w:id="1">
    <w:p w14:paraId="30DF55BD" w14:textId="77777777" w:rsidR="00A7338A" w:rsidRDefault="00A73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803CD" w14:textId="77777777" w:rsidR="00897617" w:rsidRDefault="00897617" w:rsidP="006C7EC1">
    <w:pPr>
      <w:pStyle w:val="Footer"/>
      <w:jc w:val="center"/>
      <w:rPr>
        <w:rFonts w:cs="Arial"/>
        <w:sz w:val="18"/>
        <w:szCs w:val="18"/>
      </w:rPr>
    </w:pPr>
  </w:p>
  <w:p w14:paraId="1176953C" w14:textId="77777777" w:rsidR="006C7EC1" w:rsidRDefault="006C7EC1" w:rsidP="006C7EC1">
    <w:pPr>
      <w:pStyle w:val="Footer"/>
      <w:jc w:val="center"/>
      <w:rPr>
        <w:sz w:val="18"/>
        <w:szCs w:val="18"/>
        <w:lang w:val="en-US"/>
      </w:rPr>
    </w:pPr>
    <w:r w:rsidRPr="006C7EC1">
      <w:rPr>
        <w:rFonts w:cs="Arial"/>
        <w:sz w:val="18"/>
        <w:szCs w:val="18"/>
      </w:rPr>
      <w:t>© 201</w:t>
    </w:r>
    <w:r w:rsidR="005B716E">
      <w:rPr>
        <w:rFonts w:cs="Arial"/>
        <w:sz w:val="18"/>
        <w:szCs w:val="18"/>
        <w:lang w:val="en-US"/>
      </w:rPr>
      <w:t>4</w:t>
    </w:r>
    <w:r w:rsidRPr="006C7EC1">
      <w:rPr>
        <w:rFonts w:cs="Arial"/>
        <w:sz w:val="18"/>
        <w:szCs w:val="18"/>
      </w:rPr>
      <w:t xml:space="preserve"> </w:t>
    </w:r>
    <w:r w:rsidR="001824D9">
      <w:rPr>
        <w:sz w:val="18"/>
        <w:szCs w:val="18"/>
      </w:rPr>
      <w:t>Benefit Comply, LLC</w:t>
    </w:r>
  </w:p>
  <w:p w14:paraId="0D47D666" w14:textId="77777777" w:rsidR="006C7EC1" w:rsidRDefault="00866B99"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D132F4">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6924" w14:textId="77777777" w:rsidR="006C7EC1" w:rsidRDefault="00D975E7" w:rsidP="006C7EC1">
    <w:pPr>
      <w:pStyle w:val="Footer"/>
      <w:jc w:val="center"/>
      <w:rPr>
        <w:sz w:val="18"/>
        <w:szCs w:val="18"/>
        <w:lang w:val="en-US"/>
      </w:rPr>
    </w:pPr>
    <w:r>
      <w:rPr>
        <w:rFonts w:cs="Arial"/>
        <w:sz w:val="18"/>
        <w:szCs w:val="18"/>
      </w:rPr>
      <w:t>© 201</w:t>
    </w:r>
    <w:r w:rsidR="00056762">
      <w:rPr>
        <w:rFonts w:cs="Arial"/>
        <w:sz w:val="18"/>
        <w:szCs w:val="18"/>
        <w:lang w:val="en-US"/>
      </w:rPr>
      <w:t>4</w:t>
    </w:r>
    <w:r w:rsidR="006C7EC1" w:rsidRPr="006C7EC1">
      <w:rPr>
        <w:rFonts w:cs="Arial"/>
        <w:sz w:val="18"/>
        <w:szCs w:val="18"/>
      </w:rPr>
      <w:t xml:space="preserve"> </w:t>
    </w:r>
    <w:r w:rsidR="00D76D80">
      <w:rPr>
        <w:sz w:val="18"/>
        <w:szCs w:val="18"/>
      </w:rPr>
      <w:t>Benefit Comply, LLC</w:t>
    </w:r>
  </w:p>
  <w:p w14:paraId="26D167AB" w14:textId="77777777" w:rsidR="00866B99" w:rsidRPr="00866B99" w:rsidRDefault="00866B99"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3359B4">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DBC7E6" w14:textId="77777777" w:rsidR="00A7338A" w:rsidRDefault="00A7338A" w:rsidP="006C7EC1">
      <w:r>
        <w:separator/>
      </w:r>
    </w:p>
  </w:footnote>
  <w:footnote w:type="continuationSeparator" w:id="0">
    <w:p w14:paraId="244A984B" w14:textId="77777777" w:rsidR="00A7338A" w:rsidRDefault="00A7338A" w:rsidP="006C7EC1">
      <w:r>
        <w:continuationSeparator/>
      </w:r>
    </w:p>
  </w:footnote>
  <w:footnote w:type="continuationNotice" w:id="1">
    <w:p w14:paraId="7EB07469" w14:textId="77777777" w:rsidR="00A7338A" w:rsidRDefault="00A7338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113D2" w14:textId="77777777" w:rsidR="006717AA" w:rsidRPr="006717AA" w:rsidRDefault="006717AA"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EF89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49132A9"/>
    <w:multiLevelType w:val="hybridMultilevel"/>
    <w:tmpl w:val="89B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C07874"/>
    <w:multiLevelType w:val="hybridMultilevel"/>
    <w:tmpl w:val="8F44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234EB"/>
    <w:multiLevelType w:val="hybridMultilevel"/>
    <w:tmpl w:val="547A5BC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B0915"/>
    <w:multiLevelType w:val="multilevel"/>
    <w:tmpl w:val="5058A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91515"/>
    <w:multiLevelType w:val="multilevel"/>
    <w:tmpl w:val="09AC7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5"/>
  </w:num>
  <w:num w:numId="5">
    <w:abstractNumId w:val="15"/>
  </w:num>
  <w:num w:numId="6">
    <w:abstractNumId w:val="4"/>
  </w:num>
  <w:num w:numId="7">
    <w:abstractNumId w:val="7"/>
  </w:num>
  <w:num w:numId="8">
    <w:abstractNumId w:val="16"/>
  </w:num>
  <w:num w:numId="9">
    <w:abstractNumId w:val="10"/>
  </w:num>
  <w:num w:numId="10">
    <w:abstractNumId w:val="19"/>
  </w:num>
  <w:num w:numId="11">
    <w:abstractNumId w:val="1"/>
  </w:num>
  <w:num w:numId="12">
    <w:abstractNumId w:val="8"/>
  </w:num>
  <w:num w:numId="13">
    <w:abstractNumId w:val="11"/>
  </w:num>
  <w:num w:numId="14">
    <w:abstractNumId w:val="21"/>
  </w:num>
  <w:num w:numId="15">
    <w:abstractNumId w:val="14"/>
  </w:num>
  <w:num w:numId="16">
    <w:abstractNumId w:val="17"/>
  </w:num>
  <w:num w:numId="17">
    <w:abstractNumId w:val="9"/>
  </w:num>
  <w:num w:numId="18">
    <w:abstractNumId w:val="18"/>
  </w:num>
  <w:num w:numId="19">
    <w:abstractNumId w:val="20"/>
  </w:num>
  <w:num w:numId="20">
    <w:abstractNumId w:val="0"/>
  </w:num>
  <w:num w:numId="21">
    <w:abstractNumId w:val="2"/>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drawingGridHorizontalSpacing w:val="80"/>
  <w:drawingGridVerticalSpacing w:val="109"/>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81"/>
    <w:rsid w:val="00004729"/>
    <w:rsid w:val="00005756"/>
    <w:rsid w:val="000166F5"/>
    <w:rsid w:val="000307E6"/>
    <w:rsid w:val="0003340D"/>
    <w:rsid w:val="00041D34"/>
    <w:rsid w:val="00042D2A"/>
    <w:rsid w:val="00056762"/>
    <w:rsid w:val="0006084A"/>
    <w:rsid w:val="0006208C"/>
    <w:rsid w:val="00065F15"/>
    <w:rsid w:val="00071F3D"/>
    <w:rsid w:val="00096B1E"/>
    <w:rsid w:val="000A697A"/>
    <w:rsid w:val="000C41B5"/>
    <w:rsid w:val="000C5473"/>
    <w:rsid w:val="000E03AB"/>
    <w:rsid w:val="000E668C"/>
    <w:rsid w:val="0010150B"/>
    <w:rsid w:val="00103F85"/>
    <w:rsid w:val="00104680"/>
    <w:rsid w:val="00113F23"/>
    <w:rsid w:val="001242CD"/>
    <w:rsid w:val="001432A3"/>
    <w:rsid w:val="00144A9C"/>
    <w:rsid w:val="00181D16"/>
    <w:rsid w:val="001824D9"/>
    <w:rsid w:val="00187547"/>
    <w:rsid w:val="001912DE"/>
    <w:rsid w:val="001B1A88"/>
    <w:rsid w:val="001C256F"/>
    <w:rsid w:val="001D58D8"/>
    <w:rsid w:val="001D745D"/>
    <w:rsid w:val="001E2972"/>
    <w:rsid w:val="001E622E"/>
    <w:rsid w:val="001F0404"/>
    <w:rsid w:val="001F20E5"/>
    <w:rsid w:val="00200664"/>
    <w:rsid w:val="00211FC6"/>
    <w:rsid w:val="00231306"/>
    <w:rsid w:val="0023336A"/>
    <w:rsid w:val="00247077"/>
    <w:rsid w:val="00255A5D"/>
    <w:rsid w:val="002572B2"/>
    <w:rsid w:val="002653AB"/>
    <w:rsid w:val="00270D0F"/>
    <w:rsid w:val="00273D4E"/>
    <w:rsid w:val="00277CAA"/>
    <w:rsid w:val="002978ED"/>
    <w:rsid w:val="002C4ADB"/>
    <w:rsid w:val="002D6E4B"/>
    <w:rsid w:val="002F1D78"/>
    <w:rsid w:val="002F3FBC"/>
    <w:rsid w:val="002F5B6A"/>
    <w:rsid w:val="00311D22"/>
    <w:rsid w:val="00314066"/>
    <w:rsid w:val="003231B2"/>
    <w:rsid w:val="00332855"/>
    <w:rsid w:val="003359B4"/>
    <w:rsid w:val="00337651"/>
    <w:rsid w:val="00341F9B"/>
    <w:rsid w:val="00344EDC"/>
    <w:rsid w:val="003536E9"/>
    <w:rsid w:val="0035725D"/>
    <w:rsid w:val="003606B3"/>
    <w:rsid w:val="00373838"/>
    <w:rsid w:val="0037534B"/>
    <w:rsid w:val="00377A73"/>
    <w:rsid w:val="003902B6"/>
    <w:rsid w:val="003902B9"/>
    <w:rsid w:val="0039272A"/>
    <w:rsid w:val="00397F1D"/>
    <w:rsid w:val="003A15A0"/>
    <w:rsid w:val="003B0265"/>
    <w:rsid w:val="003B0730"/>
    <w:rsid w:val="003B7105"/>
    <w:rsid w:val="003D3ABE"/>
    <w:rsid w:val="003D5BB6"/>
    <w:rsid w:val="004019B7"/>
    <w:rsid w:val="00421453"/>
    <w:rsid w:val="00424799"/>
    <w:rsid w:val="00427478"/>
    <w:rsid w:val="0043363B"/>
    <w:rsid w:val="00453816"/>
    <w:rsid w:val="004628C2"/>
    <w:rsid w:val="00464CBE"/>
    <w:rsid w:val="00467218"/>
    <w:rsid w:val="004870C3"/>
    <w:rsid w:val="004B2781"/>
    <w:rsid w:val="004B37C7"/>
    <w:rsid w:val="004B4147"/>
    <w:rsid w:val="004B6441"/>
    <w:rsid w:val="004C685A"/>
    <w:rsid w:val="004C71CF"/>
    <w:rsid w:val="004F0122"/>
    <w:rsid w:val="004F38E5"/>
    <w:rsid w:val="004F4484"/>
    <w:rsid w:val="00532F84"/>
    <w:rsid w:val="005378A2"/>
    <w:rsid w:val="00540CCF"/>
    <w:rsid w:val="00554D66"/>
    <w:rsid w:val="0055764A"/>
    <w:rsid w:val="005660E9"/>
    <w:rsid w:val="005718C3"/>
    <w:rsid w:val="00586571"/>
    <w:rsid w:val="005926DA"/>
    <w:rsid w:val="00595B06"/>
    <w:rsid w:val="005B0103"/>
    <w:rsid w:val="005B716E"/>
    <w:rsid w:val="005C2382"/>
    <w:rsid w:val="005D7548"/>
    <w:rsid w:val="005E4301"/>
    <w:rsid w:val="005F1993"/>
    <w:rsid w:val="005F2269"/>
    <w:rsid w:val="005F4D3F"/>
    <w:rsid w:val="00600FC4"/>
    <w:rsid w:val="006034D7"/>
    <w:rsid w:val="00605355"/>
    <w:rsid w:val="006102F4"/>
    <w:rsid w:val="006149F2"/>
    <w:rsid w:val="00616FD0"/>
    <w:rsid w:val="0062132A"/>
    <w:rsid w:val="00633D0E"/>
    <w:rsid w:val="006466D7"/>
    <w:rsid w:val="006577E9"/>
    <w:rsid w:val="006717AA"/>
    <w:rsid w:val="00675439"/>
    <w:rsid w:val="00685C8D"/>
    <w:rsid w:val="006B1545"/>
    <w:rsid w:val="006B23FC"/>
    <w:rsid w:val="006B28BC"/>
    <w:rsid w:val="006C7B72"/>
    <w:rsid w:val="006C7EC1"/>
    <w:rsid w:val="006D377F"/>
    <w:rsid w:val="006E1247"/>
    <w:rsid w:val="00713909"/>
    <w:rsid w:val="00736A9B"/>
    <w:rsid w:val="007508F7"/>
    <w:rsid w:val="00764D79"/>
    <w:rsid w:val="007709F7"/>
    <w:rsid w:val="00776816"/>
    <w:rsid w:val="00781D99"/>
    <w:rsid w:val="00787E31"/>
    <w:rsid w:val="007908B7"/>
    <w:rsid w:val="007B0419"/>
    <w:rsid w:val="007B4885"/>
    <w:rsid w:val="007C77AA"/>
    <w:rsid w:val="007C7C7C"/>
    <w:rsid w:val="007D7586"/>
    <w:rsid w:val="007E2565"/>
    <w:rsid w:val="007E5CFC"/>
    <w:rsid w:val="007F34B4"/>
    <w:rsid w:val="0080349F"/>
    <w:rsid w:val="008052A3"/>
    <w:rsid w:val="008063A7"/>
    <w:rsid w:val="0082614A"/>
    <w:rsid w:val="0083063B"/>
    <w:rsid w:val="008362F4"/>
    <w:rsid w:val="00840509"/>
    <w:rsid w:val="008477BE"/>
    <w:rsid w:val="008615C4"/>
    <w:rsid w:val="0086304F"/>
    <w:rsid w:val="00866B99"/>
    <w:rsid w:val="00897617"/>
    <w:rsid w:val="008A5DF8"/>
    <w:rsid w:val="008C712B"/>
    <w:rsid w:val="008D0598"/>
    <w:rsid w:val="008D3E7A"/>
    <w:rsid w:val="008D5BAD"/>
    <w:rsid w:val="008E2D74"/>
    <w:rsid w:val="008F0F5D"/>
    <w:rsid w:val="008F4FF7"/>
    <w:rsid w:val="0090724D"/>
    <w:rsid w:val="009312C4"/>
    <w:rsid w:val="00935D00"/>
    <w:rsid w:val="00951D03"/>
    <w:rsid w:val="009536DD"/>
    <w:rsid w:val="009A4AD6"/>
    <w:rsid w:val="009B2849"/>
    <w:rsid w:val="009C3F26"/>
    <w:rsid w:val="009D2536"/>
    <w:rsid w:val="009D30FA"/>
    <w:rsid w:val="009D6B8F"/>
    <w:rsid w:val="009E2006"/>
    <w:rsid w:val="009F0EFE"/>
    <w:rsid w:val="009F1035"/>
    <w:rsid w:val="00A05628"/>
    <w:rsid w:val="00A21DC4"/>
    <w:rsid w:val="00A347FF"/>
    <w:rsid w:val="00A50245"/>
    <w:rsid w:val="00A51D54"/>
    <w:rsid w:val="00A671B6"/>
    <w:rsid w:val="00A7338A"/>
    <w:rsid w:val="00A76381"/>
    <w:rsid w:val="00A87ECC"/>
    <w:rsid w:val="00A9437D"/>
    <w:rsid w:val="00A94DC8"/>
    <w:rsid w:val="00A9585D"/>
    <w:rsid w:val="00AA3E90"/>
    <w:rsid w:val="00AA6A57"/>
    <w:rsid w:val="00AB0F84"/>
    <w:rsid w:val="00AB2DCF"/>
    <w:rsid w:val="00AC60D1"/>
    <w:rsid w:val="00AD5E20"/>
    <w:rsid w:val="00AE1425"/>
    <w:rsid w:val="00AE2B47"/>
    <w:rsid w:val="00AE33B8"/>
    <w:rsid w:val="00AF0B9D"/>
    <w:rsid w:val="00B04129"/>
    <w:rsid w:val="00B07BA3"/>
    <w:rsid w:val="00B14799"/>
    <w:rsid w:val="00B15106"/>
    <w:rsid w:val="00B2369C"/>
    <w:rsid w:val="00B347E4"/>
    <w:rsid w:val="00B51719"/>
    <w:rsid w:val="00B554D2"/>
    <w:rsid w:val="00B55BBA"/>
    <w:rsid w:val="00B57B5E"/>
    <w:rsid w:val="00B6090B"/>
    <w:rsid w:val="00B66B60"/>
    <w:rsid w:val="00B803FC"/>
    <w:rsid w:val="00B90848"/>
    <w:rsid w:val="00B96BF7"/>
    <w:rsid w:val="00BA6FBA"/>
    <w:rsid w:val="00BB01DD"/>
    <w:rsid w:val="00BC1E4F"/>
    <w:rsid w:val="00BC33B1"/>
    <w:rsid w:val="00BC5BB5"/>
    <w:rsid w:val="00BD2EC1"/>
    <w:rsid w:val="00BE0984"/>
    <w:rsid w:val="00BF49EF"/>
    <w:rsid w:val="00C14E59"/>
    <w:rsid w:val="00C24151"/>
    <w:rsid w:val="00C60F20"/>
    <w:rsid w:val="00C70F5A"/>
    <w:rsid w:val="00C87D79"/>
    <w:rsid w:val="00CB08D7"/>
    <w:rsid w:val="00CB2087"/>
    <w:rsid w:val="00CB7F8B"/>
    <w:rsid w:val="00CD3AB1"/>
    <w:rsid w:val="00CD6579"/>
    <w:rsid w:val="00CE15AE"/>
    <w:rsid w:val="00D00064"/>
    <w:rsid w:val="00D0013D"/>
    <w:rsid w:val="00D12D97"/>
    <w:rsid w:val="00D132F4"/>
    <w:rsid w:val="00D209A7"/>
    <w:rsid w:val="00D31672"/>
    <w:rsid w:val="00D44E36"/>
    <w:rsid w:val="00D51832"/>
    <w:rsid w:val="00D636DB"/>
    <w:rsid w:val="00D671E2"/>
    <w:rsid w:val="00D76D80"/>
    <w:rsid w:val="00D975E7"/>
    <w:rsid w:val="00DA1860"/>
    <w:rsid w:val="00DA5084"/>
    <w:rsid w:val="00DA6314"/>
    <w:rsid w:val="00DB1126"/>
    <w:rsid w:val="00DB46C3"/>
    <w:rsid w:val="00DB553D"/>
    <w:rsid w:val="00DD1020"/>
    <w:rsid w:val="00DD1F73"/>
    <w:rsid w:val="00DE428B"/>
    <w:rsid w:val="00DF24C0"/>
    <w:rsid w:val="00DF5D23"/>
    <w:rsid w:val="00E03088"/>
    <w:rsid w:val="00E10762"/>
    <w:rsid w:val="00E15C65"/>
    <w:rsid w:val="00E44F0B"/>
    <w:rsid w:val="00E46F87"/>
    <w:rsid w:val="00E47EC5"/>
    <w:rsid w:val="00E501B4"/>
    <w:rsid w:val="00E53468"/>
    <w:rsid w:val="00E53CBA"/>
    <w:rsid w:val="00E76581"/>
    <w:rsid w:val="00E773C4"/>
    <w:rsid w:val="00E83777"/>
    <w:rsid w:val="00E85FF7"/>
    <w:rsid w:val="00EA7801"/>
    <w:rsid w:val="00EB2B80"/>
    <w:rsid w:val="00EB6293"/>
    <w:rsid w:val="00ED02B0"/>
    <w:rsid w:val="00EF1C04"/>
    <w:rsid w:val="00EF7919"/>
    <w:rsid w:val="00F06079"/>
    <w:rsid w:val="00F07543"/>
    <w:rsid w:val="00F25D6F"/>
    <w:rsid w:val="00F51BB5"/>
    <w:rsid w:val="00F51DF1"/>
    <w:rsid w:val="00F535E7"/>
    <w:rsid w:val="00F55CEF"/>
    <w:rsid w:val="00F562CC"/>
    <w:rsid w:val="00F617E4"/>
    <w:rsid w:val="00F75275"/>
    <w:rsid w:val="00F80D9C"/>
    <w:rsid w:val="00F81A46"/>
    <w:rsid w:val="00F83367"/>
    <w:rsid w:val="00F877B8"/>
    <w:rsid w:val="00F949F2"/>
    <w:rsid w:val="00FA002C"/>
    <w:rsid w:val="00FA0739"/>
    <w:rsid w:val="00FA17A0"/>
    <w:rsid w:val="00FA2F25"/>
    <w:rsid w:val="00FA4C44"/>
    <w:rsid w:val="00FA6541"/>
    <w:rsid w:val="00FB0360"/>
    <w:rsid w:val="00FB1408"/>
    <w:rsid w:val="00FB52C2"/>
    <w:rsid w:val="00FB6812"/>
    <w:rsid w:val="00FD0F26"/>
    <w:rsid w:val="00FD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4" type="connector" idref="#_x0000_s1044"/>
        <o:r id="V:Rule5" type="connector" idref="#_x0000_s1045"/>
        <o:r id="V:Rule6"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2C"/>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1">
    <w:name w:val="Medium Grid 21"/>
    <w:aliases w:val="Bob Comments"/>
    <w:basedOn w:val="Normal"/>
    <w:link w:val="MediumGrid2Char"/>
    <w:uiPriority w:val="1"/>
    <w:qFormat/>
    <w:rsid w:val="002F5B6A"/>
    <w:rPr>
      <w:lang w:val="x-none" w:eastAsia="x-none"/>
    </w:rPr>
  </w:style>
  <w:style w:type="paragraph" w:customStyle="1" w:styleId="ColorfulList-Accent11">
    <w:name w:val="Colorful List - Accent 11"/>
    <w:basedOn w:val="Normal"/>
    <w:uiPriority w:val="34"/>
    <w:qFormat/>
    <w:rsid w:val="002F5B6A"/>
    <w:pPr>
      <w:contextualSpacing/>
    </w:pPr>
  </w:style>
  <w:style w:type="paragraph" w:customStyle="1" w:styleId="ColorfulGrid-Accent11">
    <w:name w:val="Colorful Grid - Accent 11"/>
    <w:basedOn w:val="Normal"/>
    <w:next w:val="Normal"/>
    <w:link w:val="ColorfulGrid-Accent1Char"/>
    <w:uiPriority w:val="29"/>
    <w:qFormat/>
    <w:rsid w:val="002F5B6A"/>
    <w:pPr>
      <w:spacing w:before="200"/>
      <w:ind w:right="360"/>
    </w:pPr>
    <w:rPr>
      <w:rFonts w:ascii="Calibri" w:hAnsi="Calibri"/>
      <w:i/>
      <w:iCs/>
      <w:szCs w:val="20"/>
      <w:lang w:val="x-none" w:eastAsia="x-none" w:bidi="ar-SA"/>
    </w:rPr>
  </w:style>
  <w:style w:type="character" w:customStyle="1" w:styleId="ColorfulGrid-Accent1Char">
    <w:name w:val="Colorful Grid - Accent 1 Char"/>
    <w:link w:val="ColorfulGrid-Accent11"/>
    <w:uiPriority w:val="29"/>
    <w:rsid w:val="002F5B6A"/>
    <w:rPr>
      <w:i/>
      <w:iCs/>
    </w:rPr>
  </w:style>
  <w:style w:type="paragraph" w:customStyle="1" w:styleId="LightShading-Accent21">
    <w:name w:val="Light Shading - Accent 21"/>
    <w:basedOn w:val="Normal"/>
    <w:next w:val="Normal"/>
    <w:link w:val="LightShading-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LightShading-Accent2Char">
    <w:name w:val="Light Shading - Accent 2 Char"/>
    <w:link w:val="LightShading-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Char">
    <w:name w:val="Medium Grid 2 Char"/>
    <w:aliases w:val="Bob Comments Char"/>
    <w:link w:val="MediumGrid2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semiHidden/>
    <w:unhideWhenUsed/>
    <w:rsid w:val="00B2369C"/>
    <w:pPr>
      <w:spacing w:before="100" w:beforeAutospacing="1" w:after="100" w:afterAutospacing="1"/>
      <w:ind w:left="0"/>
    </w:pPr>
    <w:rPr>
      <w:rFonts w:ascii="Times New Roman" w:eastAsia="Times New Roman" w:hAnsi="Times New Roman"/>
      <w:sz w:val="24"/>
      <w:szCs w:val="24"/>
      <w:lang w:bidi="ar-SA"/>
    </w:rPr>
  </w:style>
  <w:style w:type="character" w:styleId="FollowedHyperlink">
    <w:name w:val="FollowedHyperlink"/>
    <w:uiPriority w:val="99"/>
    <w:semiHidden/>
    <w:unhideWhenUsed/>
    <w:rsid w:val="00C14E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29831708">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529634406">
      <w:bodyDiv w:val="1"/>
      <w:marLeft w:val="0"/>
      <w:marRight w:val="0"/>
      <w:marTop w:val="0"/>
      <w:marBottom w:val="0"/>
      <w:divBdr>
        <w:top w:val="none" w:sz="0" w:space="0" w:color="auto"/>
        <w:left w:val="none" w:sz="0" w:space="0" w:color="auto"/>
        <w:bottom w:val="none" w:sz="0" w:space="0" w:color="auto"/>
        <w:right w:val="none" w:sz="0" w:space="0" w:color="auto"/>
      </w:divBdr>
    </w:div>
    <w:div w:id="1646617739">
      <w:bodyDiv w:val="1"/>
      <w:marLeft w:val="0"/>
      <w:marRight w:val="0"/>
      <w:marTop w:val="0"/>
      <w:marBottom w:val="0"/>
      <w:divBdr>
        <w:top w:val="none" w:sz="0" w:space="0" w:color="auto"/>
        <w:left w:val="none" w:sz="0" w:space="0" w:color="auto"/>
        <w:bottom w:val="none" w:sz="0" w:space="0" w:color="auto"/>
        <w:right w:val="none" w:sz="0" w:space="0" w:color="auto"/>
      </w:divBdr>
    </w:div>
    <w:div w:id="183221728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5337-D4CA-C948-8D35-17882BFA1477}">
  <ds:schemaRefs>
    <ds:schemaRef ds:uri="http://schemas.openxmlformats.org/officeDocument/2006/bibliography"/>
  </ds:schemaRefs>
</ds:datastoreItem>
</file>

<file path=customXml/itemProps2.xml><?xml version="1.0" encoding="utf-8"?>
<ds:datastoreItem xmlns:ds="http://schemas.openxmlformats.org/officeDocument/2006/customXml" ds:itemID="{9100B70A-137A-DE42-8C89-0B5C0E3E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2</cp:revision>
  <cp:lastPrinted>2012-07-18T16:37:00Z</cp:lastPrinted>
  <dcterms:created xsi:type="dcterms:W3CDTF">2014-07-01T17:06:00Z</dcterms:created>
  <dcterms:modified xsi:type="dcterms:W3CDTF">2014-07-01T17:06:00Z</dcterms:modified>
</cp:coreProperties>
</file>