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612"/>
      </w:tblGrid>
      <w:tr w:rsidR="009976CE" w:rsidRPr="00C771FA" w:rsidTr="008656B4">
        <w:trPr>
          <w:trHeight w:val="1002"/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hideMark/>
          </w:tcPr>
          <w:p w:rsidR="009976CE" w:rsidRDefault="009976CE" w:rsidP="00C771FA">
            <w:pPr>
              <w:spacing w:after="0" w:line="396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0"/>
                <w:szCs w:val="20"/>
              </w:rPr>
            </w:pPr>
            <w:r w:rsidRPr="00C771FA">
              <w:rPr>
                <w:rFonts w:ascii="Arial" w:eastAsia="Times New Roman" w:hAnsi="Arial" w:cs="Arial"/>
                <w:b/>
                <w:bCs/>
                <w:color w:val="252525"/>
                <w:sz w:val="20"/>
                <w:szCs w:val="20"/>
              </w:rPr>
              <w:t>Events Permitting Election Change</w:t>
            </w:r>
          </w:p>
          <w:p w:rsidR="009976CE" w:rsidRPr="00C771FA" w:rsidRDefault="008656B4" w:rsidP="00C771FA">
            <w:pPr>
              <w:spacing w:after="0" w:line="396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16"/>
                <w:szCs w:val="16"/>
              </w:rPr>
              <w:t>P</w:t>
            </w:r>
            <w:r w:rsidR="009976CE" w:rsidRPr="00C771FA">
              <w:rPr>
                <w:rFonts w:ascii="Arial" w:hAnsi="Arial" w:cs="Arial"/>
                <w:color w:val="252525"/>
                <w:sz w:val="16"/>
                <w:szCs w:val="16"/>
              </w:rPr>
              <w:t xml:space="preserve">lan may be drafted to permit a participant to change elections midyear on account of </w:t>
            </w:r>
            <w:r w:rsidR="009976CE">
              <w:rPr>
                <w:rFonts w:ascii="Arial" w:hAnsi="Arial" w:cs="Arial"/>
                <w:color w:val="252525"/>
                <w:sz w:val="16"/>
                <w:szCs w:val="16"/>
              </w:rPr>
              <w:t>a permitted event</w:t>
            </w:r>
            <w:r w:rsidR="009976CE" w:rsidRPr="00C771FA">
              <w:rPr>
                <w:rFonts w:ascii="Arial" w:hAnsi="Arial" w:cs="Arial"/>
                <w:color w:val="252525"/>
                <w:sz w:val="16"/>
                <w:szCs w:val="16"/>
              </w:rPr>
              <w:t>. Alternatively, a sponsor may design the plan so that participants are not allowed to modify their elections, or may make only certain modifications</w:t>
            </w:r>
          </w:p>
        </w:tc>
      </w:tr>
      <w:tr w:rsidR="009976CE" w:rsidRPr="00C771FA" w:rsidTr="009976CE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6B4" w:rsidRDefault="009976CE" w:rsidP="00C771FA">
            <w:pPr>
              <w:spacing w:after="0" w:line="396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C771FA"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  <w:t>Change in Status</w:t>
            </w:r>
            <w:r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     </w:t>
            </w:r>
          </w:p>
          <w:p w:rsidR="009976CE" w:rsidRDefault="008656B4" w:rsidP="00C771FA">
            <w:pPr>
              <w:spacing w:after="0" w:line="396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     </w:t>
            </w:r>
            <w:r w:rsidR="009976CE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- </w:t>
            </w:r>
            <w:r w:rsidR="009976CE" w:rsidRPr="00C771FA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change in emp</w:t>
            </w:r>
            <w:r w:rsidR="009976CE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loyee's legal marital status;</w:t>
            </w:r>
            <w:r w:rsidR="009976CE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br/>
              <w:t xml:space="preserve">     - </w:t>
            </w:r>
            <w:r w:rsidR="009976CE" w:rsidRPr="00C771FA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ch</w:t>
            </w:r>
            <w:r w:rsidR="009976CE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ange in number of dependents;</w:t>
            </w:r>
            <w:r w:rsidR="009976CE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br/>
              <w:t xml:space="preserve">     - </w:t>
            </w:r>
            <w:r w:rsidR="009976CE" w:rsidRPr="00C771FA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change in emplo</w:t>
            </w:r>
            <w:r w:rsidR="009976CE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yment status;</w:t>
            </w:r>
            <w:r w:rsidR="009976CE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br/>
              <w:t xml:space="preserve">     - </w:t>
            </w:r>
            <w:r w:rsidR="009976CE" w:rsidRPr="00C771FA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dependent satisfies (or ceases to satisfy) </w:t>
            </w:r>
            <w:r w:rsidR="009976CE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eligibility requirements;</w:t>
            </w:r>
            <w:r w:rsidR="009976CE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br/>
              <w:t xml:space="preserve">     - change in residence; and</w:t>
            </w:r>
          </w:p>
          <w:p w:rsidR="009976CE" w:rsidRPr="009976CE" w:rsidRDefault="009976CE" w:rsidP="009976CE">
            <w:pPr>
              <w:spacing w:after="0" w:line="3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     - </w:t>
            </w:r>
            <w:r w:rsidRPr="009976CE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commencement or termination of adoption proceedings</w:t>
            </w:r>
          </w:p>
        </w:tc>
      </w:tr>
      <w:tr w:rsidR="00742939" w:rsidRPr="00C771FA" w:rsidTr="009976CE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939" w:rsidRDefault="008656B4" w:rsidP="00742939">
            <w:pPr>
              <w:spacing w:after="0" w:line="396" w:lineRule="atLeast"/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  <w:t>Change in C</w:t>
            </w:r>
            <w:r w:rsidR="00742939"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  <w:t xml:space="preserve">ost of </w:t>
            </w:r>
            <w:r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  <w:t>B</w:t>
            </w:r>
            <w:r w:rsidR="00742939"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  <w:t xml:space="preserve">enefits </w:t>
            </w:r>
          </w:p>
          <w:p w:rsidR="00742939" w:rsidRPr="008656B4" w:rsidRDefault="008656B4" w:rsidP="00742939">
            <w:pPr>
              <w:spacing w:after="0" w:line="396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     - i</w:t>
            </w:r>
            <w:r w:rsidR="00742939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nsignificant changes may be made </w:t>
            </w:r>
            <w:r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by the employer </w:t>
            </w:r>
            <w:r w:rsidR="00742939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automatically on a prospective basis</w:t>
            </w:r>
            <w:r w:rsidR="00742939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br/>
              <w:t xml:space="preserve">     - </w:t>
            </w:r>
            <w:r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s</w:t>
            </w:r>
            <w:r w:rsidR="00742939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ignificant changes </w:t>
            </w:r>
            <w:r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allow the employee to adjust elections accordingly </w:t>
            </w:r>
          </w:p>
        </w:tc>
      </w:tr>
      <w:tr w:rsidR="008656B4" w:rsidRPr="00C771FA" w:rsidTr="009976CE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6B4" w:rsidRPr="00C771FA" w:rsidRDefault="008656B4" w:rsidP="00C771FA">
            <w:pPr>
              <w:spacing w:after="0" w:line="396" w:lineRule="atLeast"/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  <w:t>Significant Curtailment or Improvement of Coverage</w:t>
            </w:r>
          </w:p>
        </w:tc>
      </w:tr>
      <w:tr w:rsidR="009976CE" w:rsidRPr="00C771FA" w:rsidTr="009976CE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6CE" w:rsidRPr="00621808" w:rsidRDefault="009976CE" w:rsidP="00C771FA">
            <w:pPr>
              <w:spacing w:after="0" w:line="396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C771FA"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  <w:t>Change in Coverage Under Other Employer Plan</w:t>
            </w:r>
            <w:r w:rsidR="00621808"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  <w:t xml:space="preserve"> </w:t>
            </w:r>
            <w:r w:rsidR="00621808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(including when the two employer plans have different plan years)</w:t>
            </w:r>
          </w:p>
        </w:tc>
      </w:tr>
      <w:tr w:rsidR="009976CE" w:rsidRPr="00C771FA" w:rsidTr="009976CE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6CE" w:rsidRPr="00C771FA" w:rsidRDefault="009976CE" w:rsidP="00C771FA">
            <w:pPr>
              <w:spacing w:after="0" w:line="396" w:lineRule="atLeast"/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</w:pPr>
            <w:r w:rsidRPr="00C771FA"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  <w:t>Loss of Group Health Coverage Sponsored by Governmental or Educational Institution</w:t>
            </w:r>
          </w:p>
        </w:tc>
      </w:tr>
      <w:tr w:rsidR="009976CE" w:rsidRPr="00C771FA" w:rsidTr="009976CE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6CE" w:rsidRDefault="009976CE" w:rsidP="00C771FA">
            <w:pPr>
              <w:spacing w:after="0" w:line="396" w:lineRule="atLeast"/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</w:pPr>
            <w:r w:rsidRPr="00C771FA"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  <w:t>HIPAA Special Enrollments</w:t>
            </w:r>
          </w:p>
          <w:p w:rsidR="009976CE" w:rsidRDefault="009976CE" w:rsidP="00C771FA">
            <w:pPr>
              <w:spacing w:after="0" w:line="396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  <w:t xml:space="preserve">     - </w:t>
            </w:r>
            <w:r w:rsidR="008656B4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ndividuals who lose group health plan or health insurance coverage</w:t>
            </w:r>
          </w:p>
          <w:p w:rsidR="009976CE" w:rsidRDefault="008656B4" w:rsidP="009976CE">
            <w:pPr>
              <w:spacing w:after="0" w:line="396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     - a</w:t>
            </w:r>
            <w:r w:rsidR="009976CE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cquisition of </w:t>
            </w:r>
            <w:r w:rsidR="009976CE">
              <w:rPr>
                <w:rFonts w:ascii="Arial" w:hAnsi="Arial" w:cs="Arial"/>
                <w:color w:val="252525"/>
                <w:sz w:val="20"/>
                <w:szCs w:val="20"/>
              </w:rPr>
              <w:t>a new spouse or dependent by marriage, birth, adoption, or placement for adoption</w:t>
            </w:r>
          </w:p>
          <w:p w:rsidR="009976CE" w:rsidRPr="009976CE" w:rsidRDefault="008656B4" w:rsidP="009976CE">
            <w:pPr>
              <w:spacing w:after="0" w:line="396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- i</w:t>
            </w:r>
            <w:r w:rsidR="009976CE">
              <w:rPr>
                <w:rFonts w:ascii="Arial" w:hAnsi="Arial" w:cs="Arial"/>
                <w:color w:val="252525"/>
                <w:sz w:val="20"/>
                <w:szCs w:val="20"/>
              </w:rPr>
              <w:t>ndividuals who lose or become eligible for Medicaid or CHIP coverage</w:t>
            </w:r>
          </w:p>
        </w:tc>
      </w:tr>
      <w:tr w:rsidR="009976CE" w:rsidRPr="00C771FA" w:rsidTr="009976CE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6CE" w:rsidRPr="00C771FA" w:rsidRDefault="009976CE" w:rsidP="00C771FA">
            <w:pPr>
              <w:spacing w:after="0" w:line="396" w:lineRule="atLeast"/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</w:pPr>
            <w:r w:rsidRPr="00C771FA"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  <w:t>COBRA Qualifying Events</w:t>
            </w:r>
          </w:p>
        </w:tc>
      </w:tr>
      <w:tr w:rsidR="009976CE" w:rsidRPr="00C771FA" w:rsidTr="009976CE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6CE" w:rsidRDefault="009976CE" w:rsidP="00C771FA">
            <w:pPr>
              <w:spacing w:after="0" w:line="396" w:lineRule="atLeast"/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</w:pPr>
            <w:r w:rsidRPr="00C771FA"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  <w:t>Judgments, Decrees, or Orders</w:t>
            </w:r>
          </w:p>
          <w:p w:rsidR="009976CE" w:rsidRPr="008656B4" w:rsidRDefault="008656B4" w:rsidP="008656B4">
            <w:pPr>
              <w:spacing w:after="0" w:line="396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8656B4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- a</w:t>
            </w:r>
            <w:r w:rsidR="009976CE" w:rsidRPr="008656B4">
              <w:rPr>
                <w:rFonts w:ascii="Arial" w:hAnsi="Arial" w:cs="Arial"/>
                <w:color w:val="252525"/>
                <w:sz w:val="20"/>
                <w:szCs w:val="20"/>
              </w:rPr>
              <w:t xml:space="preserve"> judgment, decree, or order resulting from a divorce, legal separation, annulment, or change in legal     </w:t>
            </w:r>
          </w:p>
          <w:p w:rsidR="009976CE" w:rsidRPr="00C771FA" w:rsidRDefault="008656B4" w:rsidP="009976CE">
            <w:pPr>
              <w:spacing w:after="0" w:line="396" w:lineRule="atLeast"/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 </w:t>
            </w:r>
            <w:r w:rsidR="009976CE">
              <w:rPr>
                <w:rFonts w:ascii="Arial" w:hAnsi="Arial" w:cs="Arial"/>
                <w:color w:val="252525"/>
                <w:sz w:val="20"/>
                <w:szCs w:val="20"/>
              </w:rPr>
              <w:t>custody that requires accident or health coverage for an employee's child or for a foster child who is a dependent</w:t>
            </w:r>
          </w:p>
        </w:tc>
      </w:tr>
      <w:tr w:rsidR="009976CE" w:rsidRPr="00C771FA" w:rsidTr="009976CE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6CE" w:rsidRPr="00C771FA" w:rsidRDefault="009976CE" w:rsidP="00C771FA">
            <w:pPr>
              <w:spacing w:after="0" w:line="396" w:lineRule="atLeast"/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</w:pPr>
            <w:r w:rsidRPr="00C771FA"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  <w:t>Medicare or Medicaid Entitlement</w:t>
            </w:r>
          </w:p>
        </w:tc>
      </w:tr>
      <w:tr w:rsidR="009976CE" w:rsidRPr="00C771FA" w:rsidTr="009976CE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6CE" w:rsidRPr="00C771FA" w:rsidRDefault="009976CE" w:rsidP="00C771FA">
            <w:pPr>
              <w:spacing w:after="0" w:line="396" w:lineRule="atLeast"/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</w:pPr>
            <w:r w:rsidRPr="00C771FA"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  <w:t>FMLA Leaves of Absence</w:t>
            </w:r>
          </w:p>
        </w:tc>
      </w:tr>
      <w:tr w:rsidR="008656B4" w:rsidRPr="00C771FA" w:rsidTr="009976CE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6B4" w:rsidRDefault="008656B4" w:rsidP="00C771FA">
            <w:pPr>
              <w:spacing w:after="0" w:line="396" w:lineRule="atLeast"/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  <w:t xml:space="preserve">HSA </w:t>
            </w:r>
          </w:p>
          <w:p w:rsidR="008656B4" w:rsidRPr="008656B4" w:rsidRDefault="008656B4" w:rsidP="008656B4">
            <w:pPr>
              <w:spacing w:after="0" w:line="396" w:lineRule="atLeast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8656B4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     - </w:t>
            </w:r>
            <w:r w:rsidRPr="008656B4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election changes allowed</w:t>
            </w:r>
            <w:r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 prospectively on a</w:t>
            </w:r>
            <w:r w:rsidRPr="008656B4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 monthly</w:t>
            </w:r>
            <w:r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 basis</w:t>
            </w:r>
          </w:p>
        </w:tc>
      </w:tr>
      <w:tr w:rsidR="002D5468" w:rsidRPr="00C771FA" w:rsidTr="009976CE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468" w:rsidRDefault="002D5468" w:rsidP="00C771FA">
            <w:pPr>
              <w:spacing w:after="0" w:line="396" w:lineRule="atLeast"/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0"/>
                <w:szCs w:val="20"/>
              </w:rPr>
              <w:t xml:space="preserve">Individual plan enrollment </w:t>
            </w:r>
          </w:p>
          <w:p w:rsidR="002D5468" w:rsidRPr="002D5468" w:rsidRDefault="002D5468" w:rsidP="002D5468">
            <w:pPr>
              <w:spacing w:after="0" w:line="396" w:lineRule="atLeast"/>
              <w:ind w:left="360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2D5468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 </w:t>
            </w:r>
            <w:r w:rsidR="008656B4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p</w:t>
            </w:r>
            <w:r w:rsidRPr="002D5468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articipants permitted to revoke elections for employer-sponsored group health plan due to a reduction in hours even if there is no loss in eligibility (</w:t>
            </w:r>
            <w:r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during the </w:t>
            </w:r>
            <w:r w:rsidRPr="002D5468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stability period) if employee indicates intention to enroll in </w:t>
            </w:r>
            <w:r w:rsidR="00621808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another minimum essential coverage</w:t>
            </w:r>
            <w:r w:rsidRPr="002D5468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 plan</w:t>
            </w:r>
            <w:r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 </w:t>
            </w:r>
            <w:r w:rsidR="00621808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(group or individual coverage)</w:t>
            </w:r>
          </w:p>
          <w:p w:rsidR="002D5468" w:rsidRPr="002D5468" w:rsidRDefault="002D5468" w:rsidP="008656B4">
            <w:pPr>
              <w:spacing w:after="0" w:line="396" w:lineRule="atLeast"/>
              <w:ind w:left="360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lastRenderedPageBreak/>
              <w:t xml:space="preserve">- </w:t>
            </w:r>
            <w:r w:rsidR="008656B4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p</w:t>
            </w:r>
            <w:r w:rsidRPr="002D5468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articipants permitted to revoke </w:t>
            </w:r>
            <w:bookmarkStart w:id="0" w:name="_GoBack"/>
            <w:bookmarkEnd w:id="0"/>
            <w:r w:rsidRPr="002D5468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elections for employer-sponsored group health plan if the participant chooses to enroll in an individual health plan through the public Marketplace during the annual open enrollment period or a special enrollment period</w:t>
            </w:r>
          </w:p>
        </w:tc>
      </w:tr>
    </w:tbl>
    <w:p w:rsidR="00392CB1" w:rsidRDefault="00392CB1"/>
    <w:sectPr w:rsidR="00392CB1" w:rsidSect="00C771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53D"/>
    <w:multiLevelType w:val="hybridMultilevel"/>
    <w:tmpl w:val="75885A14"/>
    <w:lvl w:ilvl="0" w:tplc="DC263E38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1E1A0F81"/>
    <w:multiLevelType w:val="hybridMultilevel"/>
    <w:tmpl w:val="0A1ACA6E"/>
    <w:lvl w:ilvl="0" w:tplc="8ECCAF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20A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666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83B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8F1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62C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0A0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4F9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C13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790898"/>
    <w:multiLevelType w:val="hybridMultilevel"/>
    <w:tmpl w:val="7E70F448"/>
    <w:lvl w:ilvl="0" w:tplc="31D654C4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2F464753"/>
    <w:multiLevelType w:val="hybridMultilevel"/>
    <w:tmpl w:val="6D08667C"/>
    <w:lvl w:ilvl="0" w:tplc="F17EF166"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3CB64A76"/>
    <w:multiLevelType w:val="hybridMultilevel"/>
    <w:tmpl w:val="B91C107A"/>
    <w:lvl w:ilvl="0" w:tplc="0C604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15472"/>
    <w:multiLevelType w:val="hybridMultilevel"/>
    <w:tmpl w:val="D924CDD6"/>
    <w:lvl w:ilvl="0" w:tplc="0A6A00EC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  <w:color w:val="252525"/>
        <w:sz w:val="20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7EA3749E"/>
    <w:multiLevelType w:val="hybridMultilevel"/>
    <w:tmpl w:val="4CACB084"/>
    <w:lvl w:ilvl="0" w:tplc="0C6043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FA"/>
    <w:rsid w:val="000D067A"/>
    <w:rsid w:val="002D5468"/>
    <w:rsid w:val="00392CB1"/>
    <w:rsid w:val="00621808"/>
    <w:rsid w:val="00742939"/>
    <w:rsid w:val="008656B4"/>
    <w:rsid w:val="009976CE"/>
    <w:rsid w:val="00C7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2DF66-1AAB-4081-98C5-5EA46277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1FA"/>
    <w:rPr>
      <w:b/>
      <w:bCs/>
      <w:strike w:val="0"/>
      <w:dstrike w:val="0"/>
      <w:color w:val="145DA4"/>
      <w:spacing w:val="2"/>
      <w:sz w:val="24"/>
      <w:szCs w:val="2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771FA"/>
    <w:rPr>
      <w:b/>
      <w:bCs/>
    </w:rPr>
  </w:style>
  <w:style w:type="paragraph" w:styleId="ListParagraph">
    <w:name w:val="List Paragraph"/>
    <w:basedOn w:val="Normal"/>
    <w:uiPriority w:val="34"/>
    <w:qFormat/>
    <w:rsid w:val="0099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</dc:creator>
  <cp:keywords/>
  <dc:description/>
  <cp:lastModifiedBy>Craig</cp:lastModifiedBy>
  <cp:revision>3</cp:revision>
  <dcterms:created xsi:type="dcterms:W3CDTF">2015-05-12T22:06:00Z</dcterms:created>
  <dcterms:modified xsi:type="dcterms:W3CDTF">2015-05-13T15:45:00Z</dcterms:modified>
</cp:coreProperties>
</file>