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C1" w:rsidRPr="00605355" w:rsidRDefault="00E110C4" w:rsidP="006C7EC1">
      <w:pPr>
        <w:jc w:val="center"/>
        <w:rPr>
          <w:b/>
          <w:szCs w:val="20"/>
        </w:rPr>
      </w:pPr>
      <w:r>
        <w:rPr>
          <w:rFonts w:cs="Arial"/>
          <w:b/>
          <w:noProof/>
          <w:sz w:val="24"/>
          <w:szCs w:val="24"/>
          <w:lang w:bidi="ar-SA"/>
        </w:rPr>
        <mc:AlternateContent>
          <mc:Choice Requires="wps">
            <w:drawing>
              <wp:anchor distT="0" distB="0" distL="114300" distR="114300" simplePos="0" relativeHeight="251661824" behindDoc="0" locked="0" layoutInCell="1" allowOverlap="1" wp14:anchorId="55A0B23A" wp14:editId="10E23C7B">
                <wp:simplePos x="0" y="0"/>
                <wp:positionH relativeFrom="column">
                  <wp:posOffset>2132965</wp:posOffset>
                </wp:positionH>
                <wp:positionV relativeFrom="paragraph">
                  <wp:posOffset>-604520</wp:posOffset>
                </wp:positionV>
                <wp:extent cx="4724400" cy="6051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0C4" w:rsidRPr="000B4DEA" w:rsidRDefault="00E110C4" w:rsidP="006B5260">
                            <w:pPr>
                              <w:jc w:val="center"/>
                              <w:rPr>
                                <w:color w:val="FFFFFF"/>
                                <w:spacing w:val="40"/>
                                <w:sz w:val="44"/>
                                <w:szCs w:val="44"/>
                              </w:rPr>
                            </w:pPr>
                            <w:r>
                              <w:rPr>
                                <w:color w:val="FFFFFF"/>
                                <w:spacing w:val="40"/>
                                <w:sz w:val="44"/>
                                <w:szCs w:val="44"/>
                              </w:rPr>
                              <w:t>Issue Brief</w:t>
                            </w:r>
                          </w:p>
                          <w:p w:rsidR="00E110C4" w:rsidRPr="00D636DB" w:rsidRDefault="00E110C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67.95pt;margin-top:-47.55pt;width:372pt;height:4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djr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" filled="f" stroked="f">
                <v:textbox>
                  <w:txbxContent>
                    <w:p w:rsidR="00E110C4" w:rsidRPr="000B4DEA" w:rsidRDefault="00E110C4" w:rsidP="006B5260">
                      <w:pPr>
                        <w:jc w:val="center"/>
                        <w:rPr>
                          <w:color w:val="FFFFFF"/>
                          <w:spacing w:val="40"/>
                          <w:sz w:val="44"/>
                          <w:szCs w:val="44"/>
                        </w:rPr>
                      </w:pPr>
                      <w:r>
                        <w:rPr>
                          <w:color w:val="FFFFFF"/>
                          <w:spacing w:val="40"/>
                          <w:sz w:val="44"/>
                          <w:szCs w:val="44"/>
                        </w:rPr>
                        <w:t>Issue Brief</w:t>
                      </w:r>
                    </w:p>
                    <w:p w:rsidR="00E110C4" w:rsidRPr="00D636DB" w:rsidRDefault="00E110C4" w:rsidP="006B5260">
                      <w:pPr>
                        <w:jc w:val="center"/>
                        <w:rPr>
                          <w:color w:val="BFBFBF"/>
                          <w:sz w:val="72"/>
                          <w:szCs w:val="72"/>
                        </w:rPr>
                      </w:pPr>
                    </w:p>
                  </w:txbxContent>
                </v:textbox>
              </v:shape>
            </w:pict>
          </mc:Fallback>
        </mc:AlternateContent>
      </w:r>
      <w:r>
        <w:rPr>
          <w:rFonts w:cs="Arial"/>
          <w:b/>
          <w:noProof/>
          <w:sz w:val="24"/>
          <w:szCs w:val="24"/>
          <w:lang w:bidi="ar-SA"/>
        </w:rPr>
        <w:drawing>
          <wp:anchor distT="0" distB="0" distL="114300" distR="114300" simplePos="0" relativeHeight="251662848" behindDoc="1" locked="0" layoutInCell="1" allowOverlap="1" wp14:anchorId="5236F341" wp14:editId="211EE3C6">
            <wp:simplePos x="0" y="0"/>
            <wp:positionH relativeFrom="column">
              <wp:posOffset>-914400</wp:posOffset>
            </wp:positionH>
            <wp:positionV relativeFrom="paragraph">
              <wp:posOffset>-802005</wp:posOffset>
            </wp:positionV>
            <wp:extent cx="7823200" cy="802640"/>
            <wp:effectExtent l="0" t="0" r="0" b="10160"/>
            <wp:wrapNone/>
            <wp:docPr id="9" name="Picture 9"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257">
        <w:rPr>
          <w:noProof/>
          <w:lang w:bidi="ar-SA"/>
        </w:rPr>
        <mc:AlternateContent>
          <mc:Choice Requires="wps">
            <w:drawing>
              <wp:anchor distT="0" distB="0" distL="114300" distR="114300" simplePos="0" relativeHeight="251659776" behindDoc="0" locked="0" layoutInCell="1" allowOverlap="1" wp14:anchorId="3914F0A2" wp14:editId="73603830">
                <wp:simplePos x="0" y="0"/>
                <wp:positionH relativeFrom="column">
                  <wp:posOffset>6471285</wp:posOffset>
                </wp:positionH>
                <wp:positionV relativeFrom="paragraph">
                  <wp:posOffset>-323850</wp:posOffset>
                </wp:positionV>
                <wp:extent cx="51435" cy="635"/>
                <wp:effectExtent l="13335" t="9525" r="11430" b="889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73694" id="AutoShape 22" o:spid="_x0000_s1026" type="#_x0000_t32" style="position:absolute;margin-left:509.55pt;margin-top:-25.5pt;width:4.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" strokecolor="#bfbfbf"/>
            </w:pict>
          </mc:Fallback>
        </mc:AlternateContent>
      </w:r>
      <w:r w:rsidR="00723257">
        <w:rPr>
          <w:noProof/>
          <w:lang w:bidi="ar-SA"/>
        </w:rPr>
        <mc:AlternateContent>
          <mc:Choice Requires="wps">
            <w:drawing>
              <wp:anchor distT="0" distB="0" distL="114300" distR="114300" simplePos="0" relativeHeight="251658752" behindDoc="0" locked="0" layoutInCell="1" allowOverlap="1" wp14:anchorId="4D587243" wp14:editId="552452AC">
                <wp:simplePos x="0" y="0"/>
                <wp:positionH relativeFrom="column">
                  <wp:posOffset>6172200</wp:posOffset>
                </wp:positionH>
                <wp:positionV relativeFrom="paragraph">
                  <wp:posOffset>-323850</wp:posOffset>
                </wp:positionV>
                <wp:extent cx="255270" cy="0"/>
                <wp:effectExtent l="9525" t="9525" r="11430"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49D508" id="AutoShape 21" o:spid="_x0000_s1026" type="#_x0000_t32" style="position:absolute;margin-left:486pt;margin-top:-25.5pt;width:20.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" strokecolor="#bfbfbf"/>
            </w:pict>
          </mc:Fallback>
        </mc:AlternateContent>
      </w:r>
    </w:p>
    <w:p w:rsidR="001824D9" w:rsidRPr="00605355" w:rsidRDefault="001824D9" w:rsidP="00DD1020">
      <w:pPr>
        <w:rPr>
          <w:b/>
          <w:szCs w:val="20"/>
        </w:rPr>
      </w:pPr>
    </w:p>
    <w:p w:rsidR="00BA6FBA" w:rsidRDefault="00BA6FBA" w:rsidP="00BA6FBA">
      <w:pPr>
        <w:ind w:left="90"/>
        <w:rPr>
          <w:rFonts w:cs="Arial"/>
          <w:b/>
          <w:sz w:val="24"/>
          <w:szCs w:val="24"/>
        </w:rPr>
      </w:pPr>
    </w:p>
    <w:p w:rsidR="00A6352B" w:rsidRDefault="001146A5" w:rsidP="00A6352B">
      <w:pPr>
        <w:ind w:left="0"/>
        <w:rPr>
          <w:b/>
          <w:sz w:val="28"/>
          <w:szCs w:val="28"/>
        </w:rPr>
      </w:pPr>
      <w:r>
        <w:rPr>
          <w:b/>
          <w:sz w:val="28"/>
          <w:szCs w:val="28"/>
        </w:rPr>
        <w:t>Small Group Market – Changing Definition</w:t>
      </w:r>
    </w:p>
    <w:p w:rsidR="00A6352B" w:rsidRPr="007C7D72" w:rsidRDefault="00A6352B" w:rsidP="00A6352B">
      <w:pPr>
        <w:ind w:left="0"/>
        <w:rPr>
          <w:b/>
          <w:szCs w:val="20"/>
        </w:rPr>
      </w:pPr>
    </w:p>
    <w:p w:rsidR="00A6352B" w:rsidRDefault="00A6352B" w:rsidP="00A6352B">
      <w:pPr>
        <w:ind w:left="0"/>
        <w:rPr>
          <w:rFonts w:cs="Arial"/>
          <w:b/>
          <w:szCs w:val="20"/>
        </w:rPr>
      </w:pPr>
      <w:r w:rsidRPr="00A6352B">
        <w:rPr>
          <w:rFonts w:cs="Arial"/>
          <w:b/>
          <w:szCs w:val="20"/>
        </w:rPr>
        <w:t xml:space="preserve">Issue Date: </w:t>
      </w:r>
      <w:r w:rsidR="001146A5">
        <w:rPr>
          <w:rFonts w:cs="Arial"/>
          <w:b/>
          <w:szCs w:val="20"/>
        </w:rPr>
        <w:t>J</w:t>
      </w:r>
      <w:bookmarkStart w:id="0" w:name="_GoBack"/>
      <w:r w:rsidR="00E110C4">
        <w:rPr>
          <w:rFonts w:cs="Arial"/>
          <w:b/>
          <w:szCs w:val="20"/>
        </w:rPr>
        <w:t>uly</w:t>
      </w:r>
      <w:bookmarkEnd w:id="0"/>
      <w:r w:rsidR="0082069A">
        <w:rPr>
          <w:rFonts w:cs="Arial"/>
          <w:b/>
          <w:szCs w:val="20"/>
        </w:rPr>
        <w:t xml:space="preserve"> 2015</w:t>
      </w:r>
    </w:p>
    <w:p w:rsidR="006F7F3E" w:rsidRDefault="006F7F3E" w:rsidP="00A6352B">
      <w:pPr>
        <w:ind w:left="0"/>
        <w:rPr>
          <w:rFonts w:cs="Arial"/>
          <w:b/>
          <w:szCs w:val="20"/>
        </w:rPr>
      </w:pPr>
    </w:p>
    <w:p w:rsidR="006F7F3E" w:rsidRDefault="006F7F3E" w:rsidP="00A6352B">
      <w:pPr>
        <w:ind w:left="0"/>
        <w:rPr>
          <w:rFonts w:cs="Arial"/>
          <w:b/>
          <w:szCs w:val="20"/>
        </w:rPr>
      </w:pPr>
      <w:r>
        <w:rPr>
          <w:rFonts w:cs="Arial"/>
          <w:b/>
          <w:szCs w:val="20"/>
        </w:rPr>
        <w:t xml:space="preserve">Regan </w:t>
      </w:r>
      <w:proofErr w:type="spellStart"/>
      <w:r>
        <w:rPr>
          <w:rFonts w:cs="Arial"/>
          <w:b/>
          <w:szCs w:val="20"/>
        </w:rPr>
        <w:t>Blomme</w:t>
      </w:r>
      <w:proofErr w:type="spellEnd"/>
      <w:r>
        <w:rPr>
          <w:rFonts w:cs="Arial"/>
          <w:b/>
          <w:szCs w:val="20"/>
        </w:rPr>
        <w:t xml:space="preserve">, J.D. </w:t>
      </w:r>
    </w:p>
    <w:p w:rsidR="006F7F3E" w:rsidRDefault="006F7F3E" w:rsidP="00A6352B">
      <w:pPr>
        <w:ind w:left="0"/>
        <w:rPr>
          <w:rFonts w:cs="Arial"/>
          <w:b/>
          <w:szCs w:val="20"/>
        </w:rPr>
      </w:pPr>
      <w:r>
        <w:rPr>
          <w:rFonts w:cs="Arial"/>
          <w:b/>
          <w:szCs w:val="20"/>
        </w:rPr>
        <w:t>Senior Consultant</w:t>
      </w:r>
    </w:p>
    <w:p w:rsidR="006F7F3E" w:rsidRPr="00A6352B" w:rsidRDefault="006F7F3E" w:rsidP="00A6352B">
      <w:pPr>
        <w:ind w:left="0"/>
        <w:rPr>
          <w:rFonts w:cs="Arial"/>
          <w:b/>
          <w:szCs w:val="20"/>
        </w:rPr>
      </w:pPr>
      <w:r>
        <w:rPr>
          <w:rFonts w:cs="Arial"/>
          <w:b/>
          <w:szCs w:val="20"/>
        </w:rPr>
        <w:t>Benefit Comply, LLC</w:t>
      </w:r>
    </w:p>
    <w:p w:rsidR="00E03522" w:rsidRDefault="00E03522" w:rsidP="00A6352B">
      <w:pPr>
        <w:ind w:left="0"/>
        <w:rPr>
          <w:rFonts w:cs="Arial"/>
          <w:color w:val="000000"/>
          <w:szCs w:val="20"/>
        </w:rPr>
      </w:pPr>
    </w:p>
    <w:p w:rsidR="00C90E9A" w:rsidRPr="004B1644" w:rsidRDefault="0079630C" w:rsidP="000D31AC">
      <w:pPr>
        <w:ind w:left="0"/>
        <w:rPr>
          <w:rFonts w:ascii="Calibri" w:hAnsi="Calibri"/>
          <w:lang w:bidi="ar-SA"/>
        </w:rPr>
      </w:pPr>
      <w:r w:rsidRPr="00987818">
        <w:rPr>
          <w:rFonts w:cs="Arial"/>
          <w:szCs w:val="20"/>
        </w:rPr>
        <w:t>Beginning in 2016, the definition of “small employer” for in</w:t>
      </w:r>
      <w:r w:rsidR="00987818" w:rsidRPr="00987818">
        <w:rPr>
          <w:rFonts w:cs="Arial"/>
          <w:szCs w:val="20"/>
        </w:rPr>
        <w:t xml:space="preserve">surance rating </w:t>
      </w:r>
      <w:r w:rsidR="001257EE">
        <w:rPr>
          <w:rFonts w:cs="Arial"/>
          <w:szCs w:val="20"/>
        </w:rPr>
        <w:t xml:space="preserve">and underwriting </w:t>
      </w:r>
      <w:r w:rsidR="00987818" w:rsidRPr="00987818">
        <w:rPr>
          <w:rFonts w:cs="Arial"/>
          <w:szCs w:val="20"/>
        </w:rPr>
        <w:t xml:space="preserve">purposes changes. </w:t>
      </w:r>
      <w:r w:rsidR="00987818" w:rsidRPr="00987818">
        <w:t>In general, employers with 51</w:t>
      </w:r>
      <w:r w:rsidR="007638BF">
        <w:t>–</w:t>
      </w:r>
      <w:r w:rsidR="00987818" w:rsidRPr="00987818">
        <w:t xml:space="preserve">100 full-time equivalents (FTEs) may </w:t>
      </w:r>
      <w:r w:rsidR="00D01B46">
        <w:t>now fall into</w:t>
      </w:r>
      <w:r w:rsidR="00987818" w:rsidRPr="00987818">
        <w:t xml:space="preserve"> the small employer </w:t>
      </w:r>
      <w:r w:rsidR="00D01B46">
        <w:t>category</w:t>
      </w:r>
      <w:r w:rsidR="00987818" w:rsidRPr="00987818">
        <w:t xml:space="preserve">, and such groups will be subject to community rating and </w:t>
      </w:r>
      <w:r w:rsidR="00D01B46">
        <w:t>required</w:t>
      </w:r>
      <w:r w:rsidR="00987818" w:rsidRPr="00987818">
        <w:t xml:space="preserve"> to offer essential health benefits for the first time.</w:t>
      </w:r>
      <w:r w:rsidR="00D01B46">
        <w:t xml:space="preserve"> However, transition relief issued by the Department of Health &amp; Human Services (HHS) and the Centers for Medicare &amp; Medicaid Services (CMS) </w:t>
      </w:r>
      <w:r w:rsidR="004B1644">
        <w:t xml:space="preserve">allows states and insurers to choose to renew current policies through October 1, 2016. In other words, depending upon which state the insurance policy is being issued out </w:t>
      </w:r>
      <w:proofErr w:type="gramStart"/>
      <w:r w:rsidR="004B1644">
        <w:t>of,</w:t>
      </w:r>
      <w:proofErr w:type="gramEnd"/>
      <w:r w:rsidR="004B1644">
        <w:t xml:space="preserve"> employers with 51</w:t>
      </w:r>
      <w:r w:rsidR="007638BF">
        <w:t>–</w:t>
      </w:r>
      <w:r w:rsidR="004B1644">
        <w:t xml:space="preserve">100 FTEs </w:t>
      </w:r>
      <w:r w:rsidR="007638BF">
        <w:t>who</w:t>
      </w:r>
      <w:r w:rsidR="004B1644">
        <w:t xml:space="preserve"> would otherwise be required to purchase a small group policy beginning in 2016 may have the option to renew their current policies through October 1, 2016.</w:t>
      </w:r>
      <w:r w:rsidR="00184D42">
        <w:t xml:space="preserve">  </w:t>
      </w:r>
    </w:p>
    <w:p w:rsidR="000D31AC" w:rsidRPr="000D31AC" w:rsidRDefault="000D31AC" w:rsidP="000D31AC">
      <w:pPr>
        <w:ind w:left="0"/>
        <w:rPr>
          <w:rFonts w:cs="Arial"/>
          <w:color w:val="000000"/>
          <w:szCs w:val="20"/>
        </w:rPr>
      </w:pPr>
    </w:p>
    <w:p w:rsidR="00A6352B" w:rsidRPr="000D31AC" w:rsidRDefault="00A6352B" w:rsidP="000D31AC">
      <w:pPr>
        <w:pStyle w:val="Heading2"/>
        <w:spacing w:before="0"/>
        <w:ind w:left="0"/>
        <w:rPr>
          <w:rFonts w:ascii="Arial" w:hAnsi="Arial" w:cs="Arial"/>
          <w:sz w:val="20"/>
          <w:szCs w:val="20"/>
        </w:rPr>
      </w:pPr>
      <w:r w:rsidRPr="000D31AC">
        <w:rPr>
          <w:rFonts w:ascii="Arial" w:hAnsi="Arial" w:cs="Arial"/>
          <w:sz w:val="20"/>
          <w:szCs w:val="20"/>
        </w:rPr>
        <w:t>Background</w:t>
      </w:r>
    </w:p>
    <w:p w:rsidR="0079630C" w:rsidRPr="000D31AC" w:rsidRDefault="0079630C" w:rsidP="000D31AC">
      <w:pPr>
        <w:pStyle w:val="NormalWeb"/>
        <w:spacing w:before="0" w:beforeAutospacing="0" w:after="0" w:afterAutospacing="0"/>
        <w:textAlignment w:val="baseline"/>
        <w:rPr>
          <w:rFonts w:ascii="Arial" w:hAnsi="Arial" w:cs="Arial"/>
          <w:color w:val="252525"/>
          <w:sz w:val="20"/>
          <w:szCs w:val="20"/>
        </w:rPr>
      </w:pPr>
      <w:bookmarkStart w:id="1" w:name="HCRFRMq3954z1"/>
      <w:bookmarkStart w:id="2" w:name="cade1d0c15d56417b0acf4d5c34e0612"/>
      <w:bookmarkStart w:id="3" w:name="HCRFRMq3955z1"/>
      <w:bookmarkStart w:id="4" w:name="9d57e226c5f9617ecddae46a52220818"/>
      <w:bookmarkEnd w:id="1"/>
      <w:bookmarkEnd w:id="2"/>
      <w:bookmarkEnd w:id="3"/>
      <w:bookmarkEnd w:id="4"/>
      <w:r>
        <w:rPr>
          <w:rFonts w:ascii="Arial" w:hAnsi="Arial" w:cs="Arial"/>
          <w:color w:val="252525"/>
          <w:sz w:val="20"/>
          <w:szCs w:val="20"/>
        </w:rPr>
        <w:t xml:space="preserve">Under the Affordable Care Act (ACA), the definition of a small employer is </w:t>
      </w:r>
      <w:r w:rsidRPr="0079630C">
        <w:rPr>
          <w:rFonts w:ascii="Arial" w:hAnsi="Arial" w:cs="Arial"/>
          <w:i/>
          <w:color w:val="252525"/>
          <w:sz w:val="20"/>
          <w:szCs w:val="20"/>
        </w:rPr>
        <w:t>“an employer who employed an average of at least 1 but not more than 100 employees on business days during the preceding calendar year and who employs at least 1 employees [</w:t>
      </w:r>
      <w:r w:rsidRPr="00C849B8">
        <w:rPr>
          <w:rFonts w:ascii="Arial" w:hAnsi="Arial" w:cs="Arial"/>
          <w:color w:val="252525"/>
          <w:sz w:val="20"/>
          <w:szCs w:val="20"/>
        </w:rPr>
        <w:t>sic</w:t>
      </w:r>
      <w:r w:rsidRPr="0079630C">
        <w:rPr>
          <w:rFonts w:ascii="Arial" w:hAnsi="Arial" w:cs="Arial"/>
          <w:i/>
          <w:color w:val="252525"/>
          <w:sz w:val="20"/>
          <w:szCs w:val="20"/>
        </w:rPr>
        <w:t>] on the first day of the plan year.”</w:t>
      </w:r>
    </w:p>
    <w:p w:rsidR="000D31AC" w:rsidRPr="000D31AC" w:rsidRDefault="000D31AC" w:rsidP="000D31AC">
      <w:pPr>
        <w:ind w:left="0"/>
        <w:rPr>
          <w:rFonts w:cs="Arial"/>
          <w:szCs w:val="20"/>
          <w:lang w:eastAsia="x-none" w:bidi="ar-SA"/>
        </w:rPr>
      </w:pPr>
    </w:p>
    <w:p w:rsidR="00E00E23" w:rsidRPr="004B1644" w:rsidRDefault="00E00E23" w:rsidP="004B1644">
      <w:pPr>
        <w:pStyle w:val="NormalWeb"/>
        <w:spacing w:before="0" w:beforeAutospacing="0" w:after="0" w:afterAutospacing="0"/>
        <w:textAlignment w:val="baseline"/>
        <w:rPr>
          <w:rFonts w:ascii="Arial" w:hAnsi="Arial" w:cs="Arial"/>
          <w:color w:val="252525"/>
          <w:sz w:val="20"/>
          <w:szCs w:val="20"/>
        </w:rPr>
      </w:pPr>
      <w:r w:rsidRPr="004B1644">
        <w:rPr>
          <w:rFonts w:ascii="Arial" w:hAnsi="Arial" w:cs="Arial"/>
          <w:color w:val="252525"/>
          <w:sz w:val="20"/>
          <w:szCs w:val="20"/>
        </w:rPr>
        <w:t xml:space="preserve">In November 2013, CMS announced a one-year transition policy allowing insurers in the small group market to renew policies that would otherwise have been canceled due to noncompliance under health care reform </w:t>
      </w:r>
      <w:r w:rsidR="008655CD">
        <w:rPr>
          <w:rFonts w:ascii="Arial" w:hAnsi="Arial" w:cs="Arial"/>
          <w:color w:val="252525"/>
          <w:sz w:val="20"/>
          <w:szCs w:val="20"/>
        </w:rPr>
        <w:t>beginning</w:t>
      </w:r>
      <w:r w:rsidRPr="004B1644">
        <w:rPr>
          <w:rFonts w:ascii="Arial" w:hAnsi="Arial" w:cs="Arial"/>
          <w:color w:val="252525"/>
          <w:sz w:val="20"/>
          <w:szCs w:val="20"/>
        </w:rPr>
        <w:t xml:space="preserve"> </w:t>
      </w:r>
      <w:r w:rsidR="00987818" w:rsidRPr="004B1644">
        <w:rPr>
          <w:rFonts w:ascii="Arial" w:hAnsi="Arial" w:cs="Arial"/>
          <w:color w:val="252525"/>
          <w:sz w:val="20"/>
          <w:szCs w:val="20"/>
        </w:rPr>
        <w:t>in 2014</w:t>
      </w:r>
      <w:r w:rsidRPr="004B1644">
        <w:rPr>
          <w:rFonts w:ascii="Arial" w:hAnsi="Arial" w:cs="Arial"/>
          <w:color w:val="252525"/>
          <w:sz w:val="20"/>
          <w:szCs w:val="20"/>
        </w:rPr>
        <w:t>.</w:t>
      </w:r>
      <w:bookmarkStart w:id="5" w:name="SRC_5.1"/>
      <w:bookmarkEnd w:id="5"/>
      <w:r w:rsidRPr="004B1644">
        <w:rPr>
          <w:rStyle w:val="apple-converted-space"/>
          <w:rFonts w:ascii="Arial" w:hAnsi="Arial" w:cs="Arial"/>
          <w:color w:val="252525"/>
          <w:sz w:val="20"/>
          <w:szCs w:val="20"/>
          <w:bdr w:val="none" w:sz="0" w:space="0" w:color="auto" w:frame="1"/>
          <w:vertAlign w:val="superscript"/>
        </w:rPr>
        <w:t xml:space="preserve"> </w:t>
      </w:r>
      <w:r w:rsidR="008655CD">
        <w:rPr>
          <w:rFonts w:ascii="Arial" w:hAnsi="Arial" w:cs="Arial"/>
          <w:color w:val="252525"/>
          <w:sz w:val="20"/>
          <w:szCs w:val="20"/>
        </w:rPr>
        <w:t>Then in March 2014</w:t>
      </w:r>
      <w:r w:rsidRPr="004B1644">
        <w:rPr>
          <w:rFonts w:ascii="Arial" w:hAnsi="Arial" w:cs="Arial"/>
          <w:color w:val="252525"/>
          <w:sz w:val="20"/>
          <w:szCs w:val="20"/>
        </w:rPr>
        <w:t>, HHS announced a two-year extension of this policy.</w:t>
      </w:r>
      <w:r w:rsidRPr="004B1644">
        <w:rPr>
          <w:rStyle w:val="apple-converted-space"/>
          <w:rFonts w:ascii="Arial" w:hAnsi="Arial" w:cs="Arial"/>
          <w:color w:val="252525"/>
          <w:sz w:val="20"/>
          <w:szCs w:val="20"/>
          <w:bdr w:val="none" w:sz="0" w:space="0" w:color="auto" w:frame="1"/>
          <w:vertAlign w:val="superscript"/>
        </w:rPr>
        <w:t> </w:t>
      </w:r>
      <w:bookmarkStart w:id="6" w:name="SRC_5.3"/>
      <w:bookmarkEnd w:id="6"/>
    </w:p>
    <w:p w:rsidR="008655CD" w:rsidRDefault="008655CD" w:rsidP="004B1644">
      <w:pPr>
        <w:pStyle w:val="NormalWeb"/>
        <w:spacing w:before="0" w:beforeAutospacing="0" w:after="0" w:afterAutospacing="0"/>
        <w:textAlignment w:val="baseline"/>
        <w:rPr>
          <w:rStyle w:val="apple-converted-space"/>
          <w:rFonts w:ascii="Arial" w:hAnsi="Arial" w:cs="Arial"/>
          <w:color w:val="252525"/>
          <w:sz w:val="20"/>
          <w:szCs w:val="20"/>
        </w:rPr>
      </w:pPr>
      <w:r>
        <w:rPr>
          <w:rFonts w:ascii="Arial" w:hAnsi="Arial" w:cs="Arial"/>
          <w:color w:val="252525"/>
          <w:sz w:val="20"/>
          <w:szCs w:val="20"/>
        </w:rPr>
        <w:t>Although the transition relief primarily affects the small group market by allowing the renewal of non-compliant plans,</w:t>
      </w:r>
      <w:r w:rsidR="00E00E23" w:rsidRPr="004B1644">
        <w:rPr>
          <w:rStyle w:val="apple-converted-space"/>
          <w:rFonts w:ascii="Arial" w:hAnsi="Arial" w:cs="Arial"/>
          <w:color w:val="252525"/>
          <w:sz w:val="20"/>
          <w:szCs w:val="20"/>
          <w:bdr w:val="none" w:sz="0" w:space="0" w:color="auto" w:frame="1"/>
          <w:vertAlign w:val="superscript"/>
        </w:rPr>
        <w:t> </w:t>
      </w:r>
      <w:bookmarkStart w:id="7" w:name="SRC_5.4"/>
      <w:bookmarkEnd w:id="7"/>
      <w:r>
        <w:rPr>
          <w:rFonts w:ascii="Arial" w:hAnsi="Arial" w:cs="Arial"/>
          <w:color w:val="252525"/>
          <w:sz w:val="20"/>
          <w:szCs w:val="20"/>
        </w:rPr>
        <w:t>t</w:t>
      </w:r>
      <w:r w:rsidR="00E00E23" w:rsidRPr="004B1644">
        <w:rPr>
          <w:rFonts w:ascii="Arial" w:hAnsi="Arial" w:cs="Arial"/>
          <w:color w:val="252525"/>
          <w:sz w:val="20"/>
          <w:szCs w:val="20"/>
        </w:rPr>
        <w:t xml:space="preserve">he </w:t>
      </w:r>
      <w:r>
        <w:rPr>
          <w:rFonts w:ascii="Arial" w:hAnsi="Arial" w:cs="Arial"/>
          <w:color w:val="252525"/>
          <w:sz w:val="20"/>
          <w:szCs w:val="20"/>
        </w:rPr>
        <w:t>transition relief</w:t>
      </w:r>
      <w:r w:rsidR="00E00E23" w:rsidRPr="004B1644">
        <w:rPr>
          <w:rFonts w:ascii="Arial" w:hAnsi="Arial" w:cs="Arial"/>
          <w:color w:val="252525"/>
          <w:sz w:val="20"/>
          <w:szCs w:val="20"/>
        </w:rPr>
        <w:t xml:space="preserve"> also applies to </w:t>
      </w:r>
      <w:r>
        <w:rPr>
          <w:rFonts w:ascii="Arial" w:hAnsi="Arial" w:cs="Arial"/>
          <w:color w:val="252525"/>
          <w:sz w:val="20"/>
          <w:szCs w:val="20"/>
        </w:rPr>
        <w:t>employers</w:t>
      </w:r>
      <w:r w:rsidR="00E00E23" w:rsidRPr="004B1644">
        <w:rPr>
          <w:rFonts w:ascii="Arial" w:hAnsi="Arial" w:cs="Arial"/>
          <w:color w:val="252525"/>
          <w:sz w:val="20"/>
          <w:szCs w:val="20"/>
        </w:rPr>
        <w:t xml:space="preserve"> </w:t>
      </w:r>
      <w:r w:rsidR="007638BF">
        <w:rPr>
          <w:rFonts w:ascii="Arial" w:hAnsi="Arial" w:cs="Arial"/>
          <w:color w:val="252525"/>
          <w:sz w:val="20"/>
          <w:szCs w:val="20"/>
        </w:rPr>
        <w:t>who</w:t>
      </w:r>
      <w:r w:rsidR="00E00E23" w:rsidRPr="004B1644">
        <w:rPr>
          <w:rFonts w:ascii="Arial" w:hAnsi="Arial" w:cs="Arial"/>
          <w:color w:val="252525"/>
          <w:sz w:val="20"/>
          <w:szCs w:val="20"/>
        </w:rPr>
        <w:t xml:space="preserve"> currently purchase insurance in the large group market</w:t>
      </w:r>
      <w:r w:rsidR="006F0025">
        <w:rPr>
          <w:rFonts w:ascii="Arial" w:hAnsi="Arial" w:cs="Arial"/>
          <w:color w:val="252525"/>
          <w:sz w:val="20"/>
          <w:szCs w:val="20"/>
        </w:rPr>
        <w:t xml:space="preserve">, but </w:t>
      </w:r>
      <w:r w:rsidR="007638BF">
        <w:rPr>
          <w:rFonts w:ascii="Arial" w:hAnsi="Arial" w:cs="Arial"/>
          <w:color w:val="252525"/>
          <w:sz w:val="20"/>
          <w:szCs w:val="20"/>
        </w:rPr>
        <w:t>who</w:t>
      </w:r>
      <w:r w:rsidR="00E00E23" w:rsidRPr="004B1644">
        <w:rPr>
          <w:rFonts w:ascii="Arial" w:hAnsi="Arial" w:cs="Arial"/>
          <w:color w:val="252525"/>
          <w:sz w:val="20"/>
          <w:szCs w:val="20"/>
        </w:rPr>
        <w:t xml:space="preserve"> as of January 1, 2016 will be redefined as </w:t>
      </w:r>
      <w:r>
        <w:rPr>
          <w:rFonts w:ascii="Arial" w:hAnsi="Arial" w:cs="Arial"/>
          <w:color w:val="252525"/>
          <w:sz w:val="20"/>
          <w:szCs w:val="20"/>
        </w:rPr>
        <w:t>a small employer required to purchase</w:t>
      </w:r>
      <w:r w:rsidR="00E00E23" w:rsidRPr="004B1644">
        <w:rPr>
          <w:rFonts w:ascii="Arial" w:hAnsi="Arial" w:cs="Arial"/>
          <w:color w:val="252525"/>
          <w:sz w:val="20"/>
          <w:szCs w:val="20"/>
        </w:rPr>
        <w:t xml:space="preserve"> insurance in the small group market.</w:t>
      </w:r>
      <w:r w:rsidR="00E00E23" w:rsidRPr="004B1644">
        <w:rPr>
          <w:rStyle w:val="apple-converted-space"/>
          <w:rFonts w:ascii="Arial" w:hAnsi="Arial" w:cs="Arial"/>
          <w:color w:val="252525"/>
          <w:sz w:val="20"/>
          <w:szCs w:val="20"/>
          <w:bdr w:val="none" w:sz="0" w:space="0" w:color="auto" w:frame="1"/>
          <w:vertAlign w:val="superscript"/>
        </w:rPr>
        <w:t> </w:t>
      </w:r>
      <w:bookmarkStart w:id="8" w:name="SRC_5.5"/>
      <w:bookmarkEnd w:id="8"/>
      <w:r w:rsidR="00E00E23" w:rsidRPr="004B1644">
        <w:rPr>
          <w:rStyle w:val="apple-converted-space"/>
          <w:rFonts w:ascii="Arial" w:hAnsi="Arial" w:cs="Arial"/>
          <w:color w:val="252525"/>
          <w:sz w:val="20"/>
          <w:szCs w:val="20"/>
        </w:rPr>
        <w:t> </w:t>
      </w:r>
    </w:p>
    <w:p w:rsidR="008655CD" w:rsidRDefault="008655CD" w:rsidP="004B1644">
      <w:pPr>
        <w:pStyle w:val="NormalWeb"/>
        <w:spacing w:before="0" w:beforeAutospacing="0" w:after="0" w:afterAutospacing="0"/>
        <w:textAlignment w:val="baseline"/>
        <w:rPr>
          <w:rStyle w:val="apple-converted-space"/>
          <w:rFonts w:ascii="Arial" w:hAnsi="Arial" w:cs="Arial"/>
          <w:color w:val="252525"/>
          <w:sz w:val="20"/>
          <w:szCs w:val="20"/>
        </w:rPr>
      </w:pPr>
    </w:p>
    <w:p w:rsidR="00E00E23" w:rsidRPr="004B1644" w:rsidRDefault="008655CD" w:rsidP="004B1644">
      <w:pPr>
        <w:pStyle w:val="NormalWeb"/>
        <w:spacing w:before="0" w:beforeAutospacing="0" w:after="0" w:afterAutospacing="0"/>
        <w:textAlignment w:val="baseline"/>
        <w:rPr>
          <w:rFonts w:ascii="Arial" w:hAnsi="Arial" w:cs="Arial"/>
          <w:color w:val="252525"/>
          <w:sz w:val="20"/>
          <w:szCs w:val="20"/>
        </w:rPr>
      </w:pPr>
      <w:r>
        <w:rPr>
          <w:rStyle w:val="apple-converted-space"/>
          <w:rFonts w:ascii="Arial" w:hAnsi="Arial" w:cs="Arial"/>
          <w:color w:val="252525"/>
          <w:sz w:val="20"/>
          <w:szCs w:val="20"/>
        </w:rPr>
        <w:t>In states that choose to adopt the transition relief,</w:t>
      </w:r>
      <w:r w:rsidR="00E00E23" w:rsidRPr="004B1644">
        <w:rPr>
          <w:rFonts w:ascii="Arial" w:hAnsi="Arial" w:cs="Arial"/>
          <w:color w:val="252525"/>
          <w:sz w:val="20"/>
          <w:szCs w:val="20"/>
        </w:rPr>
        <w:t xml:space="preserve"> insurers</w:t>
      </w:r>
      <w:r>
        <w:rPr>
          <w:rFonts w:ascii="Arial" w:hAnsi="Arial" w:cs="Arial"/>
          <w:color w:val="252525"/>
          <w:sz w:val="20"/>
          <w:szCs w:val="20"/>
        </w:rPr>
        <w:t xml:space="preserve"> </w:t>
      </w:r>
      <w:r w:rsidR="00E00E23" w:rsidRPr="004B1644">
        <w:rPr>
          <w:rFonts w:ascii="Arial" w:hAnsi="Arial" w:cs="Arial"/>
          <w:color w:val="252525"/>
          <w:sz w:val="20"/>
          <w:szCs w:val="20"/>
        </w:rPr>
        <w:t xml:space="preserve">have the option of renewing current policies without being considered out of compliance with </w:t>
      </w:r>
      <w:r>
        <w:rPr>
          <w:rFonts w:ascii="Arial" w:hAnsi="Arial" w:cs="Arial"/>
          <w:color w:val="252525"/>
          <w:sz w:val="20"/>
          <w:szCs w:val="20"/>
        </w:rPr>
        <w:t>various</w:t>
      </w:r>
      <w:r w:rsidR="00E00E23" w:rsidRPr="004B1644">
        <w:rPr>
          <w:rFonts w:ascii="Arial" w:hAnsi="Arial" w:cs="Arial"/>
          <w:color w:val="252525"/>
          <w:sz w:val="20"/>
          <w:szCs w:val="20"/>
        </w:rPr>
        <w:t xml:space="preserve"> small group market </w:t>
      </w:r>
      <w:r>
        <w:rPr>
          <w:rFonts w:ascii="Arial" w:hAnsi="Arial" w:cs="Arial"/>
          <w:color w:val="252525"/>
          <w:sz w:val="20"/>
          <w:szCs w:val="20"/>
        </w:rPr>
        <w:t>requirements that do not apply to</w:t>
      </w:r>
      <w:r w:rsidR="00E00E23" w:rsidRPr="004B1644">
        <w:rPr>
          <w:rFonts w:ascii="Arial" w:hAnsi="Arial" w:cs="Arial"/>
          <w:color w:val="252525"/>
          <w:sz w:val="20"/>
          <w:szCs w:val="20"/>
        </w:rPr>
        <w:t xml:space="preserve"> the large group market</w:t>
      </w:r>
      <w:r w:rsidR="00C849B8">
        <w:rPr>
          <w:rFonts w:ascii="Arial" w:hAnsi="Arial" w:cs="Arial"/>
          <w:color w:val="252525"/>
          <w:sz w:val="20"/>
          <w:szCs w:val="20"/>
        </w:rPr>
        <w:t xml:space="preserve"> (e.g.</w:t>
      </w:r>
      <w:r>
        <w:rPr>
          <w:rFonts w:ascii="Arial" w:hAnsi="Arial" w:cs="Arial"/>
          <w:color w:val="252525"/>
          <w:sz w:val="20"/>
          <w:szCs w:val="20"/>
        </w:rPr>
        <w:t xml:space="preserve"> rating rules and requirement to offer essential health benefits)</w:t>
      </w:r>
      <w:r w:rsidR="00E00E23" w:rsidRPr="004B1644">
        <w:rPr>
          <w:rFonts w:ascii="Arial" w:hAnsi="Arial" w:cs="Arial"/>
          <w:color w:val="252525"/>
          <w:sz w:val="20"/>
          <w:szCs w:val="20"/>
        </w:rPr>
        <w:t>.</w:t>
      </w:r>
      <w:bookmarkStart w:id="9" w:name="SRC_5.6"/>
      <w:bookmarkEnd w:id="9"/>
      <w:r w:rsidR="00E00E23" w:rsidRPr="004B1644">
        <w:rPr>
          <w:rStyle w:val="apple-converted-space"/>
          <w:rFonts w:ascii="Arial" w:hAnsi="Arial" w:cs="Arial"/>
          <w:color w:val="252525"/>
          <w:sz w:val="20"/>
          <w:szCs w:val="20"/>
        </w:rPr>
        <w:t> </w:t>
      </w:r>
      <w:r w:rsidR="00E00E23" w:rsidRPr="004B1644">
        <w:rPr>
          <w:rFonts w:ascii="Arial" w:hAnsi="Arial" w:cs="Arial"/>
          <w:color w:val="252525"/>
          <w:sz w:val="20"/>
          <w:szCs w:val="20"/>
        </w:rPr>
        <w:t xml:space="preserve">CMS has clarified </w:t>
      </w:r>
      <w:r>
        <w:rPr>
          <w:rFonts w:ascii="Arial" w:hAnsi="Arial" w:cs="Arial"/>
          <w:color w:val="252525"/>
          <w:sz w:val="20"/>
          <w:szCs w:val="20"/>
        </w:rPr>
        <w:t>that an employer with 51</w:t>
      </w:r>
      <w:r w:rsidR="007638BF">
        <w:rPr>
          <w:rFonts w:ascii="Arial" w:hAnsi="Arial" w:cs="Arial"/>
          <w:color w:val="252525"/>
          <w:sz w:val="20"/>
          <w:szCs w:val="20"/>
        </w:rPr>
        <w:t>–</w:t>
      </w:r>
      <w:r>
        <w:rPr>
          <w:rFonts w:ascii="Arial" w:hAnsi="Arial" w:cs="Arial"/>
          <w:color w:val="252525"/>
          <w:sz w:val="20"/>
          <w:szCs w:val="20"/>
        </w:rPr>
        <w:t>100 FTEs</w:t>
      </w:r>
      <w:r w:rsidR="00E00E23" w:rsidRPr="004B1644">
        <w:rPr>
          <w:rFonts w:ascii="Arial" w:hAnsi="Arial" w:cs="Arial"/>
          <w:color w:val="252525"/>
          <w:sz w:val="20"/>
          <w:szCs w:val="20"/>
        </w:rPr>
        <w:t xml:space="preserve"> </w:t>
      </w:r>
      <w:r>
        <w:rPr>
          <w:rFonts w:ascii="Arial" w:hAnsi="Arial" w:cs="Arial"/>
          <w:color w:val="252525"/>
          <w:sz w:val="20"/>
          <w:szCs w:val="20"/>
        </w:rPr>
        <w:t>qualifies for transition relief</w:t>
      </w:r>
      <w:r w:rsidR="00E00E23" w:rsidRPr="004B1644">
        <w:rPr>
          <w:rFonts w:ascii="Arial" w:hAnsi="Arial" w:cs="Arial"/>
          <w:color w:val="252525"/>
          <w:sz w:val="20"/>
          <w:szCs w:val="20"/>
        </w:rPr>
        <w:t xml:space="preserve"> with respect to a large group policy purchased before January 1, 2016 if the policy is renewed for a plan year beginning January 1, 2016 </w:t>
      </w:r>
      <w:r>
        <w:rPr>
          <w:rFonts w:ascii="Arial" w:hAnsi="Arial" w:cs="Arial"/>
          <w:color w:val="252525"/>
          <w:sz w:val="20"/>
          <w:szCs w:val="20"/>
        </w:rPr>
        <w:t>through</w:t>
      </w:r>
      <w:r w:rsidR="00E00E23" w:rsidRPr="004B1644">
        <w:rPr>
          <w:rFonts w:ascii="Arial" w:hAnsi="Arial" w:cs="Arial"/>
          <w:color w:val="252525"/>
          <w:sz w:val="20"/>
          <w:szCs w:val="20"/>
        </w:rPr>
        <w:t xml:space="preserve"> October 1, 2016.</w:t>
      </w:r>
      <w:r w:rsidR="00E00E23" w:rsidRPr="004B1644">
        <w:rPr>
          <w:rStyle w:val="apple-converted-space"/>
          <w:rFonts w:ascii="Arial" w:hAnsi="Arial" w:cs="Arial"/>
          <w:color w:val="252525"/>
          <w:sz w:val="20"/>
          <w:szCs w:val="20"/>
          <w:bdr w:val="none" w:sz="0" w:space="0" w:color="auto" w:frame="1"/>
          <w:vertAlign w:val="superscript"/>
        </w:rPr>
        <w:t> </w:t>
      </w:r>
      <w:bookmarkStart w:id="10" w:name="SRC_5.7"/>
      <w:bookmarkEnd w:id="10"/>
      <w:r w:rsidR="00E00E23" w:rsidRPr="004B1644">
        <w:rPr>
          <w:rStyle w:val="apple-converted-space"/>
          <w:rFonts w:ascii="Arial" w:hAnsi="Arial" w:cs="Arial"/>
          <w:color w:val="252525"/>
          <w:sz w:val="20"/>
          <w:szCs w:val="20"/>
        </w:rPr>
        <w:t> </w:t>
      </w:r>
      <w:r w:rsidR="00396BCA" w:rsidRPr="004B1644">
        <w:rPr>
          <w:rFonts w:ascii="Arial" w:hAnsi="Arial" w:cs="Arial"/>
          <w:color w:val="252525"/>
          <w:sz w:val="20"/>
          <w:szCs w:val="20"/>
        </w:rPr>
        <w:t xml:space="preserve"> </w:t>
      </w:r>
    </w:p>
    <w:p w:rsidR="006D13CD" w:rsidRPr="000D31AC" w:rsidRDefault="006D13CD" w:rsidP="000D31AC">
      <w:pPr>
        <w:ind w:left="0"/>
        <w:rPr>
          <w:rFonts w:cs="Arial"/>
          <w:b/>
          <w:szCs w:val="20"/>
        </w:rPr>
      </w:pPr>
    </w:p>
    <w:p w:rsidR="00987818" w:rsidRPr="004B1644" w:rsidRDefault="004B1644" w:rsidP="000D31AC">
      <w:pPr>
        <w:ind w:left="0"/>
        <w:rPr>
          <w:b/>
        </w:rPr>
      </w:pPr>
      <w:r>
        <w:rPr>
          <w:b/>
        </w:rPr>
        <w:t>Determining Employer Size</w:t>
      </w:r>
    </w:p>
    <w:p w:rsidR="00987818" w:rsidRPr="00147497" w:rsidRDefault="00987818" w:rsidP="008655CD">
      <w:pPr>
        <w:ind w:left="0"/>
        <w:rPr>
          <w:rFonts w:ascii="Calibri" w:hAnsi="Calibri"/>
          <w:lang w:bidi="ar-SA"/>
        </w:rPr>
      </w:pPr>
      <w:r w:rsidRPr="00147497">
        <w:t>Small group versus large group for purposes of insurance rating is determined on a state</w:t>
      </w:r>
      <w:r w:rsidR="007638BF">
        <w:t>-</w:t>
      </w:r>
      <w:r w:rsidRPr="00147497">
        <w:t>by</w:t>
      </w:r>
      <w:r w:rsidR="007638BF">
        <w:t>-</w:t>
      </w:r>
      <w:r w:rsidRPr="00147497">
        <w:t xml:space="preserve">state basis through 2015. Most states </w:t>
      </w:r>
      <w:r w:rsidR="006F0025">
        <w:t>currently define small group as</w:t>
      </w:r>
      <w:r w:rsidRPr="00147497">
        <w:t xml:space="preserve"> 50 or less, but </w:t>
      </w:r>
      <w:r w:rsidR="001257EE">
        <w:t>many</w:t>
      </w:r>
      <w:r w:rsidRPr="00147497">
        <w:t xml:space="preserve"> define that count differently (</w:t>
      </w:r>
      <w:r w:rsidR="007638BF">
        <w:t>e.g.</w:t>
      </w:r>
      <w:r w:rsidR="00785AC8">
        <w:t xml:space="preserve"> number enrolled, </w:t>
      </w:r>
      <w:r w:rsidRPr="00147497">
        <w:t xml:space="preserve">number of full-time or total employees). Beginning in 2016, however, the same calculation used to determine whether an employer is an applicable large employer under </w:t>
      </w:r>
      <w:r w:rsidR="008655CD" w:rsidRPr="00147497">
        <w:t xml:space="preserve">Section </w:t>
      </w:r>
      <w:r w:rsidRPr="00147497">
        <w:t xml:space="preserve">4980H </w:t>
      </w:r>
      <w:r w:rsidR="008655CD" w:rsidRPr="00147497">
        <w:t>(the “employer mandate”) must be used by all states</w:t>
      </w:r>
      <w:r w:rsidRPr="00147497">
        <w:t xml:space="preserve">, and those </w:t>
      </w:r>
      <w:r w:rsidR="008655CD" w:rsidRPr="00147497">
        <w:t xml:space="preserve">employers </w:t>
      </w:r>
      <w:r w:rsidRPr="00147497">
        <w:t xml:space="preserve">with 100 or less </w:t>
      </w:r>
      <w:r w:rsidR="006F0025">
        <w:t xml:space="preserve">FTEs </w:t>
      </w:r>
      <w:r w:rsidRPr="00147497">
        <w:t>will be considered small group</w:t>
      </w:r>
      <w:r w:rsidR="00785AC8">
        <w:t xml:space="preserve"> for insurance rating purposes.  This includes the requirement under 4980H rules to aggregate employees across all entities that are part of the same controlled group or affiliated service under </w:t>
      </w:r>
      <w:r w:rsidR="001257EE">
        <w:rPr>
          <w:rFonts w:ascii="Calibri" w:hAnsi="Calibri"/>
        </w:rPr>
        <w:t>§</w:t>
      </w:r>
      <w:r w:rsidR="00785AC8">
        <w:t>414 rules.</w:t>
      </w:r>
    </w:p>
    <w:p w:rsidR="00987818" w:rsidRDefault="00987818" w:rsidP="000D31AC">
      <w:pPr>
        <w:ind w:left="0"/>
        <w:rPr>
          <w:rFonts w:cs="Arial"/>
          <w:b/>
          <w:szCs w:val="20"/>
        </w:rPr>
      </w:pPr>
    </w:p>
    <w:p w:rsidR="00147497" w:rsidRPr="00147497" w:rsidRDefault="00147497" w:rsidP="000D31AC">
      <w:pPr>
        <w:ind w:left="0"/>
        <w:rPr>
          <w:rFonts w:cs="Arial"/>
          <w:b/>
          <w:szCs w:val="20"/>
        </w:rPr>
      </w:pPr>
      <w:r>
        <w:rPr>
          <w:rFonts w:cs="Arial"/>
          <w:b/>
          <w:szCs w:val="20"/>
        </w:rPr>
        <w:t xml:space="preserve">Interaction with Section 4980H </w:t>
      </w:r>
    </w:p>
    <w:p w:rsidR="000663CB" w:rsidRDefault="00147497" w:rsidP="008655CD">
      <w:pPr>
        <w:pStyle w:val="NormalWeb"/>
        <w:spacing w:before="0" w:beforeAutospacing="0" w:after="0" w:afterAutospacing="0"/>
        <w:textAlignment w:val="baseline"/>
        <w:rPr>
          <w:rFonts w:ascii="Arial" w:hAnsi="Arial" w:cs="Arial"/>
          <w:color w:val="252525"/>
          <w:sz w:val="20"/>
          <w:szCs w:val="20"/>
        </w:rPr>
      </w:pPr>
      <w:r>
        <w:rPr>
          <w:rFonts w:ascii="Arial" w:hAnsi="Arial" w:cs="Arial"/>
          <w:color w:val="252525"/>
          <w:sz w:val="20"/>
          <w:szCs w:val="20"/>
        </w:rPr>
        <w:t>Employers with 5</w:t>
      </w:r>
      <w:r w:rsidR="006F0025">
        <w:rPr>
          <w:rFonts w:ascii="Arial" w:hAnsi="Arial" w:cs="Arial"/>
          <w:color w:val="252525"/>
          <w:sz w:val="20"/>
          <w:szCs w:val="20"/>
        </w:rPr>
        <w:t xml:space="preserve">0 or more </w:t>
      </w:r>
      <w:r>
        <w:rPr>
          <w:rFonts w:ascii="Arial" w:hAnsi="Arial" w:cs="Arial"/>
          <w:color w:val="252525"/>
          <w:sz w:val="20"/>
          <w:szCs w:val="20"/>
        </w:rPr>
        <w:t xml:space="preserve">FTEs are considered “applicable large employers” subject to 4980H requirements. Such employers may face potential </w:t>
      </w:r>
      <w:r w:rsidR="001257EE">
        <w:rPr>
          <w:rFonts w:ascii="Arial" w:hAnsi="Arial" w:cs="Arial"/>
          <w:color w:val="252525"/>
          <w:sz w:val="20"/>
          <w:szCs w:val="20"/>
        </w:rPr>
        <w:t xml:space="preserve">shared responsibility payments </w:t>
      </w:r>
      <w:r>
        <w:rPr>
          <w:rFonts w:ascii="Arial" w:hAnsi="Arial" w:cs="Arial"/>
          <w:color w:val="252525"/>
          <w:sz w:val="20"/>
          <w:szCs w:val="20"/>
        </w:rPr>
        <w:t xml:space="preserve">if coverage meeting certain requirements is not offered to substantially all of their full-time employees. </w:t>
      </w:r>
      <w:r w:rsidR="000663CB">
        <w:rPr>
          <w:rFonts w:ascii="Arial" w:hAnsi="Arial" w:cs="Arial"/>
          <w:color w:val="252525"/>
          <w:sz w:val="20"/>
          <w:szCs w:val="20"/>
        </w:rPr>
        <w:t>Note</w:t>
      </w:r>
      <w:r w:rsidR="007638BF">
        <w:rPr>
          <w:rFonts w:ascii="Arial" w:hAnsi="Arial" w:cs="Arial"/>
          <w:color w:val="252525"/>
          <w:sz w:val="20"/>
          <w:szCs w:val="20"/>
        </w:rPr>
        <w:t>:</w:t>
      </w:r>
      <w:r w:rsidR="000663CB">
        <w:rPr>
          <w:rFonts w:ascii="Arial" w:hAnsi="Arial" w:cs="Arial"/>
          <w:color w:val="252525"/>
          <w:sz w:val="20"/>
          <w:szCs w:val="20"/>
        </w:rPr>
        <w:t xml:space="preserve"> </w:t>
      </w:r>
      <w:r w:rsidR="007638BF">
        <w:rPr>
          <w:rFonts w:ascii="Arial" w:hAnsi="Arial" w:cs="Arial"/>
          <w:color w:val="252525"/>
          <w:sz w:val="20"/>
          <w:szCs w:val="20"/>
        </w:rPr>
        <w:t>A</w:t>
      </w:r>
      <w:r w:rsidR="000663CB">
        <w:rPr>
          <w:rFonts w:ascii="Arial" w:hAnsi="Arial" w:cs="Arial"/>
          <w:color w:val="252525"/>
          <w:sz w:val="20"/>
          <w:szCs w:val="20"/>
        </w:rPr>
        <w:t>n employer</w:t>
      </w:r>
      <w:r w:rsidR="006F0025">
        <w:rPr>
          <w:rFonts w:ascii="Arial" w:hAnsi="Arial" w:cs="Arial"/>
          <w:color w:val="252525"/>
          <w:sz w:val="20"/>
          <w:szCs w:val="20"/>
        </w:rPr>
        <w:t xml:space="preserve"> with </w:t>
      </w:r>
      <w:r w:rsidR="006F0025">
        <w:rPr>
          <w:rFonts w:ascii="Arial" w:hAnsi="Arial" w:cs="Arial"/>
          <w:color w:val="252525"/>
          <w:sz w:val="20"/>
          <w:szCs w:val="20"/>
        </w:rPr>
        <w:lastRenderedPageBreak/>
        <w:t>50</w:t>
      </w:r>
      <w:r w:rsidR="007638BF">
        <w:rPr>
          <w:rFonts w:ascii="Arial" w:hAnsi="Arial" w:cs="Arial"/>
          <w:color w:val="252525"/>
          <w:sz w:val="20"/>
          <w:szCs w:val="20"/>
        </w:rPr>
        <w:t>–</w:t>
      </w:r>
      <w:r w:rsidR="006F0025">
        <w:rPr>
          <w:rFonts w:ascii="Arial" w:hAnsi="Arial" w:cs="Arial"/>
          <w:color w:val="252525"/>
          <w:sz w:val="20"/>
          <w:szCs w:val="20"/>
        </w:rPr>
        <w:t>100 FTEs</w:t>
      </w:r>
      <w:r w:rsidR="000663CB">
        <w:rPr>
          <w:rFonts w:ascii="Arial" w:hAnsi="Arial" w:cs="Arial"/>
          <w:color w:val="252525"/>
          <w:sz w:val="20"/>
          <w:szCs w:val="20"/>
        </w:rPr>
        <w:t xml:space="preserve"> may be considered a small employer for insurance rating purposes and an applicable large employer required to comply with Section 4980H requirements.  </w:t>
      </w:r>
    </w:p>
    <w:p w:rsidR="000663CB" w:rsidRDefault="000663CB" w:rsidP="008655CD">
      <w:pPr>
        <w:pStyle w:val="NormalWeb"/>
        <w:spacing w:before="0" w:beforeAutospacing="0" w:after="0" w:afterAutospacing="0"/>
        <w:textAlignment w:val="baseline"/>
        <w:rPr>
          <w:rFonts w:ascii="Arial" w:hAnsi="Arial" w:cs="Arial"/>
          <w:color w:val="252525"/>
          <w:sz w:val="20"/>
          <w:szCs w:val="20"/>
        </w:rPr>
      </w:pPr>
    </w:p>
    <w:p w:rsidR="009A65A0" w:rsidRDefault="00F0429B" w:rsidP="009A65A0">
      <w:pPr>
        <w:pStyle w:val="PlainText"/>
        <w:rPr>
          <w:rFonts w:ascii="Arial" w:hAnsi="Arial" w:cs="Arial"/>
          <w:sz w:val="20"/>
          <w:szCs w:val="20"/>
        </w:rPr>
      </w:pPr>
      <w:r>
        <w:rPr>
          <w:rFonts w:ascii="Arial" w:hAnsi="Arial" w:cs="Arial"/>
          <w:sz w:val="20"/>
          <w:szCs w:val="20"/>
        </w:rPr>
        <w:t>For the first year of</w:t>
      </w:r>
      <w:r w:rsidR="006F0025">
        <w:rPr>
          <w:rFonts w:ascii="Arial" w:hAnsi="Arial" w:cs="Arial"/>
          <w:sz w:val="20"/>
          <w:szCs w:val="20"/>
        </w:rPr>
        <w:t xml:space="preserve"> 4980H</w:t>
      </w:r>
      <w:r>
        <w:rPr>
          <w:rFonts w:ascii="Arial" w:hAnsi="Arial" w:cs="Arial"/>
          <w:sz w:val="20"/>
          <w:szCs w:val="20"/>
        </w:rPr>
        <w:t xml:space="preserve"> application, 2015, a variety of transition relief is available. However, almost all </w:t>
      </w:r>
      <w:r w:rsidR="00C849B8">
        <w:rPr>
          <w:rFonts w:ascii="Arial" w:hAnsi="Arial" w:cs="Arial"/>
          <w:sz w:val="20"/>
          <w:szCs w:val="20"/>
        </w:rPr>
        <w:t>transition relief is conditional</w:t>
      </w:r>
      <w:r>
        <w:rPr>
          <w:rFonts w:ascii="Arial" w:hAnsi="Arial" w:cs="Arial"/>
          <w:sz w:val="20"/>
          <w:szCs w:val="20"/>
        </w:rPr>
        <w:t xml:space="preserve"> upon the requirement that </w:t>
      </w:r>
      <w:r w:rsidR="006F0025">
        <w:rPr>
          <w:rFonts w:ascii="Arial" w:hAnsi="Arial" w:cs="Arial"/>
          <w:sz w:val="20"/>
          <w:szCs w:val="20"/>
        </w:rPr>
        <w:t xml:space="preserve">the </w:t>
      </w:r>
      <w:r>
        <w:rPr>
          <w:rFonts w:ascii="Arial" w:hAnsi="Arial" w:cs="Arial"/>
          <w:sz w:val="20"/>
          <w:szCs w:val="20"/>
        </w:rPr>
        <w:t xml:space="preserve">plan year cannot be changed to be later in the year after February </w:t>
      </w:r>
      <w:proofErr w:type="gramStart"/>
      <w:r>
        <w:rPr>
          <w:rFonts w:ascii="Arial" w:hAnsi="Arial" w:cs="Arial"/>
          <w:sz w:val="20"/>
          <w:szCs w:val="20"/>
        </w:rPr>
        <w:t>9,</w:t>
      </w:r>
      <w:proofErr w:type="gramEnd"/>
      <w:r>
        <w:rPr>
          <w:rFonts w:ascii="Arial" w:hAnsi="Arial" w:cs="Arial"/>
          <w:sz w:val="20"/>
          <w:szCs w:val="20"/>
        </w:rPr>
        <w:t xml:space="preserve"> 2014.This includes the transition relief that generally allows e</w:t>
      </w:r>
      <w:r w:rsidR="000663CB" w:rsidRPr="00F0429B">
        <w:rPr>
          <w:rFonts w:ascii="Arial" w:hAnsi="Arial" w:cs="Arial"/>
          <w:sz w:val="20"/>
          <w:szCs w:val="20"/>
        </w:rPr>
        <w:t>mployers with 50</w:t>
      </w:r>
      <w:r w:rsidR="007638BF">
        <w:rPr>
          <w:rFonts w:ascii="Arial" w:hAnsi="Arial" w:cs="Arial"/>
          <w:sz w:val="20"/>
          <w:szCs w:val="20"/>
        </w:rPr>
        <w:t>–</w:t>
      </w:r>
      <w:r w:rsidR="000663CB" w:rsidRPr="00F0429B">
        <w:rPr>
          <w:rFonts w:ascii="Arial" w:hAnsi="Arial" w:cs="Arial"/>
          <w:sz w:val="20"/>
          <w:szCs w:val="20"/>
        </w:rPr>
        <w:t xml:space="preserve">99 </w:t>
      </w:r>
      <w:r w:rsidR="009A65A0">
        <w:rPr>
          <w:rFonts w:ascii="Arial" w:hAnsi="Arial" w:cs="Arial"/>
          <w:sz w:val="20"/>
          <w:szCs w:val="20"/>
        </w:rPr>
        <w:t>FTEs to avoid any potential penalties until plan year 2016</w:t>
      </w:r>
      <w:r w:rsidR="000663CB" w:rsidRPr="00F0429B">
        <w:rPr>
          <w:rFonts w:ascii="Arial" w:hAnsi="Arial" w:cs="Arial"/>
          <w:sz w:val="20"/>
          <w:szCs w:val="20"/>
        </w:rPr>
        <w:t>.</w:t>
      </w:r>
      <w:r w:rsidR="009A65A0">
        <w:rPr>
          <w:rFonts w:ascii="Arial" w:hAnsi="Arial" w:cs="Arial"/>
          <w:sz w:val="20"/>
          <w:szCs w:val="20"/>
        </w:rPr>
        <w:t xml:space="preserve">  </w:t>
      </w:r>
    </w:p>
    <w:p w:rsidR="009A65A0" w:rsidRDefault="009A65A0" w:rsidP="009A65A0">
      <w:pPr>
        <w:pStyle w:val="PlainText"/>
        <w:rPr>
          <w:rFonts w:ascii="Arial" w:hAnsi="Arial" w:cs="Arial"/>
          <w:sz w:val="20"/>
          <w:szCs w:val="20"/>
        </w:rPr>
      </w:pPr>
    </w:p>
    <w:p w:rsidR="00396BCA" w:rsidRPr="00184D42" w:rsidRDefault="006F0025" w:rsidP="00184D42">
      <w:pPr>
        <w:pStyle w:val="PlainText"/>
        <w:rPr>
          <w:rFonts w:ascii="Arial" w:hAnsi="Arial" w:cs="Arial"/>
          <w:sz w:val="20"/>
          <w:szCs w:val="20"/>
        </w:rPr>
      </w:pPr>
      <w:r>
        <w:rPr>
          <w:rFonts w:ascii="Arial" w:hAnsi="Arial" w:cs="Arial"/>
          <w:sz w:val="20"/>
          <w:szCs w:val="20"/>
        </w:rPr>
        <w:t>Some employers with 51</w:t>
      </w:r>
      <w:r w:rsidR="007638BF">
        <w:rPr>
          <w:rFonts w:ascii="Arial" w:hAnsi="Arial" w:cs="Arial"/>
          <w:sz w:val="20"/>
          <w:szCs w:val="20"/>
        </w:rPr>
        <w:t>–</w:t>
      </w:r>
      <w:r>
        <w:rPr>
          <w:rFonts w:ascii="Arial" w:hAnsi="Arial" w:cs="Arial"/>
          <w:sz w:val="20"/>
          <w:szCs w:val="20"/>
        </w:rPr>
        <w:t>100</w:t>
      </w:r>
      <w:r w:rsidR="00F0429B">
        <w:rPr>
          <w:rFonts w:ascii="Arial" w:hAnsi="Arial" w:cs="Arial"/>
          <w:sz w:val="20"/>
          <w:szCs w:val="20"/>
        </w:rPr>
        <w:t xml:space="preserve"> FTEs may consider moving their current plan year to </w:t>
      </w:r>
      <w:r w:rsidR="009A65A0">
        <w:rPr>
          <w:rFonts w:ascii="Arial" w:hAnsi="Arial" w:cs="Arial"/>
          <w:sz w:val="20"/>
          <w:szCs w:val="20"/>
        </w:rPr>
        <w:t xml:space="preserve">be later in the year to </w:t>
      </w:r>
      <w:r w:rsidR="00F0429B">
        <w:rPr>
          <w:rFonts w:ascii="Arial" w:hAnsi="Arial" w:cs="Arial"/>
          <w:sz w:val="20"/>
          <w:szCs w:val="20"/>
        </w:rPr>
        <w:t xml:space="preserve">extend the option </w:t>
      </w:r>
      <w:r w:rsidR="009A65A0">
        <w:rPr>
          <w:rFonts w:ascii="Arial" w:hAnsi="Arial" w:cs="Arial"/>
          <w:sz w:val="20"/>
          <w:szCs w:val="20"/>
        </w:rPr>
        <w:t xml:space="preserve">to renew their current policies in the large group market through late 2017 rather than having to move to the small group market sooner. However, it is important for such employers to consider whether </w:t>
      </w:r>
      <w:r w:rsidR="007638BF">
        <w:rPr>
          <w:rFonts w:ascii="Arial" w:hAnsi="Arial" w:cs="Arial"/>
          <w:sz w:val="20"/>
          <w:szCs w:val="20"/>
        </w:rPr>
        <w:t>moving</w:t>
      </w:r>
      <w:r w:rsidR="009A65A0">
        <w:rPr>
          <w:rFonts w:ascii="Arial" w:hAnsi="Arial" w:cs="Arial"/>
          <w:sz w:val="20"/>
          <w:szCs w:val="20"/>
        </w:rPr>
        <w:t xml:space="preserve"> the plan year to </w:t>
      </w:r>
      <w:r w:rsidR="007638BF">
        <w:rPr>
          <w:rFonts w:ascii="Arial" w:hAnsi="Arial" w:cs="Arial"/>
          <w:sz w:val="20"/>
          <w:szCs w:val="20"/>
        </w:rPr>
        <w:t xml:space="preserve">allow them to </w:t>
      </w:r>
      <w:r w:rsidR="009A65A0">
        <w:rPr>
          <w:rFonts w:ascii="Arial" w:hAnsi="Arial" w:cs="Arial"/>
          <w:sz w:val="20"/>
          <w:szCs w:val="20"/>
        </w:rPr>
        <w:t xml:space="preserve">remain in the large group market for another year or two is worth losing transition relief during 2015 from 4980H penalties.  </w:t>
      </w:r>
    </w:p>
    <w:p w:rsidR="008655CD" w:rsidRDefault="008655CD" w:rsidP="000D31AC">
      <w:pPr>
        <w:ind w:left="0"/>
        <w:rPr>
          <w:rFonts w:cs="Arial"/>
          <w:b/>
          <w:szCs w:val="20"/>
        </w:rPr>
      </w:pPr>
    </w:p>
    <w:p w:rsidR="00E03522" w:rsidRPr="000D31AC" w:rsidRDefault="001A7955" w:rsidP="000D31AC">
      <w:pPr>
        <w:ind w:left="0"/>
        <w:rPr>
          <w:rFonts w:cs="Arial"/>
          <w:b/>
          <w:szCs w:val="20"/>
        </w:rPr>
      </w:pPr>
      <w:r w:rsidRPr="000D31AC">
        <w:rPr>
          <w:rFonts w:cs="Arial"/>
          <w:b/>
          <w:szCs w:val="20"/>
        </w:rPr>
        <w:t>Summary</w:t>
      </w:r>
    </w:p>
    <w:p w:rsidR="00396BCA" w:rsidRDefault="00184D42" w:rsidP="000D31AC">
      <w:pPr>
        <w:ind w:left="0"/>
        <w:rPr>
          <w:rFonts w:cs="Arial"/>
          <w:szCs w:val="20"/>
        </w:rPr>
      </w:pPr>
      <w:r>
        <w:rPr>
          <w:rFonts w:cs="Arial"/>
          <w:szCs w:val="20"/>
        </w:rPr>
        <w:t>Whether it is advantageous to be in the small group or large group market depends largely on the products and pricing available in the state issuing the insurance policy. In states that choose to adopt the transition relief, if there are insurers willing to renew existing policies, some employers in the 51</w:t>
      </w:r>
      <w:r w:rsidR="007638BF">
        <w:rPr>
          <w:rFonts w:cs="Arial"/>
          <w:szCs w:val="20"/>
        </w:rPr>
        <w:t>–</w:t>
      </w:r>
      <w:r>
        <w:rPr>
          <w:rFonts w:cs="Arial"/>
          <w:szCs w:val="20"/>
        </w:rPr>
        <w:t xml:space="preserve">100 range may find it advantageous to remain in the large group market as long as possible (which may make a plan year move to later in the year attractive). For such employers </w:t>
      </w:r>
      <w:r w:rsidR="007638BF">
        <w:rPr>
          <w:rFonts w:cs="Arial"/>
          <w:szCs w:val="20"/>
        </w:rPr>
        <w:t>who</w:t>
      </w:r>
      <w:r>
        <w:rPr>
          <w:rFonts w:cs="Arial"/>
          <w:szCs w:val="20"/>
        </w:rPr>
        <w:t xml:space="preserve"> already offer generous coverage to most full-time employees, such a strategy </w:t>
      </w:r>
      <w:r w:rsidR="00F5773D">
        <w:rPr>
          <w:rFonts w:cs="Arial"/>
          <w:szCs w:val="20"/>
        </w:rPr>
        <w:t>may be</w:t>
      </w:r>
      <w:r>
        <w:rPr>
          <w:rFonts w:cs="Arial"/>
          <w:szCs w:val="20"/>
        </w:rPr>
        <w:t xml:space="preserve"> the best option.</w:t>
      </w:r>
      <w:r w:rsidR="00F5773D">
        <w:rPr>
          <w:rFonts w:cs="Arial"/>
          <w:szCs w:val="20"/>
        </w:rPr>
        <w:t xml:space="preserve"> </w:t>
      </w:r>
      <w:r>
        <w:rPr>
          <w:rFonts w:cs="Arial"/>
          <w:szCs w:val="20"/>
        </w:rPr>
        <w:t xml:space="preserve">However, for employers </w:t>
      </w:r>
      <w:r w:rsidR="007638BF">
        <w:rPr>
          <w:rFonts w:cs="Arial"/>
          <w:szCs w:val="20"/>
        </w:rPr>
        <w:t>who</w:t>
      </w:r>
      <w:r>
        <w:rPr>
          <w:rFonts w:cs="Arial"/>
          <w:szCs w:val="20"/>
        </w:rPr>
        <w:t xml:space="preserve"> may be depending upon 4980H transition relief through at least 2015 as they work to redesign their benefits and eligibility to be in compliance, it is important to consider whether the advantages (perhaps better rates) of moving the plan year to remain in the large group market longer outweigh the potential penalties that may apply upon losing 4980H transition relief. </w:t>
      </w:r>
      <w:r w:rsidR="00F5773D">
        <w:rPr>
          <w:rFonts w:cs="Arial"/>
          <w:szCs w:val="20"/>
        </w:rPr>
        <w:t xml:space="preserve"> And finally, regardless of whether the employer is worried about 4980H transition relief or not, keep in mind that a change in plan year does not generally take place without some administrative hassle </w:t>
      </w:r>
      <w:r w:rsidR="00F5773D" w:rsidRPr="00E110C4">
        <w:rPr>
          <w:color w:val="000000" w:themeColor="text1"/>
        </w:rPr>
        <w:t>(e.g. short plan year, COBRA rates, health FSA elections, etc</w:t>
      </w:r>
      <w:r w:rsidR="00F5773D">
        <w:rPr>
          <w:color w:val="1F497D"/>
        </w:rPr>
        <w:t xml:space="preserve">.).  </w:t>
      </w:r>
    </w:p>
    <w:p w:rsidR="00184D42" w:rsidRDefault="00184D42" w:rsidP="000D31AC">
      <w:pPr>
        <w:ind w:left="0"/>
        <w:rPr>
          <w:rFonts w:cs="Arial"/>
          <w:szCs w:val="20"/>
        </w:rPr>
      </w:pPr>
    </w:p>
    <w:p w:rsidR="00184D42" w:rsidRDefault="00184D42" w:rsidP="000D31AC">
      <w:pPr>
        <w:ind w:left="0"/>
        <w:rPr>
          <w:rFonts w:cs="Arial"/>
          <w:szCs w:val="20"/>
        </w:rPr>
      </w:pPr>
    </w:p>
    <w:p w:rsidR="00396BCA" w:rsidRDefault="00396BCA" w:rsidP="000D31AC">
      <w:pPr>
        <w:ind w:left="0"/>
        <w:rPr>
          <w:rFonts w:cs="Arial"/>
          <w:szCs w:val="20"/>
        </w:rPr>
      </w:pPr>
      <w:r>
        <w:rPr>
          <w:rFonts w:cs="Arial"/>
          <w:szCs w:val="20"/>
        </w:rPr>
        <w:t xml:space="preserve">CMS FAQs (Question #8 &amp; 11) - </w:t>
      </w:r>
      <w:hyperlink r:id="rId9" w:history="1">
        <w:r w:rsidRPr="00B83E90">
          <w:rPr>
            <w:rStyle w:val="Hyperlink"/>
            <w:rFonts w:cs="Arial"/>
            <w:szCs w:val="20"/>
          </w:rPr>
          <w:t>http://www.cms.gov/CCIIO/Resources/Fact-Sheets-and-FAQs/Downloads/Final-Master-FAQs-5-16-14.pdf</w:t>
        </w:r>
      </w:hyperlink>
    </w:p>
    <w:p w:rsidR="00396BCA" w:rsidRPr="000D31AC" w:rsidRDefault="00396BCA" w:rsidP="000D31AC">
      <w:pPr>
        <w:ind w:left="0"/>
        <w:rPr>
          <w:rFonts w:cs="Arial"/>
          <w:szCs w:val="20"/>
        </w:rPr>
      </w:pPr>
    </w:p>
    <w:p w:rsidR="00A6352B" w:rsidRDefault="00C849B8" w:rsidP="000D31AC">
      <w:pPr>
        <w:ind w:left="0"/>
      </w:pPr>
      <w:r>
        <w:t>CMS Transition Relief (Mar. 5</w:t>
      </w:r>
      <w:r w:rsidR="00987818">
        <w:t xml:space="preserve">, 2014) - </w:t>
      </w:r>
      <w:hyperlink r:id="rId10" w:history="1">
        <w:r w:rsidR="00987818" w:rsidRPr="00B83E90">
          <w:rPr>
            <w:rStyle w:val="Hyperlink"/>
          </w:rPr>
          <w:t>http://www.cms.gov/CCIIO/Resources/Regulations-and-Guidance/Downloads/transition-to-compliant-policies-03-06-2015.pdf</w:t>
        </w:r>
      </w:hyperlink>
    </w:p>
    <w:p w:rsidR="00987818" w:rsidRDefault="00987818" w:rsidP="000D31AC">
      <w:pPr>
        <w:ind w:left="0"/>
      </w:pPr>
    </w:p>
    <w:p w:rsidR="00723257" w:rsidRDefault="00723257" w:rsidP="00723257">
      <w:pPr>
        <w:pStyle w:val="MediumShading1-Accent11"/>
        <w:ind w:left="0"/>
        <w:rPr>
          <w:rFonts w:cs="Arial"/>
          <w:szCs w:val="20"/>
        </w:rPr>
      </w:pPr>
    </w:p>
    <w:p w:rsidR="00723257" w:rsidRPr="006F7F3E" w:rsidRDefault="00723257" w:rsidP="00723257">
      <w:pPr>
        <w:pStyle w:val="MediumShading1-Accent11"/>
        <w:ind w:left="0"/>
        <w:rPr>
          <w:rFonts w:cs="Arial"/>
          <w:szCs w:val="20"/>
        </w:rPr>
      </w:pPr>
      <w:r w:rsidRPr="006F7F3E">
        <w:rPr>
          <w:rFonts w:cs="Arial"/>
          <w:szCs w:val="20"/>
        </w:rPr>
        <w:t>Regan Blomme J.D. MBA,</w:t>
      </w:r>
    </w:p>
    <w:p w:rsidR="00723257" w:rsidRPr="006F7F3E" w:rsidRDefault="00723257" w:rsidP="00723257">
      <w:pPr>
        <w:pStyle w:val="MediumShading1-Accent11"/>
        <w:ind w:left="0"/>
        <w:rPr>
          <w:rFonts w:cs="Arial"/>
          <w:szCs w:val="20"/>
        </w:rPr>
      </w:pPr>
      <w:r w:rsidRPr="006F7F3E">
        <w:rPr>
          <w:rFonts w:cs="Arial"/>
          <w:szCs w:val="20"/>
        </w:rPr>
        <w:t>Senior Consultant</w:t>
      </w:r>
    </w:p>
    <w:p w:rsidR="00723257" w:rsidRPr="006F7F3E" w:rsidRDefault="00723257" w:rsidP="00723257">
      <w:pPr>
        <w:pStyle w:val="MediumShading1-Accent11"/>
        <w:ind w:left="0"/>
        <w:rPr>
          <w:rFonts w:cs="Arial"/>
          <w:szCs w:val="20"/>
        </w:rPr>
      </w:pPr>
      <w:r w:rsidRPr="006F7F3E">
        <w:rPr>
          <w:rFonts w:cs="Arial"/>
          <w:szCs w:val="20"/>
        </w:rPr>
        <w:t>Benefit Comply, LLC</w:t>
      </w:r>
    </w:p>
    <w:p w:rsidR="00723257" w:rsidRPr="006F7F3E" w:rsidRDefault="00723257" w:rsidP="00723257">
      <w:pPr>
        <w:pStyle w:val="MediumShading1-Accent11"/>
        <w:ind w:left="0"/>
        <w:rPr>
          <w:rFonts w:cs="Arial"/>
          <w:szCs w:val="20"/>
        </w:rPr>
      </w:pPr>
    </w:p>
    <w:p w:rsidR="00723257" w:rsidRPr="008362F4" w:rsidRDefault="00723257" w:rsidP="00723257">
      <w:pPr>
        <w:pStyle w:val="MediumShading1-Accent11"/>
        <w:ind w:left="0"/>
        <w:rPr>
          <w:rFonts w:cs="Arial"/>
          <w:szCs w:val="20"/>
        </w:rPr>
      </w:pPr>
      <w:r w:rsidRPr="006F7F3E">
        <w:rPr>
          <w:rFonts w:cs="Arial"/>
          <w:szCs w:val="20"/>
        </w:rPr>
        <w:t>Regan Blomme has experience working as an attorney for a major Fortune 500 company, and for a PEO providing benefits and HR services to small employers. She also worked as a legal researcher for Thomson Reuters</w:t>
      </w:r>
      <w:r>
        <w:rPr>
          <w:rFonts w:cs="Arial"/>
          <w:szCs w:val="20"/>
          <w:lang w:val="en-US"/>
        </w:rPr>
        <w:t xml:space="preserve"> prior</w:t>
      </w:r>
      <w:r w:rsidRPr="006F7F3E">
        <w:rPr>
          <w:rFonts w:cs="Arial"/>
          <w:szCs w:val="20"/>
        </w:rPr>
        <w:t xml:space="preserve"> to obtaining her law degree</w:t>
      </w:r>
      <w:r>
        <w:rPr>
          <w:rFonts w:cs="Arial"/>
          <w:szCs w:val="20"/>
          <w:lang w:val="en-US"/>
        </w:rPr>
        <w:t>.</w:t>
      </w:r>
      <w:r w:rsidRPr="006F7F3E">
        <w:rPr>
          <w:rFonts w:cs="Arial"/>
          <w:szCs w:val="20"/>
        </w:rPr>
        <w:t xml:space="preserve"> Regan received her law degree from William Mitchell College of Law, her MBA from The University of St. Thomas, and is a member of the Minnesota Bar Association.</w:t>
      </w:r>
    </w:p>
    <w:p w:rsidR="00723257" w:rsidRDefault="00723257" w:rsidP="000D31AC">
      <w:pPr>
        <w:ind w:left="0"/>
      </w:pPr>
    </w:p>
    <w:p w:rsidR="00A6352B" w:rsidRDefault="00A6352B" w:rsidP="00A6352B">
      <w:pPr>
        <w:pStyle w:val="MediumGrid21"/>
        <w:rPr>
          <w:i/>
          <w:sz w:val="18"/>
          <w:szCs w:val="18"/>
          <w:lang w:val="en-US"/>
        </w:rPr>
      </w:pPr>
    </w:p>
    <w:p w:rsidR="00723257" w:rsidRDefault="00723257" w:rsidP="00866B99">
      <w:pPr>
        <w:pStyle w:val="MediumShading1-Accent11"/>
        <w:ind w:left="0"/>
        <w:rPr>
          <w:i/>
          <w:sz w:val="16"/>
          <w:szCs w:val="16"/>
        </w:rPr>
      </w:pPr>
    </w:p>
    <w:p w:rsidR="008362F4" w:rsidRDefault="0035725D" w:rsidP="00866B99">
      <w:pPr>
        <w:pStyle w:val="MediumShading1-Accent11"/>
        <w:ind w:left="0"/>
        <w:rPr>
          <w:i/>
          <w:sz w:val="16"/>
          <w:szCs w:val="16"/>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rsidR="006F7F3E" w:rsidRDefault="006F7F3E" w:rsidP="00866B99">
      <w:pPr>
        <w:pStyle w:val="MediumShading1-Accent11"/>
        <w:ind w:left="0"/>
        <w:rPr>
          <w:i/>
          <w:sz w:val="16"/>
          <w:szCs w:val="16"/>
        </w:rPr>
      </w:pPr>
    </w:p>
    <w:p w:rsidR="006F7F3E" w:rsidRPr="008362F4" w:rsidRDefault="006F7F3E" w:rsidP="006F7F3E">
      <w:pPr>
        <w:pStyle w:val="MediumShading1-Accent11"/>
        <w:ind w:left="0"/>
        <w:rPr>
          <w:rFonts w:cs="Arial"/>
          <w:szCs w:val="20"/>
        </w:rPr>
      </w:pPr>
    </w:p>
    <w:sectPr w:rsidR="006F7F3E" w:rsidRPr="008362F4" w:rsidSect="00E53468">
      <w:footerReference w:type="default" r:id="rId11"/>
      <w:headerReference w:type="first" r:id="rId12"/>
      <w:footerReference w:type="first" r:id="rId13"/>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5B" w:rsidRDefault="005E255B" w:rsidP="006C7EC1">
      <w:r>
        <w:separator/>
      </w:r>
    </w:p>
  </w:endnote>
  <w:endnote w:type="continuationSeparator" w:id="0">
    <w:p w:rsidR="005E255B" w:rsidRDefault="005E255B" w:rsidP="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04" w:rsidRDefault="008E0604" w:rsidP="006C7EC1">
    <w:pPr>
      <w:pStyle w:val="Footer"/>
      <w:jc w:val="center"/>
      <w:rPr>
        <w:rFonts w:cs="Arial"/>
        <w:sz w:val="18"/>
        <w:szCs w:val="18"/>
      </w:rPr>
    </w:pPr>
  </w:p>
  <w:p w:rsidR="008E0604" w:rsidRDefault="008E0604" w:rsidP="006C7EC1">
    <w:pPr>
      <w:pStyle w:val="Footer"/>
      <w:jc w:val="center"/>
      <w:rPr>
        <w:sz w:val="18"/>
        <w:szCs w:val="18"/>
        <w:lang w:val="en-US"/>
      </w:rPr>
    </w:pPr>
    <w:r w:rsidRPr="006C7EC1">
      <w:rPr>
        <w:rFonts w:cs="Arial"/>
        <w:sz w:val="18"/>
        <w:szCs w:val="18"/>
      </w:rPr>
      <w:t xml:space="preserve">© </w:t>
    </w:r>
    <w:r w:rsidRPr="006C7EC1">
      <w:rPr>
        <w:rFonts w:cs="Arial"/>
        <w:sz w:val="18"/>
        <w:szCs w:val="18"/>
      </w:rPr>
      <w:t>201</w:t>
    </w:r>
    <w:r w:rsidR="00C849B8">
      <w:rPr>
        <w:rFonts w:cs="Arial"/>
        <w:sz w:val="18"/>
        <w:szCs w:val="18"/>
        <w:lang w:val="en-US"/>
      </w:rPr>
      <w:t>5</w:t>
    </w:r>
    <w:r w:rsidRPr="006C7EC1">
      <w:rPr>
        <w:rFonts w:cs="Arial"/>
        <w:sz w:val="18"/>
        <w:szCs w:val="18"/>
      </w:rPr>
      <w:t xml:space="preserve"> </w:t>
    </w:r>
    <w:r>
      <w:rPr>
        <w:sz w:val="18"/>
        <w:szCs w:val="18"/>
      </w:rPr>
      <w:t>Benefit Comply, LLC</w:t>
    </w:r>
  </w:p>
  <w:p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E110C4">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04" w:rsidRDefault="008E0604" w:rsidP="006C7EC1">
    <w:pPr>
      <w:pStyle w:val="Footer"/>
      <w:jc w:val="center"/>
      <w:rPr>
        <w:sz w:val="18"/>
        <w:szCs w:val="18"/>
        <w:lang w:val="en-US"/>
      </w:rPr>
    </w:pPr>
    <w:r>
      <w:rPr>
        <w:rFonts w:cs="Arial"/>
        <w:sz w:val="18"/>
        <w:szCs w:val="18"/>
      </w:rPr>
      <w:t xml:space="preserve">© </w:t>
    </w:r>
    <w:r>
      <w:rPr>
        <w:rFonts w:cs="Arial"/>
        <w:sz w:val="18"/>
        <w:szCs w:val="18"/>
      </w:rPr>
      <w:t>201</w:t>
    </w:r>
    <w:r w:rsidR="000D31AC">
      <w:rPr>
        <w:rFonts w:cs="Arial"/>
        <w:sz w:val="18"/>
        <w:szCs w:val="18"/>
        <w:lang w:val="en-US"/>
      </w:rPr>
      <w:t>5</w:t>
    </w:r>
    <w:r w:rsidRPr="006C7EC1">
      <w:rPr>
        <w:rFonts w:cs="Arial"/>
        <w:sz w:val="18"/>
        <w:szCs w:val="18"/>
      </w:rPr>
      <w:t xml:space="preserve"> </w:t>
    </w:r>
    <w:r>
      <w:rPr>
        <w:sz w:val="18"/>
        <w:szCs w:val="18"/>
      </w:rPr>
      <w:t>Benefit Comply, LLC</w:t>
    </w:r>
  </w:p>
  <w:p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E110C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5B" w:rsidRDefault="005E255B" w:rsidP="006C7EC1">
      <w:r>
        <w:separator/>
      </w:r>
    </w:p>
  </w:footnote>
  <w:footnote w:type="continuationSeparator" w:id="0">
    <w:p w:rsidR="005E255B" w:rsidRDefault="005E255B" w:rsidP="006C7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04" w:rsidRPr="006717AA" w:rsidRDefault="008E0604" w:rsidP="00373838">
    <w:pPr>
      <w:pStyle w:val="Header"/>
      <w:ind w:left="0"/>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Radecki">
    <w15:presenceInfo w15:providerId="None" w15:userId="Bob Rad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81"/>
    <w:rsid w:val="000037D0"/>
    <w:rsid w:val="00005756"/>
    <w:rsid w:val="00012853"/>
    <w:rsid w:val="000130D1"/>
    <w:rsid w:val="00014763"/>
    <w:rsid w:val="00015F0B"/>
    <w:rsid w:val="000166F5"/>
    <w:rsid w:val="00040AB3"/>
    <w:rsid w:val="00041D34"/>
    <w:rsid w:val="00042D2A"/>
    <w:rsid w:val="00045F42"/>
    <w:rsid w:val="00056762"/>
    <w:rsid w:val="0006084A"/>
    <w:rsid w:val="0006208C"/>
    <w:rsid w:val="00063515"/>
    <w:rsid w:val="00065F15"/>
    <w:rsid w:val="000663CB"/>
    <w:rsid w:val="00071F3D"/>
    <w:rsid w:val="00090998"/>
    <w:rsid w:val="00093B13"/>
    <w:rsid w:val="00096B1E"/>
    <w:rsid w:val="000A279E"/>
    <w:rsid w:val="000A697A"/>
    <w:rsid w:val="000C41B5"/>
    <w:rsid w:val="000C5473"/>
    <w:rsid w:val="000C721A"/>
    <w:rsid w:val="000D31AC"/>
    <w:rsid w:val="000E03AB"/>
    <w:rsid w:val="000E668C"/>
    <w:rsid w:val="000F3F23"/>
    <w:rsid w:val="000F5AC3"/>
    <w:rsid w:val="0010150B"/>
    <w:rsid w:val="00103F85"/>
    <w:rsid w:val="00104680"/>
    <w:rsid w:val="0010781F"/>
    <w:rsid w:val="00113F23"/>
    <w:rsid w:val="001146A5"/>
    <w:rsid w:val="001257EE"/>
    <w:rsid w:val="00141AF2"/>
    <w:rsid w:val="001432A3"/>
    <w:rsid w:val="00144A9C"/>
    <w:rsid w:val="00146F88"/>
    <w:rsid w:val="00147497"/>
    <w:rsid w:val="00155720"/>
    <w:rsid w:val="00172882"/>
    <w:rsid w:val="001824D9"/>
    <w:rsid w:val="00184D42"/>
    <w:rsid w:val="00187547"/>
    <w:rsid w:val="00194FD3"/>
    <w:rsid w:val="001A569D"/>
    <w:rsid w:val="001A7955"/>
    <w:rsid w:val="001B1A88"/>
    <w:rsid w:val="001C256F"/>
    <w:rsid w:val="001C4860"/>
    <w:rsid w:val="001C68CC"/>
    <w:rsid w:val="001D58D8"/>
    <w:rsid w:val="001D745D"/>
    <w:rsid w:val="001D77F4"/>
    <w:rsid w:val="001E2483"/>
    <w:rsid w:val="001E2972"/>
    <w:rsid w:val="001E622E"/>
    <w:rsid w:val="001F0404"/>
    <w:rsid w:val="001F20E5"/>
    <w:rsid w:val="001F74F6"/>
    <w:rsid w:val="00200664"/>
    <w:rsid w:val="0020244B"/>
    <w:rsid w:val="00211FC6"/>
    <w:rsid w:val="00212E4A"/>
    <w:rsid w:val="002241F3"/>
    <w:rsid w:val="00226283"/>
    <w:rsid w:val="00231306"/>
    <w:rsid w:val="00247077"/>
    <w:rsid w:val="00255A5D"/>
    <w:rsid w:val="00267C12"/>
    <w:rsid w:val="00270D0F"/>
    <w:rsid w:val="00273D4E"/>
    <w:rsid w:val="002742E6"/>
    <w:rsid w:val="00277CAA"/>
    <w:rsid w:val="00294809"/>
    <w:rsid w:val="002A761A"/>
    <w:rsid w:val="002B089E"/>
    <w:rsid w:val="002C4ADB"/>
    <w:rsid w:val="002D6E4B"/>
    <w:rsid w:val="002E280D"/>
    <w:rsid w:val="002E69BE"/>
    <w:rsid w:val="002F1D78"/>
    <w:rsid w:val="002F3FBC"/>
    <w:rsid w:val="002F5B6A"/>
    <w:rsid w:val="002F5FCD"/>
    <w:rsid w:val="00311D22"/>
    <w:rsid w:val="00314066"/>
    <w:rsid w:val="00315F0E"/>
    <w:rsid w:val="0031698C"/>
    <w:rsid w:val="003256A6"/>
    <w:rsid w:val="00332855"/>
    <w:rsid w:val="00337651"/>
    <w:rsid w:val="00341E4C"/>
    <w:rsid w:val="00341F9B"/>
    <w:rsid w:val="00343D4C"/>
    <w:rsid w:val="00346D40"/>
    <w:rsid w:val="00351DAE"/>
    <w:rsid w:val="003536E9"/>
    <w:rsid w:val="0035725D"/>
    <w:rsid w:val="003606B3"/>
    <w:rsid w:val="00360C1E"/>
    <w:rsid w:val="00373838"/>
    <w:rsid w:val="0037534B"/>
    <w:rsid w:val="00375AC7"/>
    <w:rsid w:val="00376D4E"/>
    <w:rsid w:val="00377A73"/>
    <w:rsid w:val="003902B9"/>
    <w:rsid w:val="0039272A"/>
    <w:rsid w:val="00393B70"/>
    <w:rsid w:val="00396BCA"/>
    <w:rsid w:val="00397F1D"/>
    <w:rsid w:val="003A15A0"/>
    <w:rsid w:val="003A7120"/>
    <w:rsid w:val="003B0730"/>
    <w:rsid w:val="003B2F3D"/>
    <w:rsid w:val="003B7105"/>
    <w:rsid w:val="003C2C45"/>
    <w:rsid w:val="003C50C6"/>
    <w:rsid w:val="003D3ABE"/>
    <w:rsid w:val="003D5BB6"/>
    <w:rsid w:val="003E1F9E"/>
    <w:rsid w:val="003E7F11"/>
    <w:rsid w:val="004019B7"/>
    <w:rsid w:val="00411B73"/>
    <w:rsid w:val="00421453"/>
    <w:rsid w:val="0044224C"/>
    <w:rsid w:val="00453723"/>
    <w:rsid w:val="00453816"/>
    <w:rsid w:val="00461B0E"/>
    <w:rsid w:val="00464CBE"/>
    <w:rsid w:val="00467E2A"/>
    <w:rsid w:val="00476F72"/>
    <w:rsid w:val="004870C3"/>
    <w:rsid w:val="004B1644"/>
    <w:rsid w:val="004B2781"/>
    <w:rsid w:val="004B4147"/>
    <w:rsid w:val="004B6441"/>
    <w:rsid w:val="004B7C6C"/>
    <w:rsid w:val="004C685A"/>
    <w:rsid w:val="004C7E74"/>
    <w:rsid w:val="004E1B3E"/>
    <w:rsid w:val="004E530D"/>
    <w:rsid w:val="004E74C0"/>
    <w:rsid w:val="004E77C4"/>
    <w:rsid w:val="004F0122"/>
    <w:rsid w:val="004F38E5"/>
    <w:rsid w:val="004F4484"/>
    <w:rsid w:val="00526EED"/>
    <w:rsid w:val="00532F84"/>
    <w:rsid w:val="0053695B"/>
    <w:rsid w:val="005378A2"/>
    <w:rsid w:val="00540CCF"/>
    <w:rsid w:val="00544C20"/>
    <w:rsid w:val="00554D66"/>
    <w:rsid w:val="0055764A"/>
    <w:rsid w:val="0056000B"/>
    <w:rsid w:val="005660E9"/>
    <w:rsid w:val="005718A9"/>
    <w:rsid w:val="005718C3"/>
    <w:rsid w:val="00586252"/>
    <w:rsid w:val="00586571"/>
    <w:rsid w:val="00591725"/>
    <w:rsid w:val="005921C3"/>
    <w:rsid w:val="005926DA"/>
    <w:rsid w:val="005B0103"/>
    <w:rsid w:val="005C2382"/>
    <w:rsid w:val="005C57D7"/>
    <w:rsid w:val="005D297F"/>
    <w:rsid w:val="005D6D8C"/>
    <w:rsid w:val="005E1161"/>
    <w:rsid w:val="005E255B"/>
    <w:rsid w:val="005E4301"/>
    <w:rsid w:val="005F1993"/>
    <w:rsid w:val="005F2269"/>
    <w:rsid w:val="005F4D3F"/>
    <w:rsid w:val="005F6CE2"/>
    <w:rsid w:val="00600FC4"/>
    <w:rsid w:val="006034D7"/>
    <w:rsid w:val="00605355"/>
    <w:rsid w:val="006102F4"/>
    <w:rsid w:val="006149F2"/>
    <w:rsid w:val="00616FD0"/>
    <w:rsid w:val="006226C6"/>
    <w:rsid w:val="00627F7D"/>
    <w:rsid w:val="00630D64"/>
    <w:rsid w:val="00633D0E"/>
    <w:rsid w:val="006466D7"/>
    <w:rsid w:val="006560E0"/>
    <w:rsid w:val="006577E9"/>
    <w:rsid w:val="00657FA9"/>
    <w:rsid w:val="00667445"/>
    <w:rsid w:val="006717AA"/>
    <w:rsid w:val="00675439"/>
    <w:rsid w:val="00685C8D"/>
    <w:rsid w:val="00694239"/>
    <w:rsid w:val="006B1545"/>
    <w:rsid w:val="006B23FC"/>
    <w:rsid w:val="006B28BC"/>
    <w:rsid w:val="006C7B72"/>
    <w:rsid w:val="006C7EC1"/>
    <w:rsid w:val="006D13CD"/>
    <w:rsid w:val="006E1247"/>
    <w:rsid w:val="006F0025"/>
    <w:rsid w:val="006F72AD"/>
    <w:rsid w:val="006F7F3E"/>
    <w:rsid w:val="00713909"/>
    <w:rsid w:val="00723257"/>
    <w:rsid w:val="00726F77"/>
    <w:rsid w:val="0072721D"/>
    <w:rsid w:val="00736A9B"/>
    <w:rsid w:val="007414D8"/>
    <w:rsid w:val="007508F7"/>
    <w:rsid w:val="007626B8"/>
    <w:rsid w:val="007638BF"/>
    <w:rsid w:val="00771007"/>
    <w:rsid w:val="0077265F"/>
    <w:rsid w:val="00773AE3"/>
    <w:rsid w:val="00776816"/>
    <w:rsid w:val="00785AC8"/>
    <w:rsid w:val="007908B7"/>
    <w:rsid w:val="007956BD"/>
    <w:rsid w:val="0079630C"/>
    <w:rsid w:val="007B4885"/>
    <w:rsid w:val="007C77AA"/>
    <w:rsid w:val="007C7C7C"/>
    <w:rsid w:val="007C7D72"/>
    <w:rsid w:val="007D5827"/>
    <w:rsid w:val="007E2565"/>
    <w:rsid w:val="007F34B4"/>
    <w:rsid w:val="007F634F"/>
    <w:rsid w:val="00800A0A"/>
    <w:rsid w:val="0080349F"/>
    <w:rsid w:val="00803687"/>
    <w:rsid w:val="008052A3"/>
    <w:rsid w:val="0081001F"/>
    <w:rsid w:val="00817AD7"/>
    <w:rsid w:val="0082069A"/>
    <w:rsid w:val="00822C04"/>
    <w:rsid w:val="00827418"/>
    <w:rsid w:val="0083063B"/>
    <w:rsid w:val="008362F4"/>
    <w:rsid w:val="00840509"/>
    <w:rsid w:val="008477BE"/>
    <w:rsid w:val="008615C4"/>
    <w:rsid w:val="0086304F"/>
    <w:rsid w:val="008655CD"/>
    <w:rsid w:val="00866B99"/>
    <w:rsid w:val="00897617"/>
    <w:rsid w:val="008A43F2"/>
    <w:rsid w:val="008A5DF8"/>
    <w:rsid w:val="008C4542"/>
    <w:rsid w:val="008C712B"/>
    <w:rsid w:val="008D0598"/>
    <w:rsid w:val="008D3E7A"/>
    <w:rsid w:val="008D5BAD"/>
    <w:rsid w:val="008E0604"/>
    <w:rsid w:val="008E2D74"/>
    <w:rsid w:val="008E3D24"/>
    <w:rsid w:val="008E4B3D"/>
    <w:rsid w:val="008F2B0B"/>
    <w:rsid w:val="00902D54"/>
    <w:rsid w:val="00914A8A"/>
    <w:rsid w:val="00923103"/>
    <w:rsid w:val="009312C4"/>
    <w:rsid w:val="0093597C"/>
    <w:rsid w:val="00951D03"/>
    <w:rsid w:val="00952D8A"/>
    <w:rsid w:val="009536DD"/>
    <w:rsid w:val="009629D1"/>
    <w:rsid w:val="00967C19"/>
    <w:rsid w:val="0097001D"/>
    <w:rsid w:val="009704FD"/>
    <w:rsid w:val="00976EE7"/>
    <w:rsid w:val="00987818"/>
    <w:rsid w:val="00997C14"/>
    <w:rsid w:val="009A4AD6"/>
    <w:rsid w:val="009A65A0"/>
    <w:rsid w:val="009C3F26"/>
    <w:rsid w:val="009D2536"/>
    <w:rsid w:val="009D30FA"/>
    <w:rsid w:val="009D6B8F"/>
    <w:rsid w:val="009E2006"/>
    <w:rsid w:val="009F0EFE"/>
    <w:rsid w:val="009F1035"/>
    <w:rsid w:val="009F2234"/>
    <w:rsid w:val="009F5809"/>
    <w:rsid w:val="00A05A38"/>
    <w:rsid w:val="00A21DC4"/>
    <w:rsid w:val="00A34FC3"/>
    <w:rsid w:val="00A36D84"/>
    <w:rsid w:val="00A50245"/>
    <w:rsid w:val="00A51D54"/>
    <w:rsid w:val="00A56BB2"/>
    <w:rsid w:val="00A6352B"/>
    <w:rsid w:val="00A67099"/>
    <w:rsid w:val="00A671B6"/>
    <w:rsid w:val="00A84C0E"/>
    <w:rsid w:val="00A94DC8"/>
    <w:rsid w:val="00A953DD"/>
    <w:rsid w:val="00A9585D"/>
    <w:rsid w:val="00AA3E90"/>
    <w:rsid w:val="00AA6A57"/>
    <w:rsid w:val="00AB0F84"/>
    <w:rsid w:val="00AB2DCF"/>
    <w:rsid w:val="00AB5E46"/>
    <w:rsid w:val="00AC0F82"/>
    <w:rsid w:val="00AC60D1"/>
    <w:rsid w:val="00AD32EA"/>
    <w:rsid w:val="00AD5E20"/>
    <w:rsid w:val="00AE1425"/>
    <w:rsid w:val="00AE2B47"/>
    <w:rsid w:val="00AE33B8"/>
    <w:rsid w:val="00AE38EE"/>
    <w:rsid w:val="00AE7C27"/>
    <w:rsid w:val="00AF0B9D"/>
    <w:rsid w:val="00B06E74"/>
    <w:rsid w:val="00B14799"/>
    <w:rsid w:val="00B15106"/>
    <w:rsid w:val="00B15861"/>
    <w:rsid w:val="00B347E4"/>
    <w:rsid w:val="00B448AB"/>
    <w:rsid w:val="00B51719"/>
    <w:rsid w:val="00B554D2"/>
    <w:rsid w:val="00B55BBA"/>
    <w:rsid w:val="00B57B5E"/>
    <w:rsid w:val="00B6090B"/>
    <w:rsid w:val="00B66B60"/>
    <w:rsid w:val="00B76B82"/>
    <w:rsid w:val="00B803FC"/>
    <w:rsid w:val="00B826C0"/>
    <w:rsid w:val="00B90848"/>
    <w:rsid w:val="00B954EF"/>
    <w:rsid w:val="00BA3246"/>
    <w:rsid w:val="00BA6FBA"/>
    <w:rsid w:val="00BB01DD"/>
    <w:rsid w:val="00BB04D8"/>
    <w:rsid w:val="00BC004D"/>
    <w:rsid w:val="00BC1E4F"/>
    <w:rsid w:val="00BC5BB5"/>
    <w:rsid w:val="00BD2EC1"/>
    <w:rsid w:val="00BD3EE9"/>
    <w:rsid w:val="00BE0984"/>
    <w:rsid w:val="00BE0BDC"/>
    <w:rsid w:val="00BE398F"/>
    <w:rsid w:val="00BF434C"/>
    <w:rsid w:val="00BF49EF"/>
    <w:rsid w:val="00C07F42"/>
    <w:rsid w:val="00C24151"/>
    <w:rsid w:val="00C30F3D"/>
    <w:rsid w:val="00C5571B"/>
    <w:rsid w:val="00C60F20"/>
    <w:rsid w:val="00C70F5A"/>
    <w:rsid w:val="00C849B8"/>
    <w:rsid w:val="00C87D79"/>
    <w:rsid w:val="00C90E9A"/>
    <w:rsid w:val="00C91641"/>
    <w:rsid w:val="00CB08F7"/>
    <w:rsid w:val="00CB2087"/>
    <w:rsid w:val="00CB2A7B"/>
    <w:rsid w:val="00CB7F8B"/>
    <w:rsid w:val="00CD258B"/>
    <w:rsid w:val="00CD3AB1"/>
    <w:rsid w:val="00CD4988"/>
    <w:rsid w:val="00CD5422"/>
    <w:rsid w:val="00CE15AE"/>
    <w:rsid w:val="00CF44F7"/>
    <w:rsid w:val="00CF4A65"/>
    <w:rsid w:val="00D00064"/>
    <w:rsid w:val="00D0013D"/>
    <w:rsid w:val="00D00F60"/>
    <w:rsid w:val="00D01B46"/>
    <w:rsid w:val="00D0224C"/>
    <w:rsid w:val="00D06F47"/>
    <w:rsid w:val="00D12D97"/>
    <w:rsid w:val="00D20571"/>
    <w:rsid w:val="00D23F45"/>
    <w:rsid w:val="00D31672"/>
    <w:rsid w:val="00D34186"/>
    <w:rsid w:val="00D448E1"/>
    <w:rsid w:val="00D44E36"/>
    <w:rsid w:val="00D4574C"/>
    <w:rsid w:val="00D636DB"/>
    <w:rsid w:val="00D76D80"/>
    <w:rsid w:val="00D80B8E"/>
    <w:rsid w:val="00D80E1E"/>
    <w:rsid w:val="00D975E7"/>
    <w:rsid w:val="00D97ECB"/>
    <w:rsid w:val="00DA1860"/>
    <w:rsid w:val="00DA5084"/>
    <w:rsid w:val="00DA6314"/>
    <w:rsid w:val="00DA739B"/>
    <w:rsid w:val="00DB00D9"/>
    <w:rsid w:val="00DB1126"/>
    <w:rsid w:val="00DB42E7"/>
    <w:rsid w:val="00DB46C3"/>
    <w:rsid w:val="00DB50A2"/>
    <w:rsid w:val="00DB553D"/>
    <w:rsid w:val="00DC50F5"/>
    <w:rsid w:val="00DD04FD"/>
    <w:rsid w:val="00DD1020"/>
    <w:rsid w:val="00DD1F73"/>
    <w:rsid w:val="00DD69C1"/>
    <w:rsid w:val="00DE2727"/>
    <w:rsid w:val="00DE428B"/>
    <w:rsid w:val="00DF24C0"/>
    <w:rsid w:val="00DF5D23"/>
    <w:rsid w:val="00E00E23"/>
    <w:rsid w:val="00E023A7"/>
    <w:rsid w:val="00E03088"/>
    <w:rsid w:val="00E03522"/>
    <w:rsid w:val="00E0400B"/>
    <w:rsid w:val="00E10762"/>
    <w:rsid w:val="00E110C4"/>
    <w:rsid w:val="00E33680"/>
    <w:rsid w:val="00E377FE"/>
    <w:rsid w:val="00E429E7"/>
    <w:rsid w:val="00E43CCB"/>
    <w:rsid w:val="00E44F0B"/>
    <w:rsid w:val="00E457E7"/>
    <w:rsid w:val="00E46F87"/>
    <w:rsid w:val="00E50650"/>
    <w:rsid w:val="00E53468"/>
    <w:rsid w:val="00E76581"/>
    <w:rsid w:val="00E773C4"/>
    <w:rsid w:val="00E830A5"/>
    <w:rsid w:val="00E83CD0"/>
    <w:rsid w:val="00E85FF7"/>
    <w:rsid w:val="00EB2B80"/>
    <w:rsid w:val="00EB4518"/>
    <w:rsid w:val="00EB54CD"/>
    <w:rsid w:val="00EB6293"/>
    <w:rsid w:val="00EB6674"/>
    <w:rsid w:val="00EB7532"/>
    <w:rsid w:val="00EC5A7D"/>
    <w:rsid w:val="00EC6C15"/>
    <w:rsid w:val="00EF1C04"/>
    <w:rsid w:val="00EF7919"/>
    <w:rsid w:val="00F0429B"/>
    <w:rsid w:val="00F06079"/>
    <w:rsid w:val="00F208D8"/>
    <w:rsid w:val="00F440C1"/>
    <w:rsid w:val="00F51BB5"/>
    <w:rsid w:val="00F51DF1"/>
    <w:rsid w:val="00F535E7"/>
    <w:rsid w:val="00F55CEF"/>
    <w:rsid w:val="00F562CC"/>
    <w:rsid w:val="00F57124"/>
    <w:rsid w:val="00F5773D"/>
    <w:rsid w:val="00F617E4"/>
    <w:rsid w:val="00F65565"/>
    <w:rsid w:val="00F67274"/>
    <w:rsid w:val="00F7135C"/>
    <w:rsid w:val="00F80D9C"/>
    <w:rsid w:val="00F83367"/>
    <w:rsid w:val="00F877B8"/>
    <w:rsid w:val="00F909F2"/>
    <w:rsid w:val="00F949F2"/>
    <w:rsid w:val="00FA0739"/>
    <w:rsid w:val="00FA1426"/>
    <w:rsid w:val="00FA4C44"/>
    <w:rsid w:val="00FA4FD2"/>
    <w:rsid w:val="00FA5593"/>
    <w:rsid w:val="00FB0360"/>
    <w:rsid w:val="00FB6812"/>
    <w:rsid w:val="00FD0F26"/>
    <w:rsid w:val="00FD20BF"/>
    <w:rsid w:val="00FF0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1">
    <w:name w:val="Medium Grid 21"/>
    <w:basedOn w:val="Normal"/>
    <w:uiPriority w:val="1"/>
    <w:qFormat/>
    <w:rsid w:val="00A6352B"/>
    <w:pPr>
      <w:ind w:left="0"/>
    </w:pPr>
    <w:rPr>
      <w:lang w:val="x-none" w:eastAsia="x-none"/>
    </w:rPr>
  </w:style>
  <w:style w:type="paragraph" w:customStyle="1" w:styleId="MediumGrid1-Accent22">
    <w:name w:val="Medium Grid 1 - Accent 22"/>
    <w:basedOn w:val="Normal"/>
    <w:uiPriority w:val="34"/>
    <w:qFormat/>
    <w:rsid w:val="00A6352B"/>
    <w:pPr>
      <w:ind w:left="0"/>
      <w:contextualSpacing/>
    </w:pPr>
    <w:rPr>
      <w:szCs w:val="20"/>
    </w:rPr>
  </w:style>
  <w:style w:type="paragraph" w:styleId="ListParagraph">
    <w:name w:val="List Paragraph"/>
    <w:basedOn w:val="Normal"/>
    <w:uiPriority w:val="34"/>
    <w:qFormat/>
    <w:rsid w:val="0010781F"/>
    <w:pPr>
      <w:ind w:left="720"/>
    </w:pPr>
    <w:rPr>
      <w:rFonts w:ascii="Calibri" w:hAnsi="Calibri"/>
      <w:sz w:val="22"/>
      <w:lang w:bidi="ar-SA"/>
    </w:rPr>
  </w:style>
  <w:style w:type="paragraph" w:styleId="NormalWeb">
    <w:name w:val="Normal (Web)"/>
    <w:basedOn w:val="Normal"/>
    <w:uiPriority w:val="99"/>
    <w:unhideWhenUsed/>
    <w:rsid w:val="0082069A"/>
    <w:pPr>
      <w:spacing w:before="100" w:beforeAutospacing="1" w:after="100" w:afterAutospacing="1"/>
      <w:ind w:left="0"/>
    </w:pPr>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0663CB"/>
    <w:pPr>
      <w:ind w:left="0"/>
    </w:pPr>
    <w:rPr>
      <w:rFonts w:ascii="Calibri" w:hAnsi="Calibri"/>
      <w:sz w:val="22"/>
      <w:lang w:bidi="ar-SA"/>
    </w:rPr>
  </w:style>
  <w:style w:type="character" w:customStyle="1" w:styleId="PlainTextChar">
    <w:name w:val="Plain Text Char"/>
    <w:link w:val="PlainText"/>
    <w:uiPriority w:val="99"/>
    <w:rsid w:val="000663CB"/>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1">
    <w:name w:val="Medium Grid 21"/>
    <w:basedOn w:val="Normal"/>
    <w:uiPriority w:val="1"/>
    <w:qFormat/>
    <w:rsid w:val="00A6352B"/>
    <w:pPr>
      <w:ind w:left="0"/>
    </w:pPr>
    <w:rPr>
      <w:lang w:val="x-none" w:eastAsia="x-none"/>
    </w:rPr>
  </w:style>
  <w:style w:type="paragraph" w:customStyle="1" w:styleId="MediumGrid1-Accent22">
    <w:name w:val="Medium Grid 1 - Accent 22"/>
    <w:basedOn w:val="Normal"/>
    <w:uiPriority w:val="34"/>
    <w:qFormat/>
    <w:rsid w:val="00A6352B"/>
    <w:pPr>
      <w:ind w:left="0"/>
      <w:contextualSpacing/>
    </w:pPr>
    <w:rPr>
      <w:szCs w:val="20"/>
    </w:rPr>
  </w:style>
  <w:style w:type="paragraph" w:styleId="ListParagraph">
    <w:name w:val="List Paragraph"/>
    <w:basedOn w:val="Normal"/>
    <w:uiPriority w:val="34"/>
    <w:qFormat/>
    <w:rsid w:val="0010781F"/>
    <w:pPr>
      <w:ind w:left="720"/>
    </w:pPr>
    <w:rPr>
      <w:rFonts w:ascii="Calibri" w:hAnsi="Calibri"/>
      <w:sz w:val="22"/>
      <w:lang w:bidi="ar-SA"/>
    </w:rPr>
  </w:style>
  <w:style w:type="paragraph" w:styleId="NormalWeb">
    <w:name w:val="Normal (Web)"/>
    <w:basedOn w:val="Normal"/>
    <w:uiPriority w:val="99"/>
    <w:unhideWhenUsed/>
    <w:rsid w:val="0082069A"/>
    <w:pPr>
      <w:spacing w:before="100" w:beforeAutospacing="1" w:after="100" w:afterAutospacing="1"/>
      <w:ind w:left="0"/>
    </w:pPr>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0663CB"/>
    <w:pPr>
      <w:ind w:left="0"/>
    </w:pPr>
    <w:rPr>
      <w:rFonts w:ascii="Calibri" w:hAnsi="Calibri"/>
      <w:sz w:val="22"/>
      <w:lang w:bidi="ar-SA"/>
    </w:rPr>
  </w:style>
  <w:style w:type="character" w:customStyle="1" w:styleId="PlainTextChar">
    <w:name w:val="Plain Text Char"/>
    <w:link w:val="PlainText"/>
    <w:uiPriority w:val="99"/>
    <w:rsid w:val="000663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3302626">
      <w:bodyDiv w:val="1"/>
      <w:marLeft w:val="0"/>
      <w:marRight w:val="0"/>
      <w:marTop w:val="0"/>
      <w:marBottom w:val="0"/>
      <w:divBdr>
        <w:top w:val="none" w:sz="0" w:space="0" w:color="auto"/>
        <w:left w:val="none" w:sz="0" w:space="0" w:color="auto"/>
        <w:bottom w:val="none" w:sz="0" w:space="0" w:color="auto"/>
        <w:right w:val="none" w:sz="0" w:space="0" w:color="auto"/>
      </w:divBdr>
    </w:div>
    <w:div w:id="366030277">
      <w:bodyDiv w:val="1"/>
      <w:marLeft w:val="0"/>
      <w:marRight w:val="0"/>
      <w:marTop w:val="0"/>
      <w:marBottom w:val="0"/>
      <w:divBdr>
        <w:top w:val="none" w:sz="0" w:space="0" w:color="auto"/>
        <w:left w:val="none" w:sz="0" w:space="0" w:color="auto"/>
        <w:bottom w:val="none" w:sz="0" w:space="0" w:color="auto"/>
        <w:right w:val="none" w:sz="0" w:space="0" w:color="auto"/>
      </w:divBdr>
    </w:div>
    <w:div w:id="610209470">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09676462">
      <w:bodyDiv w:val="1"/>
      <w:marLeft w:val="0"/>
      <w:marRight w:val="0"/>
      <w:marTop w:val="0"/>
      <w:marBottom w:val="0"/>
      <w:divBdr>
        <w:top w:val="none" w:sz="0" w:space="0" w:color="auto"/>
        <w:left w:val="none" w:sz="0" w:space="0" w:color="auto"/>
        <w:bottom w:val="none" w:sz="0" w:space="0" w:color="auto"/>
        <w:right w:val="none" w:sz="0" w:space="0" w:color="auto"/>
      </w:divBdr>
    </w:div>
    <w:div w:id="1348022903">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47701154">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111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ms.gov/CCIIO/Resources/Fact-Sheets-and-FAQs/Downloads/Final-Master-FAQs-5-16-14.pdf" TargetMode="External"/><Relationship Id="rId10" Type="http://schemas.openxmlformats.org/officeDocument/2006/relationships/hyperlink" Target="http://www.cms.gov/CCIIO/Resources/Regulations-and-Guidance/Downloads/transition-to-compliant-policies-03-06-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1C11-CBAB-F94F-AAE0-F9019696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6355</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7455</CharactersWithSpaces>
  <SharedDoc>false</SharedDoc>
  <HLinks>
    <vt:vector size="12" baseType="variant">
      <vt:variant>
        <vt:i4>5832719</vt:i4>
      </vt:variant>
      <vt:variant>
        <vt:i4>3</vt:i4>
      </vt:variant>
      <vt:variant>
        <vt:i4>0</vt:i4>
      </vt:variant>
      <vt:variant>
        <vt:i4>5</vt:i4>
      </vt:variant>
      <vt:variant>
        <vt:lpwstr>http://www.cms.gov/CCIIO/Resources/Regulations-and-Guidance/Downloads/transition-to-compliant-policies-03-06-2015.pdf</vt:lpwstr>
      </vt:variant>
      <vt:variant>
        <vt:lpwstr/>
      </vt:variant>
      <vt:variant>
        <vt:i4>8192111</vt:i4>
      </vt:variant>
      <vt:variant>
        <vt:i4>0</vt:i4>
      </vt:variant>
      <vt:variant>
        <vt:i4>0</vt:i4>
      </vt:variant>
      <vt:variant>
        <vt:i4>5</vt:i4>
      </vt:variant>
      <vt:variant>
        <vt:lpwstr>http://www.cms.gov/CCIIO/Resources/Fact-Sheets-and-FAQs/Downloads/Final-Master-FAQs-5-16-14.pdf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2014-10-13T14:26:00Z</cp:lastPrinted>
  <dcterms:created xsi:type="dcterms:W3CDTF">2015-07-07T17:04:00Z</dcterms:created>
  <dcterms:modified xsi:type="dcterms:W3CDTF">2015-07-07T17:04:00Z</dcterms:modified>
</cp:coreProperties>
</file>