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3AD4D" w14:textId="042F32D6" w:rsidR="006C7EC1" w:rsidRPr="00605355" w:rsidRDefault="005158FE" w:rsidP="006C7EC1">
      <w:pPr>
        <w:jc w:val="center"/>
        <w:rPr>
          <w:b/>
          <w:szCs w:val="20"/>
        </w:rPr>
      </w:pPr>
      <w:bookmarkStart w:id="0" w:name="_GoBack"/>
      <w:bookmarkEnd w:id="0"/>
      <w:r>
        <w:rPr>
          <w:b/>
          <w:noProof/>
          <w:szCs w:val="20"/>
          <w:lang w:bidi="ar-SA"/>
        </w:rPr>
        <mc:AlternateContent>
          <mc:Choice Requires="wps">
            <w:drawing>
              <wp:anchor distT="0" distB="0" distL="114300" distR="114300" simplePos="0" relativeHeight="251658240" behindDoc="0" locked="0" layoutInCell="1" allowOverlap="1" wp14:editId="1557DC09">
                <wp:simplePos x="0" y="0"/>
                <wp:positionH relativeFrom="column">
                  <wp:posOffset>2132965</wp:posOffset>
                </wp:positionH>
                <wp:positionV relativeFrom="paragraph">
                  <wp:posOffset>-604520</wp:posOffset>
                </wp:positionV>
                <wp:extent cx="4724400" cy="605155"/>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66E94" w14:textId="77777777" w:rsidR="005158FE" w:rsidRPr="000B4DEA" w:rsidRDefault="005158FE" w:rsidP="006B5260">
                            <w:pPr>
                              <w:jc w:val="center"/>
                              <w:rPr>
                                <w:color w:val="FFFFFF"/>
                                <w:spacing w:val="40"/>
                                <w:sz w:val="44"/>
                                <w:szCs w:val="44"/>
                              </w:rPr>
                            </w:pPr>
                            <w:r>
                              <w:rPr>
                                <w:color w:val="FFFFFF"/>
                                <w:spacing w:val="40"/>
                                <w:sz w:val="44"/>
                                <w:szCs w:val="44"/>
                              </w:rPr>
                              <w:t>Compliance Alert</w:t>
                            </w:r>
                          </w:p>
                          <w:p w14:paraId="693CFEF3" w14:textId="77777777" w:rsidR="005158FE" w:rsidRPr="00D636DB" w:rsidRDefault="005158FE" w:rsidP="006B5260">
                            <w:pPr>
                              <w:jc w:val="center"/>
                              <w:rPr>
                                <w:color w:val="BFBFBF"/>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left:0;text-align:left;margin-left:167.95pt;margin-top:-47.55pt;width:372pt;height:4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" filled="f" stroked="f">
                <v:textbox>
                  <w:txbxContent>
                    <w:p w14:paraId="5E366E94" w14:textId="77777777" w:rsidR="005158FE" w:rsidRPr="000B4DEA" w:rsidRDefault="005158FE" w:rsidP="006B5260">
                      <w:pPr>
                        <w:jc w:val="center"/>
                        <w:rPr>
                          <w:color w:val="FFFFFF"/>
                          <w:spacing w:val="40"/>
                          <w:sz w:val="44"/>
                          <w:szCs w:val="44"/>
                        </w:rPr>
                      </w:pPr>
                      <w:r>
                        <w:rPr>
                          <w:color w:val="FFFFFF"/>
                          <w:spacing w:val="40"/>
                          <w:sz w:val="44"/>
                          <w:szCs w:val="44"/>
                        </w:rPr>
                        <w:t>Compliance Alert</w:t>
                      </w:r>
                    </w:p>
                    <w:p w14:paraId="693CFEF3" w14:textId="77777777" w:rsidR="005158FE" w:rsidRPr="00D636DB" w:rsidRDefault="005158FE" w:rsidP="006B5260">
                      <w:pPr>
                        <w:jc w:val="center"/>
                        <w:rPr>
                          <w:color w:val="BFBFBF"/>
                          <w:sz w:val="72"/>
                          <w:szCs w:val="72"/>
                        </w:rPr>
                      </w:pPr>
                    </w:p>
                  </w:txbxContent>
                </v:textbox>
              </v:shape>
            </w:pict>
          </mc:Fallback>
        </mc:AlternateContent>
      </w:r>
      <w:r>
        <w:rPr>
          <w:b/>
          <w:noProof/>
          <w:szCs w:val="20"/>
          <w:lang w:bidi="ar-SA"/>
        </w:rPr>
        <w:drawing>
          <wp:anchor distT="0" distB="0" distL="114300" distR="114300" simplePos="0" relativeHeight="251659264" behindDoc="1" locked="0" layoutInCell="1" allowOverlap="1" wp14:editId="7AA417BA">
            <wp:simplePos x="0" y="0"/>
            <wp:positionH relativeFrom="column">
              <wp:posOffset>-914400</wp:posOffset>
            </wp:positionH>
            <wp:positionV relativeFrom="paragraph">
              <wp:posOffset>-802005</wp:posOffset>
            </wp:positionV>
            <wp:extent cx="7823200" cy="802640"/>
            <wp:effectExtent l="0" t="0" r="0" b="10160"/>
            <wp:wrapNone/>
            <wp:docPr id="11" name="Picture 11" descr="Description: heade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header_pri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2320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2C0F1B" w14:textId="77777777" w:rsidR="001824D9" w:rsidRPr="00605355" w:rsidRDefault="001824D9" w:rsidP="00DD1020">
      <w:pPr>
        <w:rPr>
          <w:b/>
          <w:szCs w:val="20"/>
        </w:rPr>
      </w:pPr>
    </w:p>
    <w:p w14:paraId="254C5820" w14:textId="77777777" w:rsidR="00BA6FBA" w:rsidRDefault="00BA6FBA" w:rsidP="00BA6FBA">
      <w:pPr>
        <w:ind w:left="90"/>
        <w:rPr>
          <w:rFonts w:cs="Arial"/>
          <w:b/>
          <w:sz w:val="24"/>
          <w:szCs w:val="24"/>
        </w:rPr>
      </w:pPr>
    </w:p>
    <w:p w14:paraId="7CDD8AE1" w14:textId="77777777" w:rsidR="00A6352B" w:rsidRDefault="00B11B6F" w:rsidP="00A6352B">
      <w:pPr>
        <w:ind w:left="0"/>
        <w:rPr>
          <w:b/>
          <w:sz w:val="28"/>
          <w:szCs w:val="28"/>
        </w:rPr>
      </w:pPr>
      <w:r>
        <w:rPr>
          <w:b/>
          <w:sz w:val="28"/>
          <w:szCs w:val="28"/>
        </w:rPr>
        <w:t>Cadillac Tax – 2015 IRS Notices</w:t>
      </w:r>
      <w:r w:rsidR="0076294C">
        <w:rPr>
          <w:b/>
          <w:sz w:val="28"/>
          <w:szCs w:val="28"/>
        </w:rPr>
        <w:t xml:space="preserve"> </w:t>
      </w:r>
    </w:p>
    <w:p w14:paraId="5A25CFF9" w14:textId="77777777" w:rsidR="00A6352B" w:rsidRPr="00B305F9" w:rsidRDefault="00A6352B" w:rsidP="00A6352B">
      <w:pPr>
        <w:ind w:left="0"/>
        <w:rPr>
          <w:rFonts w:ascii="Calibri" w:hAnsi="Calibri"/>
          <w:b/>
          <w:sz w:val="22"/>
        </w:rPr>
      </w:pPr>
    </w:p>
    <w:p w14:paraId="77A87592" w14:textId="77777777" w:rsidR="00A6352B" w:rsidRPr="00300331" w:rsidRDefault="00A6352B" w:rsidP="00A6352B">
      <w:pPr>
        <w:ind w:left="0"/>
        <w:rPr>
          <w:rFonts w:cs="Arial"/>
          <w:b/>
          <w:szCs w:val="20"/>
        </w:rPr>
      </w:pPr>
      <w:r w:rsidRPr="00300331">
        <w:rPr>
          <w:rFonts w:cs="Arial"/>
          <w:b/>
          <w:szCs w:val="20"/>
        </w:rPr>
        <w:t xml:space="preserve">Issue Date: </w:t>
      </w:r>
      <w:r w:rsidR="0035612D" w:rsidRPr="00300331">
        <w:rPr>
          <w:rFonts w:cs="Arial"/>
          <w:b/>
          <w:szCs w:val="20"/>
        </w:rPr>
        <w:t>September</w:t>
      </w:r>
      <w:r w:rsidR="0082069A" w:rsidRPr="00300331">
        <w:rPr>
          <w:rFonts w:cs="Arial"/>
          <w:b/>
          <w:szCs w:val="20"/>
        </w:rPr>
        <w:t xml:space="preserve"> 2015</w:t>
      </w:r>
    </w:p>
    <w:p w14:paraId="14B35462" w14:textId="77777777" w:rsidR="00E03522" w:rsidRPr="00300331" w:rsidRDefault="00E03522" w:rsidP="00A6352B">
      <w:pPr>
        <w:ind w:left="0"/>
        <w:rPr>
          <w:rFonts w:cs="Arial"/>
          <w:color w:val="000000"/>
          <w:szCs w:val="20"/>
        </w:rPr>
      </w:pPr>
    </w:p>
    <w:p w14:paraId="3EB8EE45" w14:textId="62E203F1" w:rsidR="00F65964" w:rsidRPr="00300331" w:rsidRDefault="0076294C" w:rsidP="00F65964">
      <w:pPr>
        <w:ind w:left="0"/>
        <w:rPr>
          <w:rFonts w:cs="Arial"/>
          <w:color w:val="000000"/>
          <w:szCs w:val="20"/>
          <w:lang w:bidi="ar-SA"/>
        </w:rPr>
      </w:pPr>
      <w:r w:rsidRPr="00300331">
        <w:rPr>
          <w:rFonts w:cs="Arial"/>
          <w:color w:val="333333"/>
          <w:szCs w:val="20"/>
          <w:shd w:val="clear" w:color="auto" w:fill="FFFFFF"/>
        </w:rPr>
        <w:t xml:space="preserve">The </w:t>
      </w:r>
      <w:r w:rsidR="00BC64AB" w:rsidRPr="00300331">
        <w:rPr>
          <w:rFonts w:cs="Arial"/>
          <w:color w:val="333333"/>
          <w:szCs w:val="20"/>
          <w:shd w:val="clear" w:color="auto" w:fill="FFFFFF"/>
        </w:rPr>
        <w:t>Internal Revenue Service (</w:t>
      </w:r>
      <w:r w:rsidRPr="00300331">
        <w:rPr>
          <w:rFonts w:cs="Arial"/>
          <w:color w:val="333333"/>
          <w:szCs w:val="20"/>
          <w:shd w:val="clear" w:color="auto" w:fill="FFFFFF"/>
        </w:rPr>
        <w:t>IRS</w:t>
      </w:r>
      <w:r w:rsidR="00BC64AB" w:rsidRPr="00300331">
        <w:rPr>
          <w:rFonts w:cs="Arial"/>
          <w:color w:val="333333"/>
          <w:szCs w:val="20"/>
          <w:shd w:val="clear" w:color="auto" w:fill="FFFFFF"/>
        </w:rPr>
        <w:t>) has</w:t>
      </w:r>
      <w:r w:rsidRPr="00300331">
        <w:rPr>
          <w:rFonts w:cs="Arial"/>
          <w:color w:val="333333"/>
          <w:szCs w:val="20"/>
          <w:shd w:val="clear" w:color="auto" w:fill="FFFFFF"/>
        </w:rPr>
        <w:t xml:space="preserve"> released </w:t>
      </w:r>
      <w:r w:rsidR="00B11B6F" w:rsidRPr="00300331">
        <w:rPr>
          <w:rFonts w:cs="Arial"/>
          <w:color w:val="333333"/>
          <w:szCs w:val="20"/>
          <w:shd w:val="clear" w:color="auto" w:fill="FFFFFF"/>
        </w:rPr>
        <w:t xml:space="preserve">two separate notices this year requesting comments on </w:t>
      </w:r>
      <w:r w:rsidR="00F65964" w:rsidRPr="00300331">
        <w:rPr>
          <w:rFonts w:cs="Arial"/>
          <w:color w:val="333333"/>
          <w:szCs w:val="20"/>
          <w:shd w:val="clear" w:color="auto" w:fill="FFFFFF"/>
        </w:rPr>
        <w:t xml:space="preserve">how to administer the </w:t>
      </w:r>
      <w:r w:rsidR="00BC64AB" w:rsidRPr="00300331">
        <w:rPr>
          <w:rFonts w:cs="Arial"/>
          <w:color w:val="333333"/>
          <w:szCs w:val="20"/>
          <w:shd w:val="clear" w:color="auto" w:fill="FFFFFF"/>
        </w:rPr>
        <w:t>excise tax on high-cost health coverage (also known as the “</w:t>
      </w:r>
      <w:r w:rsidR="00F65964" w:rsidRPr="00300331">
        <w:rPr>
          <w:rFonts w:cs="Arial"/>
          <w:color w:val="333333"/>
          <w:szCs w:val="20"/>
          <w:shd w:val="clear" w:color="auto" w:fill="FFFFFF"/>
        </w:rPr>
        <w:t xml:space="preserve">Cadillac </w:t>
      </w:r>
      <w:r w:rsidR="006C4A13">
        <w:rPr>
          <w:rFonts w:cs="Arial"/>
          <w:color w:val="333333"/>
          <w:szCs w:val="20"/>
          <w:shd w:val="clear" w:color="auto" w:fill="FFFFFF"/>
        </w:rPr>
        <w:t>t</w:t>
      </w:r>
      <w:r w:rsidR="00F65964" w:rsidRPr="00300331">
        <w:rPr>
          <w:rFonts w:cs="Arial"/>
          <w:color w:val="333333"/>
          <w:szCs w:val="20"/>
          <w:shd w:val="clear" w:color="auto" w:fill="FFFFFF"/>
        </w:rPr>
        <w:t>ax</w:t>
      </w:r>
      <w:r w:rsidR="00BC64AB" w:rsidRPr="00300331">
        <w:rPr>
          <w:rFonts w:cs="Arial"/>
          <w:color w:val="333333"/>
          <w:szCs w:val="20"/>
          <w:shd w:val="clear" w:color="auto" w:fill="FFFFFF"/>
        </w:rPr>
        <w:t>”)</w:t>
      </w:r>
      <w:r w:rsidR="00F65964" w:rsidRPr="00300331">
        <w:rPr>
          <w:rFonts w:cs="Arial"/>
          <w:color w:val="333333"/>
          <w:szCs w:val="20"/>
          <w:shd w:val="clear" w:color="auto" w:fill="FFFFFF"/>
        </w:rPr>
        <w:t xml:space="preserve"> set to go into effect </w:t>
      </w:r>
      <w:r w:rsidR="0035612D" w:rsidRPr="00300331">
        <w:rPr>
          <w:rFonts w:cs="Arial"/>
          <w:color w:val="333333"/>
          <w:szCs w:val="20"/>
          <w:shd w:val="clear" w:color="auto" w:fill="FFFFFF"/>
        </w:rPr>
        <w:t xml:space="preserve">for the </w:t>
      </w:r>
      <w:r w:rsidR="00F65964" w:rsidRPr="00300331">
        <w:rPr>
          <w:rFonts w:cs="Arial"/>
          <w:color w:val="333333"/>
          <w:szCs w:val="20"/>
          <w:shd w:val="clear" w:color="auto" w:fill="FFFFFF"/>
        </w:rPr>
        <w:t>2018</w:t>
      </w:r>
      <w:r w:rsidR="0035612D" w:rsidRPr="00300331">
        <w:rPr>
          <w:rFonts w:cs="Arial"/>
          <w:color w:val="333333"/>
          <w:szCs w:val="20"/>
          <w:shd w:val="clear" w:color="auto" w:fill="FFFFFF"/>
        </w:rPr>
        <w:t xml:space="preserve"> tax year</w:t>
      </w:r>
      <w:r w:rsidRPr="00300331">
        <w:rPr>
          <w:rFonts w:cs="Arial"/>
          <w:color w:val="333333"/>
          <w:szCs w:val="20"/>
          <w:shd w:val="clear" w:color="auto" w:fill="FFFFFF"/>
        </w:rPr>
        <w:t>.</w:t>
      </w:r>
      <w:r w:rsidRPr="00300331">
        <w:rPr>
          <w:rFonts w:cs="Arial"/>
          <w:szCs w:val="20"/>
        </w:rPr>
        <w:t xml:space="preserve"> </w:t>
      </w:r>
      <w:r w:rsidR="00F65964" w:rsidRPr="00300331">
        <w:rPr>
          <w:rFonts w:cs="Arial"/>
          <w:color w:val="000000"/>
          <w:szCs w:val="20"/>
        </w:rPr>
        <w:t xml:space="preserve">The </w:t>
      </w:r>
      <w:r w:rsidR="00BC64AB" w:rsidRPr="00300331">
        <w:rPr>
          <w:rFonts w:cs="Arial"/>
          <w:color w:val="000000"/>
          <w:szCs w:val="20"/>
        </w:rPr>
        <w:t>notices</w:t>
      </w:r>
      <w:r w:rsidR="00F65964" w:rsidRPr="00300331">
        <w:rPr>
          <w:rFonts w:cs="Arial"/>
          <w:color w:val="000000"/>
          <w:szCs w:val="20"/>
        </w:rPr>
        <w:t xml:space="preserve"> described potential approaches </w:t>
      </w:r>
      <w:r w:rsidR="00BC64AB" w:rsidRPr="00300331">
        <w:rPr>
          <w:rFonts w:cs="Arial"/>
          <w:color w:val="000000"/>
          <w:szCs w:val="20"/>
        </w:rPr>
        <w:t xml:space="preserve">to various aspects of the excise tax </w:t>
      </w:r>
      <w:r w:rsidR="00F65964" w:rsidRPr="00300331">
        <w:rPr>
          <w:rFonts w:cs="Arial"/>
          <w:color w:val="000000"/>
          <w:szCs w:val="20"/>
        </w:rPr>
        <w:t xml:space="preserve">and requested public comment </w:t>
      </w:r>
      <w:r w:rsidR="002564DA" w:rsidRPr="00300331">
        <w:rPr>
          <w:rFonts w:cs="Arial"/>
          <w:color w:val="000000"/>
          <w:szCs w:val="20"/>
        </w:rPr>
        <w:t xml:space="preserve">on a number of issues. </w:t>
      </w:r>
      <w:r w:rsidR="00F65964" w:rsidRPr="00300331">
        <w:rPr>
          <w:rFonts w:cs="Arial"/>
          <w:color w:val="000000"/>
          <w:szCs w:val="20"/>
        </w:rPr>
        <w:t xml:space="preserve">These notices provide some indication of which way the </w:t>
      </w:r>
      <w:r w:rsidR="00BC64AB" w:rsidRPr="00300331">
        <w:rPr>
          <w:rFonts w:cs="Arial"/>
          <w:color w:val="000000"/>
          <w:szCs w:val="20"/>
        </w:rPr>
        <w:t>IRS is</w:t>
      </w:r>
      <w:r w:rsidR="00F65964" w:rsidRPr="00300331">
        <w:rPr>
          <w:rFonts w:cs="Arial"/>
          <w:color w:val="000000"/>
          <w:szCs w:val="20"/>
        </w:rPr>
        <w:t xml:space="preserve"> leaning </w:t>
      </w:r>
      <w:r w:rsidR="00BC64AB" w:rsidRPr="00300331">
        <w:rPr>
          <w:rFonts w:cs="Arial"/>
          <w:color w:val="000000"/>
          <w:szCs w:val="20"/>
        </w:rPr>
        <w:t>regarding the administration of the tax</w:t>
      </w:r>
      <w:r w:rsidR="00F65964" w:rsidRPr="00300331">
        <w:rPr>
          <w:rFonts w:cs="Arial"/>
          <w:color w:val="000000"/>
          <w:szCs w:val="20"/>
        </w:rPr>
        <w:t xml:space="preserve">, but we will know more once proposed regulations </w:t>
      </w:r>
      <w:r w:rsidR="00517F1A" w:rsidRPr="00300331">
        <w:rPr>
          <w:rFonts w:cs="Arial"/>
          <w:color w:val="000000"/>
          <w:szCs w:val="20"/>
        </w:rPr>
        <w:t>are released later this year or early next year.</w:t>
      </w:r>
    </w:p>
    <w:p w14:paraId="5799AF85" w14:textId="77777777" w:rsidR="000D31AC" w:rsidRPr="00300331" w:rsidRDefault="000D31AC" w:rsidP="000D31AC">
      <w:pPr>
        <w:ind w:left="0"/>
        <w:rPr>
          <w:rFonts w:cs="Arial"/>
          <w:color w:val="000000"/>
          <w:szCs w:val="20"/>
        </w:rPr>
      </w:pPr>
    </w:p>
    <w:p w14:paraId="3DEF7515" w14:textId="77777777" w:rsidR="00A6352B" w:rsidRPr="00300331" w:rsidRDefault="00A6352B" w:rsidP="000D31AC">
      <w:pPr>
        <w:pStyle w:val="Heading2"/>
        <w:spacing w:before="0"/>
        <w:ind w:left="0"/>
        <w:rPr>
          <w:rFonts w:ascii="Arial" w:hAnsi="Arial" w:cs="Arial"/>
          <w:sz w:val="20"/>
          <w:szCs w:val="20"/>
        </w:rPr>
      </w:pPr>
      <w:r w:rsidRPr="00300331">
        <w:rPr>
          <w:rFonts w:ascii="Arial" w:hAnsi="Arial" w:cs="Arial"/>
          <w:sz w:val="20"/>
          <w:szCs w:val="20"/>
        </w:rPr>
        <w:t>Background</w:t>
      </w:r>
    </w:p>
    <w:p w14:paraId="266B7275" w14:textId="7D43839C" w:rsidR="00F1742E" w:rsidRPr="00300331" w:rsidRDefault="00F1742E" w:rsidP="007C13DC">
      <w:pPr>
        <w:ind w:left="0"/>
        <w:rPr>
          <w:rFonts w:cs="Arial"/>
          <w:szCs w:val="20"/>
        </w:rPr>
      </w:pPr>
      <w:bookmarkStart w:id="1" w:name="HCRFRMq3954z1"/>
      <w:bookmarkStart w:id="2" w:name="cade1d0c15d56417b0acf4d5c34e0612"/>
      <w:bookmarkStart w:id="3" w:name="HCRFRMq3955z1"/>
      <w:bookmarkStart w:id="4" w:name="9d57e226c5f9617ecddae46a52220818"/>
      <w:bookmarkEnd w:id="1"/>
      <w:bookmarkEnd w:id="2"/>
      <w:bookmarkEnd w:id="3"/>
      <w:bookmarkEnd w:id="4"/>
      <w:r w:rsidRPr="00300331">
        <w:rPr>
          <w:rFonts w:cs="Arial"/>
          <w:szCs w:val="20"/>
        </w:rPr>
        <w:t xml:space="preserve">The so-called “Cadillac tax,” which goes into effect starting </w:t>
      </w:r>
      <w:r w:rsidR="0035612D" w:rsidRPr="00300331">
        <w:rPr>
          <w:rFonts w:cs="Arial"/>
          <w:szCs w:val="20"/>
        </w:rPr>
        <w:t>with the 2</w:t>
      </w:r>
      <w:r w:rsidRPr="00300331">
        <w:rPr>
          <w:rFonts w:cs="Arial"/>
          <w:szCs w:val="20"/>
        </w:rPr>
        <w:t>018</w:t>
      </w:r>
      <w:r w:rsidR="0035612D" w:rsidRPr="00300331">
        <w:rPr>
          <w:rFonts w:cs="Arial"/>
          <w:szCs w:val="20"/>
        </w:rPr>
        <w:t xml:space="preserve"> tax year</w:t>
      </w:r>
      <w:r w:rsidRPr="00300331">
        <w:rPr>
          <w:rFonts w:cs="Arial"/>
          <w:szCs w:val="20"/>
        </w:rPr>
        <w:t>, is a 40% non-deductible excise t</w:t>
      </w:r>
      <w:r w:rsidR="00746901" w:rsidRPr="00300331">
        <w:rPr>
          <w:rFonts w:cs="Arial"/>
          <w:szCs w:val="20"/>
        </w:rPr>
        <w:t xml:space="preserve">ax on </w:t>
      </w:r>
      <w:r w:rsidR="00721B36" w:rsidRPr="00300331">
        <w:rPr>
          <w:rFonts w:cs="Arial"/>
          <w:szCs w:val="20"/>
        </w:rPr>
        <w:t xml:space="preserve">a portion of the cost of </w:t>
      </w:r>
      <w:r w:rsidR="00746901" w:rsidRPr="00300331">
        <w:rPr>
          <w:rFonts w:cs="Arial"/>
          <w:szCs w:val="20"/>
        </w:rPr>
        <w:t xml:space="preserve">high-cost health coverage. </w:t>
      </w:r>
      <w:r w:rsidR="00721B36" w:rsidRPr="00300331">
        <w:rPr>
          <w:rFonts w:cs="Arial"/>
          <w:szCs w:val="20"/>
        </w:rPr>
        <w:t xml:space="preserve">The </w:t>
      </w:r>
      <w:r w:rsidRPr="00300331">
        <w:rPr>
          <w:rFonts w:cs="Arial"/>
          <w:szCs w:val="20"/>
        </w:rPr>
        <w:t xml:space="preserve">tax </w:t>
      </w:r>
      <w:r w:rsidR="00721B36" w:rsidRPr="00300331">
        <w:rPr>
          <w:rFonts w:cs="Arial"/>
          <w:szCs w:val="20"/>
        </w:rPr>
        <w:t xml:space="preserve">applies to </w:t>
      </w:r>
      <w:r w:rsidRPr="00300331">
        <w:rPr>
          <w:rFonts w:cs="Arial"/>
          <w:szCs w:val="20"/>
        </w:rPr>
        <w:t xml:space="preserve">the amount by which the monthly cost of </w:t>
      </w:r>
      <w:r w:rsidR="0035612D" w:rsidRPr="00300331">
        <w:rPr>
          <w:rFonts w:cs="Arial"/>
          <w:szCs w:val="20"/>
        </w:rPr>
        <w:t xml:space="preserve">certain </w:t>
      </w:r>
      <w:r w:rsidRPr="00300331">
        <w:rPr>
          <w:rFonts w:cs="Arial"/>
          <w:szCs w:val="20"/>
        </w:rPr>
        <w:t>employer-sponsored coverage exceed</w:t>
      </w:r>
      <w:r w:rsidR="00A55E0C" w:rsidRPr="00300331">
        <w:rPr>
          <w:rFonts w:cs="Arial"/>
          <w:szCs w:val="20"/>
        </w:rPr>
        <w:t xml:space="preserve">s an annual </w:t>
      </w:r>
      <w:r w:rsidR="00B80971" w:rsidRPr="00300331">
        <w:rPr>
          <w:rFonts w:cs="Arial"/>
          <w:szCs w:val="20"/>
        </w:rPr>
        <w:t>threshold amount</w:t>
      </w:r>
      <w:r w:rsidR="0035612D" w:rsidRPr="00300331">
        <w:rPr>
          <w:rFonts w:cs="Arial"/>
          <w:szCs w:val="20"/>
        </w:rPr>
        <w:t xml:space="preserve"> defined in the law</w:t>
      </w:r>
      <w:r w:rsidRPr="00300331">
        <w:rPr>
          <w:rFonts w:cs="Arial"/>
          <w:szCs w:val="20"/>
        </w:rPr>
        <w:t xml:space="preserve">. The threshold amounts, prior to </w:t>
      </w:r>
      <w:r w:rsidR="00A55E0C" w:rsidRPr="00300331">
        <w:rPr>
          <w:rFonts w:cs="Arial"/>
          <w:szCs w:val="20"/>
        </w:rPr>
        <w:t xml:space="preserve">potential upward </w:t>
      </w:r>
      <w:r w:rsidRPr="00300331">
        <w:rPr>
          <w:rFonts w:cs="Arial"/>
          <w:szCs w:val="20"/>
        </w:rPr>
        <w:t xml:space="preserve">adjustments (see </w:t>
      </w:r>
      <w:r w:rsidR="007C13DC" w:rsidRPr="00300331">
        <w:rPr>
          <w:rFonts w:cs="Arial"/>
          <w:szCs w:val="20"/>
        </w:rPr>
        <w:t xml:space="preserve">more </w:t>
      </w:r>
      <w:r w:rsidRPr="00300331">
        <w:rPr>
          <w:rFonts w:cs="Arial"/>
          <w:szCs w:val="20"/>
        </w:rPr>
        <w:t>below)</w:t>
      </w:r>
      <w:r w:rsidR="006C4A13">
        <w:rPr>
          <w:rFonts w:cs="Arial"/>
          <w:szCs w:val="20"/>
        </w:rPr>
        <w:t>,</w:t>
      </w:r>
      <w:r w:rsidRPr="00300331">
        <w:rPr>
          <w:rFonts w:cs="Arial"/>
          <w:szCs w:val="20"/>
        </w:rPr>
        <w:t xml:space="preserve"> are $10,200 for self-only coverage and $27,500 for coverage other than self-only.</w:t>
      </w:r>
      <w:r w:rsidR="00746901" w:rsidRPr="00300331">
        <w:rPr>
          <w:rFonts w:cs="Arial"/>
          <w:szCs w:val="20"/>
        </w:rPr>
        <w:t xml:space="preserve"> </w:t>
      </w:r>
      <w:r w:rsidR="002564DA" w:rsidRPr="00300331">
        <w:rPr>
          <w:rFonts w:cs="Arial"/>
          <w:szCs w:val="20"/>
        </w:rPr>
        <w:t>T</w:t>
      </w:r>
      <w:r w:rsidR="00746901" w:rsidRPr="00300331">
        <w:rPr>
          <w:rFonts w:cs="Arial"/>
          <w:szCs w:val="20"/>
        </w:rPr>
        <w:t xml:space="preserve">he cost of </w:t>
      </w:r>
      <w:r w:rsidR="007C13DC" w:rsidRPr="00300331">
        <w:rPr>
          <w:rFonts w:cs="Arial"/>
          <w:szCs w:val="20"/>
        </w:rPr>
        <w:t xml:space="preserve">applicable </w:t>
      </w:r>
      <w:proofErr w:type="gramStart"/>
      <w:r w:rsidR="00746901" w:rsidRPr="00300331">
        <w:rPr>
          <w:rFonts w:cs="Arial"/>
          <w:szCs w:val="20"/>
        </w:rPr>
        <w:t>coverage</w:t>
      </w:r>
      <w:proofErr w:type="gramEnd"/>
      <w:r w:rsidR="00746901" w:rsidRPr="00300331">
        <w:rPr>
          <w:rFonts w:cs="Arial"/>
          <w:szCs w:val="20"/>
        </w:rPr>
        <w:t xml:space="preserve"> refers to coverage in which the employee is actually enrolled (rather than </w:t>
      </w:r>
      <w:r w:rsidR="007C13DC" w:rsidRPr="00300331">
        <w:rPr>
          <w:rFonts w:cs="Arial"/>
          <w:szCs w:val="20"/>
        </w:rPr>
        <w:t xml:space="preserve">only </w:t>
      </w:r>
      <w:r w:rsidR="00746901" w:rsidRPr="00300331">
        <w:rPr>
          <w:rFonts w:cs="Arial"/>
          <w:szCs w:val="20"/>
        </w:rPr>
        <w:t xml:space="preserve">offered or eligible for).  </w:t>
      </w:r>
    </w:p>
    <w:p w14:paraId="0312C574" w14:textId="77777777" w:rsidR="00F1742E" w:rsidRPr="00300331" w:rsidRDefault="00F1742E" w:rsidP="00F1742E">
      <w:pPr>
        <w:ind w:left="0"/>
        <w:rPr>
          <w:rFonts w:cs="Arial"/>
          <w:szCs w:val="20"/>
        </w:rPr>
      </w:pPr>
    </w:p>
    <w:p w14:paraId="022DA98B" w14:textId="1A90E2B6" w:rsidR="00B80971" w:rsidRPr="00300331" w:rsidRDefault="00B80971" w:rsidP="00B80971">
      <w:pPr>
        <w:ind w:left="0"/>
        <w:rPr>
          <w:rFonts w:cs="Arial"/>
          <w:szCs w:val="20"/>
        </w:rPr>
      </w:pPr>
      <w:r w:rsidRPr="00300331">
        <w:rPr>
          <w:rFonts w:cs="Arial"/>
          <w:szCs w:val="20"/>
        </w:rPr>
        <w:t>The employer will be responsible for calculating the excess amount, if any, and reporting such amounts to the IRS and to applicable coverage providers</w:t>
      </w:r>
      <w:r w:rsidR="00721B36" w:rsidRPr="00300331">
        <w:rPr>
          <w:rFonts w:cs="Arial"/>
          <w:szCs w:val="20"/>
        </w:rPr>
        <w:t xml:space="preserve">. </w:t>
      </w:r>
      <w:r w:rsidRPr="00300331">
        <w:rPr>
          <w:rFonts w:cs="Arial"/>
          <w:szCs w:val="20"/>
        </w:rPr>
        <w:t xml:space="preserve">The coverage provider is then responsible for actually paying the tax. If the coverage is insured, the “coverage provider” responsible for paying the tax is the insurer. For other coverage, the “coverage provider” may be the employer or “the person that administers the plan benefits.” However, either way, the tax will </w:t>
      </w:r>
      <w:r w:rsidRPr="00300331">
        <w:rPr>
          <w:rFonts w:cs="Arial"/>
          <w:color w:val="252525"/>
          <w:szCs w:val="20"/>
        </w:rPr>
        <w:t>generally be passed back to employers</w:t>
      </w:r>
      <w:r w:rsidR="002564DA" w:rsidRPr="00300331">
        <w:rPr>
          <w:rFonts w:cs="Arial"/>
          <w:color w:val="252525"/>
          <w:szCs w:val="20"/>
        </w:rPr>
        <w:t>.</w:t>
      </w:r>
      <w:r w:rsidRPr="00300331">
        <w:rPr>
          <w:rFonts w:cs="Arial"/>
          <w:color w:val="252525"/>
          <w:szCs w:val="20"/>
        </w:rPr>
        <w:t xml:space="preserve"> It is expected at this time that the taxes will be paid using Form 720, like the PCORI fees.</w:t>
      </w:r>
      <w:r w:rsidR="00663919" w:rsidRPr="00300331">
        <w:rPr>
          <w:rFonts w:cs="Arial"/>
          <w:color w:val="252525"/>
          <w:szCs w:val="20"/>
        </w:rPr>
        <w:t xml:space="preserve">  </w:t>
      </w:r>
    </w:p>
    <w:p w14:paraId="2CCDE808" w14:textId="77777777" w:rsidR="00B80971" w:rsidRPr="00300331" w:rsidRDefault="00B80971" w:rsidP="00F1742E">
      <w:pPr>
        <w:ind w:left="0"/>
        <w:rPr>
          <w:rFonts w:cs="Arial"/>
          <w:szCs w:val="20"/>
        </w:rPr>
      </w:pPr>
    </w:p>
    <w:p w14:paraId="724B3DA9" w14:textId="77777777" w:rsidR="00BA3E33" w:rsidRPr="00300331" w:rsidRDefault="00BA3E33" w:rsidP="005F6AC8">
      <w:pPr>
        <w:pStyle w:val="NormalWeb"/>
        <w:spacing w:before="0" w:beforeAutospacing="0" w:after="0" w:afterAutospacing="0"/>
        <w:textAlignment w:val="baseline"/>
        <w:rPr>
          <w:rFonts w:ascii="Arial" w:hAnsi="Arial" w:cs="Arial"/>
          <w:b/>
          <w:color w:val="252525"/>
          <w:sz w:val="20"/>
          <w:szCs w:val="20"/>
        </w:rPr>
      </w:pPr>
      <w:r w:rsidRPr="00300331">
        <w:rPr>
          <w:rFonts w:ascii="Arial" w:hAnsi="Arial" w:cs="Arial"/>
          <w:b/>
          <w:color w:val="252525"/>
          <w:sz w:val="20"/>
          <w:szCs w:val="20"/>
        </w:rPr>
        <w:t>Applicable Employer-Sponsored Coverage</w:t>
      </w:r>
    </w:p>
    <w:p w14:paraId="4B896EE2" w14:textId="77777777" w:rsidR="00B2325B" w:rsidRPr="00300331" w:rsidRDefault="005F6AC8" w:rsidP="00B2325B">
      <w:pPr>
        <w:pStyle w:val="NormalWeb"/>
        <w:spacing w:before="0" w:beforeAutospacing="0" w:after="0" w:afterAutospacing="0"/>
        <w:textAlignment w:val="baseline"/>
        <w:rPr>
          <w:rFonts w:ascii="Arial" w:hAnsi="Arial" w:cs="Arial"/>
          <w:color w:val="252525"/>
          <w:sz w:val="20"/>
          <w:szCs w:val="20"/>
        </w:rPr>
      </w:pPr>
      <w:r w:rsidRPr="00300331">
        <w:rPr>
          <w:rFonts w:ascii="Arial" w:hAnsi="Arial" w:cs="Arial"/>
          <w:color w:val="252525"/>
          <w:sz w:val="20"/>
          <w:szCs w:val="20"/>
        </w:rPr>
        <w:t>The excise tax on high-cost health coverage applies to “applica</w:t>
      </w:r>
      <w:r w:rsidR="00D8475B" w:rsidRPr="00300331">
        <w:rPr>
          <w:rFonts w:ascii="Arial" w:hAnsi="Arial" w:cs="Arial"/>
          <w:color w:val="252525"/>
          <w:sz w:val="20"/>
          <w:szCs w:val="20"/>
        </w:rPr>
        <w:t>ble employer-sponsored coverage,</w:t>
      </w:r>
      <w:r w:rsidRPr="00300331">
        <w:rPr>
          <w:rFonts w:ascii="Arial" w:hAnsi="Arial" w:cs="Arial"/>
          <w:color w:val="252525"/>
          <w:sz w:val="20"/>
          <w:szCs w:val="20"/>
        </w:rPr>
        <w:t>”</w:t>
      </w:r>
      <w:r w:rsidR="00D8475B" w:rsidRPr="00300331">
        <w:rPr>
          <w:rFonts w:ascii="Arial" w:hAnsi="Arial" w:cs="Arial"/>
          <w:color w:val="252525"/>
          <w:sz w:val="20"/>
          <w:szCs w:val="20"/>
        </w:rPr>
        <w:t xml:space="preserve"> which generally includes:</w:t>
      </w:r>
      <w:r w:rsidR="00F47EE2" w:rsidRPr="00300331">
        <w:rPr>
          <w:rFonts w:ascii="Arial" w:hAnsi="Arial" w:cs="Arial"/>
          <w:color w:val="252525"/>
          <w:sz w:val="20"/>
          <w:szCs w:val="20"/>
        </w:rPr>
        <w:t xml:space="preserve"> </w:t>
      </w:r>
    </w:p>
    <w:p w14:paraId="726FC2EB" w14:textId="435620EE" w:rsidR="00485FE1" w:rsidRPr="00300331" w:rsidRDefault="005F6AC8" w:rsidP="0035612D">
      <w:pPr>
        <w:pStyle w:val="ListParagraph"/>
      </w:pPr>
      <w:r w:rsidRPr="00300331">
        <w:t>Health flex</w:t>
      </w:r>
      <w:r w:rsidR="00485FE1" w:rsidRPr="00300331">
        <w:t>ible spending accounts (FSAs)</w:t>
      </w:r>
      <w:r w:rsidR="006C4A13">
        <w:t>;</w:t>
      </w:r>
      <w:r w:rsidR="00485FE1" w:rsidRPr="00300331">
        <w:t xml:space="preserve"> </w:t>
      </w:r>
    </w:p>
    <w:p w14:paraId="4495A403" w14:textId="77777777" w:rsidR="00485FE1" w:rsidRPr="00300331" w:rsidRDefault="00485FE1" w:rsidP="0035612D">
      <w:pPr>
        <w:pStyle w:val="ListParagraph"/>
      </w:pPr>
      <w:r w:rsidRPr="00300331">
        <w:t>H</w:t>
      </w:r>
      <w:r w:rsidR="005F6AC8" w:rsidRPr="00300331">
        <w:t>ealth savings accounts (HSAs)</w:t>
      </w:r>
      <w:r w:rsidRPr="00300331">
        <w:t xml:space="preserve"> or Archer medical savings accounts (MSAs)</w:t>
      </w:r>
      <w:r w:rsidR="006C4A13">
        <w:t>;</w:t>
      </w:r>
    </w:p>
    <w:p w14:paraId="3BC1DDA2" w14:textId="77777777" w:rsidR="00485FE1" w:rsidRPr="00300331" w:rsidRDefault="00485FE1" w:rsidP="0035612D">
      <w:pPr>
        <w:pStyle w:val="ListParagraph"/>
      </w:pPr>
      <w:r w:rsidRPr="00300331">
        <w:t>Government-sponsored plans</w:t>
      </w:r>
      <w:r w:rsidR="00CE712E" w:rsidRPr="00300331">
        <w:t xml:space="preserve"> for civilian employees</w:t>
      </w:r>
      <w:r w:rsidRPr="00300331">
        <w:t xml:space="preserve"> (exclusion for military coverage)</w:t>
      </w:r>
      <w:r w:rsidR="006C4A13">
        <w:t>;</w:t>
      </w:r>
    </w:p>
    <w:p w14:paraId="176061D3" w14:textId="77777777" w:rsidR="00E03321" w:rsidRPr="00300331" w:rsidRDefault="00721B36" w:rsidP="0035612D">
      <w:pPr>
        <w:pStyle w:val="ListParagraph"/>
      </w:pPr>
      <w:r w:rsidRPr="00300331">
        <w:t>Some o</w:t>
      </w:r>
      <w:r w:rsidR="00485FE1" w:rsidRPr="00300331">
        <w:t>n-site medical clinics</w:t>
      </w:r>
      <w:r w:rsidR="006C4A13">
        <w:t>;</w:t>
      </w:r>
      <w:r w:rsidR="00485FE1" w:rsidRPr="00300331">
        <w:t xml:space="preserve"> </w:t>
      </w:r>
    </w:p>
    <w:p w14:paraId="6795AA8D" w14:textId="77777777" w:rsidR="00485FE1" w:rsidRPr="00300331" w:rsidRDefault="00485FE1" w:rsidP="0035612D">
      <w:pPr>
        <w:pStyle w:val="ListParagraph"/>
      </w:pPr>
      <w:r w:rsidRPr="00300331">
        <w:t>Retiree coverage</w:t>
      </w:r>
      <w:r w:rsidR="006C4A13">
        <w:t>;</w:t>
      </w:r>
    </w:p>
    <w:p w14:paraId="73BCC753" w14:textId="77777777" w:rsidR="00485FE1" w:rsidRPr="00300331" w:rsidRDefault="00485FE1" w:rsidP="0035612D">
      <w:pPr>
        <w:pStyle w:val="ListParagraph"/>
      </w:pPr>
      <w:r w:rsidRPr="00300331">
        <w:t>Multi</w:t>
      </w:r>
      <w:r w:rsidR="006C4A13">
        <w:t>-</w:t>
      </w:r>
      <w:r w:rsidRPr="00300331">
        <w:t>employer (union) plans</w:t>
      </w:r>
      <w:r w:rsidR="006C4A13">
        <w:t>; and</w:t>
      </w:r>
    </w:p>
    <w:p w14:paraId="2C37AEC5" w14:textId="77777777" w:rsidR="00536F9B" w:rsidRPr="00300331" w:rsidRDefault="00485FE1" w:rsidP="0035612D">
      <w:pPr>
        <w:pStyle w:val="ListParagraph"/>
      </w:pPr>
      <w:r w:rsidRPr="00300331">
        <w:t>Specified disease or illness coverage or indemnity coverage if provided on a pre-tax basis</w:t>
      </w:r>
      <w:r w:rsidR="006C4A13">
        <w:t>.</w:t>
      </w:r>
    </w:p>
    <w:p w14:paraId="6F387988" w14:textId="77777777" w:rsidR="00536F9B" w:rsidRPr="00300331" w:rsidRDefault="00536F9B" w:rsidP="000D31AC">
      <w:pPr>
        <w:ind w:left="0"/>
        <w:rPr>
          <w:rFonts w:cs="Arial"/>
          <w:b/>
          <w:szCs w:val="20"/>
        </w:rPr>
      </w:pPr>
    </w:p>
    <w:p w14:paraId="649B388F" w14:textId="77777777" w:rsidR="00BA3E33" w:rsidRPr="00300331" w:rsidRDefault="00BA3E33" w:rsidP="000D31AC">
      <w:pPr>
        <w:ind w:left="0"/>
        <w:rPr>
          <w:rFonts w:cs="Arial"/>
          <w:szCs w:val="20"/>
        </w:rPr>
      </w:pPr>
      <w:r w:rsidRPr="00300331">
        <w:rPr>
          <w:rFonts w:cs="Arial"/>
          <w:szCs w:val="20"/>
        </w:rPr>
        <w:t>The following are generally not included:</w:t>
      </w:r>
    </w:p>
    <w:p w14:paraId="31D5C45B" w14:textId="77777777" w:rsidR="00BA3E33" w:rsidRPr="00300331" w:rsidRDefault="002564DA" w:rsidP="0035612D">
      <w:pPr>
        <w:pStyle w:val="ListParagraph"/>
      </w:pPr>
      <w:r w:rsidRPr="00300331">
        <w:t>L</w:t>
      </w:r>
      <w:r w:rsidR="00BA3E33" w:rsidRPr="00300331">
        <w:t>imited scope vision or dental coverage</w:t>
      </w:r>
      <w:r w:rsidRPr="00300331">
        <w:t xml:space="preserve"> that qualifies as an expected benefit</w:t>
      </w:r>
      <w:r w:rsidR="00BA3E33" w:rsidRPr="00300331">
        <w:t>;</w:t>
      </w:r>
    </w:p>
    <w:p w14:paraId="70DA9AF1" w14:textId="77777777" w:rsidR="00BA3E33" w:rsidRPr="00300331" w:rsidRDefault="00BA3E33" w:rsidP="0035612D">
      <w:pPr>
        <w:pStyle w:val="ListParagraph"/>
      </w:pPr>
      <w:r w:rsidRPr="00300331">
        <w:t>Coverage only for accident, or disability income insurance;</w:t>
      </w:r>
    </w:p>
    <w:p w14:paraId="0D76FF1F" w14:textId="77777777" w:rsidR="00BA3E33" w:rsidRPr="00300331" w:rsidRDefault="00BA3E33" w:rsidP="0035612D">
      <w:pPr>
        <w:pStyle w:val="ListParagraph"/>
      </w:pPr>
      <w:r w:rsidRPr="00300331">
        <w:t>Liability insurance,</w:t>
      </w:r>
    </w:p>
    <w:p w14:paraId="29260D92" w14:textId="77777777" w:rsidR="00BA3E33" w:rsidRPr="00300331" w:rsidRDefault="00BA3E33" w:rsidP="0035612D">
      <w:pPr>
        <w:pStyle w:val="ListParagraph"/>
      </w:pPr>
      <w:r w:rsidRPr="00300331">
        <w:t>Workers' compensation;</w:t>
      </w:r>
    </w:p>
    <w:p w14:paraId="33E3748E" w14:textId="77777777" w:rsidR="00BA3E33" w:rsidRPr="00300331" w:rsidRDefault="00BA3E33" w:rsidP="0035612D">
      <w:pPr>
        <w:pStyle w:val="ListParagraph"/>
      </w:pPr>
      <w:r w:rsidRPr="00300331">
        <w:t>Automobile medical payment insurance;</w:t>
      </w:r>
    </w:p>
    <w:p w14:paraId="37FB2F3F" w14:textId="77777777" w:rsidR="00BA3E33" w:rsidRPr="00300331" w:rsidRDefault="00BA3E33" w:rsidP="0035612D">
      <w:pPr>
        <w:pStyle w:val="ListParagraph"/>
      </w:pPr>
      <w:r w:rsidRPr="00300331">
        <w:t>Credit-only insurance;</w:t>
      </w:r>
      <w:r w:rsidR="00B91754">
        <w:t xml:space="preserve"> and</w:t>
      </w:r>
    </w:p>
    <w:p w14:paraId="3A505E8D" w14:textId="77777777" w:rsidR="00BA3E33" w:rsidRPr="00300331" w:rsidRDefault="00BA3E33" w:rsidP="0035612D">
      <w:pPr>
        <w:pStyle w:val="ListParagraph"/>
      </w:pPr>
      <w:r w:rsidRPr="00300331">
        <w:t>Other similar insurance coverage, specified in regulations, under which benefits for medical care are secondary or incidental to other insurance benefits.</w:t>
      </w:r>
    </w:p>
    <w:p w14:paraId="384818D2" w14:textId="77777777" w:rsidR="00BA3E33" w:rsidRPr="00300331" w:rsidRDefault="00BA3E33" w:rsidP="000D31AC">
      <w:pPr>
        <w:ind w:left="0"/>
        <w:rPr>
          <w:rFonts w:cs="Arial"/>
          <w:szCs w:val="20"/>
        </w:rPr>
      </w:pPr>
    </w:p>
    <w:p w14:paraId="40ED02B6" w14:textId="77777777" w:rsidR="00F47EE2" w:rsidRPr="00300331" w:rsidRDefault="001D5A0C" w:rsidP="00F47EE2">
      <w:pPr>
        <w:ind w:left="0"/>
        <w:rPr>
          <w:rFonts w:cs="Arial"/>
          <w:szCs w:val="20"/>
        </w:rPr>
      </w:pPr>
      <w:r w:rsidRPr="00300331">
        <w:rPr>
          <w:rFonts w:cs="Arial"/>
          <w:szCs w:val="20"/>
        </w:rPr>
        <w:t>As indicated in the notices, f</w:t>
      </w:r>
      <w:r w:rsidR="00F47EE2" w:rsidRPr="00300331">
        <w:rPr>
          <w:rFonts w:cs="Arial"/>
          <w:szCs w:val="20"/>
        </w:rPr>
        <w:t xml:space="preserve">uture guidance is expected to provide that: </w:t>
      </w:r>
    </w:p>
    <w:p w14:paraId="5F8DD276" w14:textId="77777777" w:rsidR="00F47EE2" w:rsidRPr="00300331" w:rsidRDefault="00F47EE2" w:rsidP="0035612D">
      <w:pPr>
        <w:pStyle w:val="ListParagraph"/>
        <w:numPr>
          <w:ilvl w:val="0"/>
          <w:numId w:val="24"/>
        </w:numPr>
      </w:pPr>
      <w:r w:rsidRPr="00300331">
        <w:t>Executive physical programs and HRAs are applicable coverage.</w:t>
      </w:r>
    </w:p>
    <w:p w14:paraId="5ECFEA9B" w14:textId="77777777" w:rsidR="00F47EE2" w:rsidRPr="00300331" w:rsidRDefault="00F47EE2" w:rsidP="0035612D">
      <w:pPr>
        <w:pStyle w:val="ListParagraph"/>
        <w:numPr>
          <w:ilvl w:val="0"/>
          <w:numId w:val="23"/>
        </w:numPr>
      </w:pPr>
      <w:r w:rsidRPr="00300331">
        <w:lastRenderedPageBreak/>
        <w:t xml:space="preserve">Employer contributions to HSAs and Archer MSAs, </w:t>
      </w:r>
      <w:r w:rsidR="00721B36" w:rsidRPr="00300331">
        <w:t xml:space="preserve">and employee pre-tax </w:t>
      </w:r>
      <w:r w:rsidRPr="00300331">
        <w:t>salary reduction contributions to HSAs, are included in a</w:t>
      </w:r>
      <w:r w:rsidR="00721B36" w:rsidRPr="00300331">
        <w:t>pplicable coverage.</w:t>
      </w:r>
    </w:p>
    <w:p w14:paraId="6968322B" w14:textId="77777777" w:rsidR="00F47EE2" w:rsidRPr="00300331" w:rsidRDefault="00F47EE2" w:rsidP="0035612D">
      <w:pPr>
        <w:pStyle w:val="ListParagraph"/>
        <w:numPr>
          <w:ilvl w:val="0"/>
          <w:numId w:val="23"/>
        </w:numPr>
      </w:pPr>
      <w:r w:rsidRPr="00300331">
        <w:t>Onsite medical c</w:t>
      </w:r>
      <w:r w:rsidR="00536F9B" w:rsidRPr="00300331">
        <w:t xml:space="preserve">linics that offer only de </w:t>
      </w:r>
      <w:proofErr w:type="spellStart"/>
      <w:r w:rsidR="00536F9B" w:rsidRPr="00300331">
        <w:t>minimis</w:t>
      </w:r>
      <w:proofErr w:type="spellEnd"/>
      <w:r w:rsidR="00536F9B" w:rsidRPr="00300331">
        <w:t xml:space="preserve"> medical care to employees</w:t>
      </w:r>
      <w:r w:rsidRPr="00300331">
        <w:t xml:space="preserve"> will be excluded from applicable coverage. </w:t>
      </w:r>
    </w:p>
    <w:p w14:paraId="5D59911B" w14:textId="77777777" w:rsidR="004A6635" w:rsidRPr="00300331" w:rsidRDefault="004A6635" w:rsidP="000D31AC">
      <w:pPr>
        <w:ind w:left="0"/>
        <w:rPr>
          <w:rFonts w:cs="Arial"/>
          <w:b/>
          <w:szCs w:val="20"/>
        </w:rPr>
      </w:pPr>
    </w:p>
    <w:p w14:paraId="5020B1D1" w14:textId="77777777" w:rsidR="00714E7B" w:rsidRPr="00300331" w:rsidRDefault="00714E7B" w:rsidP="000D31AC">
      <w:pPr>
        <w:ind w:left="0"/>
        <w:rPr>
          <w:rFonts w:cs="Arial"/>
          <w:b/>
          <w:szCs w:val="20"/>
        </w:rPr>
      </w:pPr>
      <w:r w:rsidRPr="00300331">
        <w:rPr>
          <w:rFonts w:cs="Arial"/>
          <w:b/>
          <w:szCs w:val="20"/>
        </w:rPr>
        <w:t xml:space="preserve">Cost of </w:t>
      </w:r>
      <w:r w:rsidR="007C13DC" w:rsidRPr="00300331">
        <w:rPr>
          <w:rFonts w:cs="Arial"/>
          <w:b/>
          <w:szCs w:val="20"/>
        </w:rPr>
        <w:t xml:space="preserve">Applicable </w:t>
      </w:r>
      <w:r w:rsidRPr="00300331">
        <w:rPr>
          <w:rFonts w:cs="Arial"/>
          <w:b/>
          <w:szCs w:val="20"/>
        </w:rPr>
        <w:t>Coverage</w:t>
      </w:r>
    </w:p>
    <w:p w14:paraId="1152862E" w14:textId="5A3A28DF" w:rsidR="001D5A0C" w:rsidRPr="00300331" w:rsidRDefault="007C13DC" w:rsidP="00D8475B">
      <w:pPr>
        <w:ind w:left="0"/>
        <w:rPr>
          <w:rFonts w:cs="Arial"/>
          <w:szCs w:val="20"/>
        </w:rPr>
      </w:pPr>
      <w:r w:rsidRPr="00300331">
        <w:rPr>
          <w:rFonts w:cs="Arial"/>
          <w:szCs w:val="20"/>
        </w:rPr>
        <w:t xml:space="preserve">Generally, the cost of applicable coverage is “determined under rules similar to the rules” under COBRA for determining the COBRA applicable premium. </w:t>
      </w:r>
      <w:r w:rsidR="00956886" w:rsidRPr="00300331">
        <w:rPr>
          <w:rFonts w:cs="Arial"/>
          <w:szCs w:val="20"/>
        </w:rPr>
        <w:t xml:space="preserve">COBRA rules currently require a self-funded plan to use either an actuarial basis or the past-cost method to determine the applicable premium. </w:t>
      </w:r>
      <w:r w:rsidR="00942EFA" w:rsidRPr="00300331">
        <w:rPr>
          <w:rFonts w:cs="Arial"/>
          <w:szCs w:val="20"/>
        </w:rPr>
        <w:t>T</w:t>
      </w:r>
      <w:r w:rsidR="001D5A0C" w:rsidRPr="00300331">
        <w:rPr>
          <w:rFonts w:cs="Arial"/>
          <w:szCs w:val="20"/>
        </w:rPr>
        <w:t xml:space="preserve">he IRS addressed the following </w:t>
      </w:r>
      <w:r w:rsidR="00721B36" w:rsidRPr="00300331">
        <w:rPr>
          <w:rFonts w:cs="Arial"/>
          <w:szCs w:val="20"/>
        </w:rPr>
        <w:t xml:space="preserve">cost issues </w:t>
      </w:r>
      <w:r w:rsidR="001D5A0C" w:rsidRPr="00300331">
        <w:rPr>
          <w:rFonts w:cs="Arial"/>
          <w:szCs w:val="20"/>
        </w:rPr>
        <w:t>in the two notices:</w:t>
      </w:r>
    </w:p>
    <w:p w14:paraId="25F251BA" w14:textId="043EC7C2" w:rsidR="00D8475B" w:rsidRPr="00300331" w:rsidRDefault="00D8475B" w:rsidP="0035612D">
      <w:pPr>
        <w:pStyle w:val="ListParagraph"/>
        <w:numPr>
          <w:ilvl w:val="0"/>
          <w:numId w:val="29"/>
        </w:numPr>
      </w:pPr>
      <w:r w:rsidRPr="00300331">
        <w:t xml:space="preserve">In regard to using the COBRA method of determining the applicable premium, additional guidance is needed (not currently provided for COBRA calculations either).  </w:t>
      </w:r>
    </w:p>
    <w:p w14:paraId="5C361D31" w14:textId="77777777" w:rsidR="00D8475B" w:rsidRPr="00300331" w:rsidRDefault="00D8475B" w:rsidP="0035612D">
      <w:pPr>
        <w:pStyle w:val="ListParagraph"/>
        <w:numPr>
          <w:ilvl w:val="1"/>
          <w:numId w:val="29"/>
        </w:numPr>
      </w:pPr>
      <w:r w:rsidRPr="00300331">
        <w:t xml:space="preserve">It is anticipated </w:t>
      </w:r>
      <w:r w:rsidR="00B91754">
        <w:t xml:space="preserve">that </w:t>
      </w:r>
      <w:r w:rsidRPr="00300331">
        <w:t xml:space="preserve">self-funded plans will use either the actuarial basis or the past cost method, but further </w:t>
      </w:r>
      <w:r w:rsidR="00721B36" w:rsidRPr="00300331">
        <w:t xml:space="preserve">detailed </w:t>
      </w:r>
      <w:r w:rsidRPr="00300331">
        <w:t xml:space="preserve">guidance will be provided for such methods. </w:t>
      </w:r>
    </w:p>
    <w:p w14:paraId="230ACBBA" w14:textId="77777777" w:rsidR="00D8475B" w:rsidRPr="00300331" w:rsidRDefault="00D8475B" w:rsidP="0035612D">
      <w:pPr>
        <w:pStyle w:val="ListParagraph"/>
        <w:numPr>
          <w:ilvl w:val="1"/>
          <w:numId w:val="29"/>
        </w:numPr>
      </w:pPr>
      <w:r w:rsidRPr="00300331">
        <w:t>It is also anticipated that further guidance will be provided on how to determine the applicable premium for HRAs.</w:t>
      </w:r>
    </w:p>
    <w:p w14:paraId="703659C3" w14:textId="77777777" w:rsidR="00D8475B" w:rsidRPr="00300331" w:rsidRDefault="00D8475B" w:rsidP="0035612D">
      <w:pPr>
        <w:pStyle w:val="ListParagraph"/>
        <w:numPr>
          <w:ilvl w:val="0"/>
          <w:numId w:val="27"/>
        </w:numPr>
      </w:pPr>
      <w:r w:rsidRPr="00300331">
        <w:t>If an employee has both self-only coverage and other than self-only coverage</w:t>
      </w:r>
      <w:r w:rsidR="00942EFA" w:rsidRPr="00300331">
        <w:t xml:space="preserve"> (such as an employee who is enrolled in single medical coverage but has a health FSA that reimburses costs for the entire famil</w:t>
      </w:r>
      <w:r w:rsidR="00721B36" w:rsidRPr="00300331">
        <w:t>y</w:t>
      </w:r>
      <w:r w:rsidR="00942EFA" w:rsidRPr="00300331">
        <w:t>)</w:t>
      </w:r>
      <w:r w:rsidRPr="00300331">
        <w:t xml:space="preserve">, the </w:t>
      </w:r>
      <w:r w:rsidR="00DA17C7" w:rsidRPr="00300331">
        <w:t>IRS is</w:t>
      </w:r>
      <w:r w:rsidRPr="00300331">
        <w:t xml:space="preserve"> considering two possible approaches to clarify the application of the dollar limit:</w:t>
      </w:r>
    </w:p>
    <w:p w14:paraId="701E7AB5" w14:textId="77777777" w:rsidR="00D8475B" w:rsidRPr="00300331" w:rsidRDefault="00D8475B" w:rsidP="0035612D">
      <w:pPr>
        <w:pStyle w:val="ListParagraph"/>
        <w:numPr>
          <w:ilvl w:val="1"/>
          <w:numId w:val="28"/>
        </w:numPr>
      </w:pPr>
      <w:r w:rsidRPr="00300331">
        <w:t xml:space="preserve">The applicable dollar limit for an employee would depend on </w:t>
      </w:r>
      <w:r w:rsidR="00942EFA" w:rsidRPr="00300331">
        <w:t xml:space="preserve">the level of coverage </w:t>
      </w:r>
      <w:r w:rsidR="00721B36" w:rsidRPr="00300331">
        <w:t>under the</w:t>
      </w:r>
      <w:r w:rsidRPr="00300331">
        <w:t xml:space="preserve"> employee’s </w:t>
      </w:r>
      <w:r w:rsidR="00721B36" w:rsidRPr="00300331">
        <w:t>primary major</w:t>
      </w:r>
      <w:r w:rsidRPr="00300331">
        <w:t xml:space="preserve"> medical coverage</w:t>
      </w:r>
      <w:r w:rsidR="00942EFA" w:rsidRPr="00300331">
        <w:t xml:space="preserve">. </w:t>
      </w:r>
      <w:r w:rsidRPr="00300331">
        <w:t xml:space="preserve"> </w:t>
      </w:r>
    </w:p>
    <w:p w14:paraId="5C566F1C" w14:textId="77777777" w:rsidR="00D8475B" w:rsidRPr="00300331" w:rsidRDefault="00D8475B" w:rsidP="0035612D">
      <w:pPr>
        <w:pStyle w:val="ListParagraph"/>
        <w:numPr>
          <w:ilvl w:val="1"/>
          <w:numId w:val="28"/>
        </w:numPr>
      </w:pPr>
      <w:r w:rsidRPr="00300331">
        <w:t>A composite dollar limit would be determined by prorating according to the ratio of the cost of the self-only coverage and the cost of the other-than-self-only coverage</w:t>
      </w:r>
      <w:r w:rsidR="00942EFA" w:rsidRPr="00300331">
        <w:t xml:space="preserve">. </w:t>
      </w:r>
    </w:p>
    <w:p w14:paraId="7AF15AA9" w14:textId="56523579" w:rsidR="007C675D" w:rsidRPr="00300331" w:rsidRDefault="007C675D" w:rsidP="0035612D">
      <w:pPr>
        <w:pStyle w:val="ListParagraph"/>
        <w:numPr>
          <w:ilvl w:val="0"/>
          <w:numId w:val="28"/>
        </w:numPr>
      </w:pPr>
      <w:r w:rsidRPr="00300331">
        <w:t>It is anticipated that the taxable period will be the calendar year, regardless of the employer’s plan year.</w:t>
      </w:r>
      <w:r w:rsidRPr="00300331">
        <w:rPr>
          <w:rStyle w:val="apple-converted-space"/>
          <w:color w:val="252525"/>
          <w:bdr w:val="none" w:sz="0" w:space="0" w:color="auto" w:frame="1"/>
          <w:vertAlign w:val="superscript"/>
        </w:rPr>
        <w:t> </w:t>
      </w:r>
      <w:bookmarkStart w:id="5" w:name="SRC_38"/>
      <w:bookmarkEnd w:id="5"/>
      <w:r w:rsidRPr="00300331">
        <w:t>The IRS acknowledges that potential timing issues will be different depending on the type of plan (e.g.</w:t>
      </w:r>
      <w:r w:rsidR="00B91754">
        <w:t>,</w:t>
      </w:r>
      <w:r w:rsidRPr="00300331">
        <w:t xml:space="preserve"> claim submission for self-funded plans, run-out periods for health FSAs, premium discounts for fully</w:t>
      </w:r>
      <w:r w:rsidR="00B91754">
        <w:t xml:space="preserve"> </w:t>
      </w:r>
      <w:r w:rsidRPr="00300331">
        <w:t>insured plans) and has requested comments on these timing issues</w:t>
      </w:r>
      <w:r w:rsidR="00721B36" w:rsidRPr="00300331">
        <w:t>.</w:t>
      </w:r>
    </w:p>
    <w:p w14:paraId="18300F44" w14:textId="77777777" w:rsidR="00D8475B" w:rsidRPr="00300331" w:rsidRDefault="00D8475B" w:rsidP="0035612D">
      <w:pPr>
        <w:pStyle w:val="ListParagraph"/>
        <w:numPr>
          <w:ilvl w:val="0"/>
          <w:numId w:val="27"/>
        </w:numPr>
      </w:pPr>
      <w:r w:rsidRPr="00300331">
        <w:t>The excise tax is not deductible, so the coverage provider will experience an increase in taxable income due to the excise tax reimbursement</w:t>
      </w:r>
      <w:r w:rsidR="00721B36" w:rsidRPr="00300331">
        <w:t>, i</w:t>
      </w:r>
      <w:r w:rsidRPr="00300331">
        <w:t xml:space="preserve">n addition to the actual excise tax. While the </w:t>
      </w:r>
      <w:r w:rsidR="00DA17C7" w:rsidRPr="00300331">
        <w:t>IRS expects</w:t>
      </w:r>
      <w:r w:rsidRPr="00300331">
        <w:t xml:space="preserve"> to exclude the excise tax from the cost of applicable coverage in future guidance, they are also considering whether the income tax may be excluded as well.  </w:t>
      </w:r>
    </w:p>
    <w:p w14:paraId="06C65F93" w14:textId="77777777" w:rsidR="0035612D" w:rsidRPr="00300331" w:rsidRDefault="0035612D" w:rsidP="000D31AC">
      <w:pPr>
        <w:ind w:left="0"/>
        <w:rPr>
          <w:rFonts w:cs="Arial"/>
          <w:szCs w:val="20"/>
        </w:rPr>
      </w:pPr>
    </w:p>
    <w:p w14:paraId="034D42E7" w14:textId="2ADA3E25" w:rsidR="00AB7412" w:rsidRPr="00300331" w:rsidRDefault="00956886" w:rsidP="000D31AC">
      <w:pPr>
        <w:ind w:left="0"/>
        <w:rPr>
          <w:rFonts w:cs="Arial"/>
          <w:b/>
          <w:szCs w:val="20"/>
        </w:rPr>
      </w:pPr>
      <w:r w:rsidRPr="00300331">
        <w:rPr>
          <w:rFonts w:cs="Arial"/>
          <w:szCs w:val="20"/>
        </w:rPr>
        <w:t xml:space="preserve">The regulations provide specific guidance for determining the cost of a health FSA. In determining the portion of the cost of applicable coverage attributable to non-elective flex credits contributed to an FSA by an employer (either in combination with employee salary reduction contributions or without), the cost of the non-elective flex credit would be the amount that is actually reimbursed in excess of the employee’s salary reduction election for that plan year. </w:t>
      </w:r>
    </w:p>
    <w:p w14:paraId="460C49BF" w14:textId="77777777" w:rsidR="0035612D" w:rsidRPr="00300331" w:rsidRDefault="0035612D" w:rsidP="00B2325B">
      <w:pPr>
        <w:ind w:left="0"/>
        <w:rPr>
          <w:rFonts w:cs="Arial"/>
          <w:b/>
          <w:szCs w:val="20"/>
        </w:rPr>
      </w:pPr>
    </w:p>
    <w:p w14:paraId="6075F636" w14:textId="77777777" w:rsidR="00B2325B" w:rsidRPr="00300331" w:rsidRDefault="00B2325B" w:rsidP="00B2325B">
      <w:pPr>
        <w:ind w:left="0"/>
        <w:rPr>
          <w:rFonts w:cs="Arial"/>
          <w:b/>
          <w:szCs w:val="20"/>
        </w:rPr>
      </w:pPr>
      <w:r w:rsidRPr="00300331">
        <w:rPr>
          <w:rFonts w:cs="Arial"/>
          <w:b/>
          <w:szCs w:val="20"/>
        </w:rPr>
        <w:t xml:space="preserve">Threshold Amount </w:t>
      </w:r>
      <w:r w:rsidR="00956886" w:rsidRPr="00300331">
        <w:rPr>
          <w:rFonts w:cs="Arial"/>
          <w:b/>
          <w:szCs w:val="20"/>
        </w:rPr>
        <w:t>Adjustment</w:t>
      </w:r>
      <w:r w:rsidR="00300331">
        <w:rPr>
          <w:rFonts w:cs="Arial"/>
          <w:b/>
          <w:szCs w:val="20"/>
        </w:rPr>
        <w:t>s</w:t>
      </w:r>
    </w:p>
    <w:p w14:paraId="28734D96" w14:textId="79461608" w:rsidR="00721B36" w:rsidRPr="00300331" w:rsidRDefault="00B2325B" w:rsidP="00B2325B">
      <w:pPr>
        <w:ind w:left="0"/>
        <w:rPr>
          <w:rFonts w:cs="Arial"/>
          <w:szCs w:val="20"/>
        </w:rPr>
      </w:pPr>
      <w:r w:rsidRPr="00300331">
        <w:rPr>
          <w:rFonts w:cs="Arial"/>
          <w:szCs w:val="20"/>
        </w:rPr>
        <w:t xml:space="preserve">In accordance with the statute, no downward adjustments can </w:t>
      </w:r>
      <w:r w:rsidR="00B91754">
        <w:rPr>
          <w:rFonts w:cs="Arial"/>
          <w:szCs w:val="20"/>
        </w:rPr>
        <w:t>be made</w:t>
      </w:r>
      <w:r w:rsidRPr="00300331">
        <w:rPr>
          <w:rFonts w:cs="Arial"/>
          <w:szCs w:val="20"/>
        </w:rPr>
        <w:t xml:space="preserve">. Therefore, the threshold amounts can be increased </w:t>
      </w:r>
      <w:r w:rsidR="00B91754">
        <w:rPr>
          <w:rFonts w:cs="Arial"/>
          <w:szCs w:val="20"/>
        </w:rPr>
        <w:t xml:space="preserve">only </w:t>
      </w:r>
      <w:r w:rsidRPr="00300331">
        <w:rPr>
          <w:rFonts w:cs="Arial"/>
          <w:szCs w:val="20"/>
        </w:rPr>
        <w:t>from $10,200</w:t>
      </w:r>
      <w:r w:rsidR="00956886" w:rsidRPr="00300331">
        <w:rPr>
          <w:rFonts w:cs="Arial"/>
          <w:szCs w:val="20"/>
        </w:rPr>
        <w:t xml:space="preserve"> for self-only coverage</w:t>
      </w:r>
      <w:r w:rsidRPr="00300331">
        <w:rPr>
          <w:rFonts w:cs="Arial"/>
          <w:szCs w:val="20"/>
        </w:rPr>
        <w:t xml:space="preserve"> and $27,500</w:t>
      </w:r>
      <w:r w:rsidR="00956886" w:rsidRPr="00300331">
        <w:rPr>
          <w:rFonts w:cs="Arial"/>
          <w:szCs w:val="20"/>
        </w:rPr>
        <w:t xml:space="preserve"> </w:t>
      </w:r>
      <w:r w:rsidR="00B91754">
        <w:rPr>
          <w:rFonts w:cs="Arial"/>
          <w:szCs w:val="20"/>
        </w:rPr>
        <w:t xml:space="preserve">for </w:t>
      </w:r>
      <w:r w:rsidR="00956886" w:rsidRPr="00300331">
        <w:rPr>
          <w:rFonts w:cs="Arial"/>
          <w:szCs w:val="20"/>
        </w:rPr>
        <w:t>other than self-only coverage</w:t>
      </w:r>
      <w:r w:rsidRPr="00300331">
        <w:rPr>
          <w:rFonts w:cs="Arial"/>
          <w:szCs w:val="20"/>
        </w:rPr>
        <w:t xml:space="preserve">. </w:t>
      </w:r>
      <w:r w:rsidR="00721B36" w:rsidRPr="00300331">
        <w:rPr>
          <w:rFonts w:cs="Arial"/>
          <w:szCs w:val="20"/>
        </w:rPr>
        <w:t>Obviously any increase in the threshold amount will result in a reduction in the plan’s tax liability since the tax would apply to a smaller excess cost.</w:t>
      </w:r>
    </w:p>
    <w:p w14:paraId="6A743068" w14:textId="77777777" w:rsidR="00721B36" w:rsidRPr="00300331" w:rsidRDefault="00721B36" w:rsidP="00B2325B">
      <w:pPr>
        <w:ind w:left="0"/>
        <w:rPr>
          <w:rFonts w:cs="Arial"/>
          <w:szCs w:val="20"/>
        </w:rPr>
      </w:pPr>
    </w:p>
    <w:p w14:paraId="0671F979" w14:textId="77777777" w:rsidR="00B2325B" w:rsidRPr="00300331" w:rsidRDefault="00B2325B" w:rsidP="00B2325B">
      <w:pPr>
        <w:ind w:left="0"/>
        <w:rPr>
          <w:rFonts w:cs="Arial"/>
          <w:szCs w:val="20"/>
        </w:rPr>
      </w:pPr>
      <w:r w:rsidRPr="00300331">
        <w:rPr>
          <w:rFonts w:cs="Arial"/>
          <w:szCs w:val="20"/>
        </w:rPr>
        <w:t>The adjustments that apply to the threshold amounts are as follows:</w:t>
      </w:r>
    </w:p>
    <w:p w14:paraId="5D7C5BD1" w14:textId="77777777" w:rsidR="00B2325B" w:rsidRPr="00300331" w:rsidRDefault="00956886" w:rsidP="0035612D">
      <w:pPr>
        <w:pStyle w:val="ListParagraph"/>
        <w:numPr>
          <w:ilvl w:val="0"/>
          <w:numId w:val="16"/>
        </w:numPr>
      </w:pPr>
      <w:r w:rsidRPr="00300331">
        <w:t>A</w:t>
      </w:r>
      <w:r w:rsidR="00B2325B" w:rsidRPr="00300331">
        <w:t xml:space="preserve"> health cost adjustment percentage </w:t>
      </w:r>
      <w:r w:rsidR="00B91754">
        <w:t xml:space="preserve">that </w:t>
      </w:r>
      <w:r w:rsidRPr="00300331">
        <w:t>allows for</w:t>
      </w:r>
      <w:r w:rsidR="00B2325B" w:rsidRPr="00300331">
        <w:t xml:space="preserve"> a one-time adjustment </w:t>
      </w:r>
      <w:r w:rsidRPr="00300331">
        <w:t xml:space="preserve">(2018 only) </w:t>
      </w:r>
      <w:r w:rsidR="00B2325B" w:rsidRPr="00300331">
        <w:t>if actual increases in the cost of health care between passage of the health care reform law in 2010 and implementation of the high-cost coverage excise tax in 2018 exceed 55%;</w:t>
      </w:r>
    </w:p>
    <w:p w14:paraId="06DB37FF" w14:textId="77777777" w:rsidR="00A55E0C" w:rsidRPr="00300331" w:rsidRDefault="00A55E0C" w:rsidP="0035612D">
      <w:pPr>
        <w:pStyle w:val="ListParagraph"/>
        <w:numPr>
          <w:ilvl w:val="0"/>
          <w:numId w:val="16"/>
        </w:numPr>
      </w:pPr>
      <w:r w:rsidRPr="00300331">
        <w:t>A cost-of-living adjustment for calendar years after 2018 to reflect changes in the cost of living;</w:t>
      </w:r>
    </w:p>
    <w:p w14:paraId="22FFE7AA" w14:textId="77777777" w:rsidR="00A55E0C" w:rsidRPr="00300331" w:rsidRDefault="00A55E0C" w:rsidP="0035612D">
      <w:pPr>
        <w:pStyle w:val="ListParagraph"/>
        <w:numPr>
          <w:ilvl w:val="0"/>
          <w:numId w:val="16"/>
        </w:numPr>
      </w:pPr>
      <w:r w:rsidRPr="00300331">
        <w:t xml:space="preserve">An adjustment for qualified retirees, defined as “any individual who (A) is receiving coverage by reason of being a retiree, (B) has attained age 55, and (C) is not entitled to benefits or eligible for enrollment under the Medicare program under title XVIII of the Social Security Act;” </w:t>
      </w:r>
    </w:p>
    <w:p w14:paraId="4E6716CF" w14:textId="77777777" w:rsidR="00B2325B" w:rsidRPr="00300331" w:rsidRDefault="00A55E0C" w:rsidP="0035612D">
      <w:pPr>
        <w:pStyle w:val="ListParagraph"/>
        <w:numPr>
          <w:ilvl w:val="0"/>
          <w:numId w:val="16"/>
        </w:numPr>
      </w:pPr>
      <w:r w:rsidRPr="00300331">
        <w:lastRenderedPageBreak/>
        <w:t xml:space="preserve">An adjustment for an individual “who participates in a plan sponsored by an employer the majority of whose employees covered by the plan are engaged in a high-risk profession or employed to repair or install electrical or telecommunication lines;” and </w:t>
      </w:r>
    </w:p>
    <w:p w14:paraId="63E2E9ED" w14:textId="77777777" w:rsidR="00B2325B" w:rsidRPr="00300331" w:rsidRDefault="00956886" w:rsidP="0035612D">
      <w:pPr>
        <w:pStyle w:val="ListParagraph"/>
        <w:numPr>
          <w:ilvl w:val="0"/>
          <w:numId w:val="16"/>
        </w:numPr>
      </w:pPr>
      <w:r w:rsidRPr="00300331">
        <w:t>A possible</w:t>
      </w:r>
      <w:r w:rsidR="00B2325B" w:rsidRPr="00300331">
        <w:t xml:space="preserve"> age and gender adjustment for employees of a particular employer to reflect substantial changes in the age and gender characteristics of </w:t>
      </w:r>
      <w:r w:rsidR="00942EFA" w:rsidRPr="00300331">
        <w:t xml:space="preserve">a </w:t>
      </w:r>
      <w:r w:rsidR="00B2325B" w:rsidRPr="00300331">
        <w:t>group</w:t>
      </w:r>
      <w:r w:rsidR="00942EFA" w:rsidRPr="00300331">
        <w:t xml:space="preserve">. </w:t>
      </w:r>
    </w:p>
    <w:p w14:paraId="13350410" w14:textId="77777777" w:rsidR="0035612D" w:rsidRPr="00300331" w:rsidRDefault="0035612D" w:rsidP="0035612D">
      <w:pPr>
        <w:ind w:left="0"/>
        <w:rPr>
          <w:rFonts w:cs="Arial"/>
          <w:szCs w:val="20"/>
        </w:rPr>
      </w:pPr>
    </w:p>
    <w:p w14:paraId="73E9A0EB" w14:textId="68B465E9" w:rsidR="0035612D" w:rsidRPr="00300331" w:rsidRDefault="0035612D" w:rsidP="0035612D">
      <w:pPr>
        <w:ind w:left="0"/>
        <w:rPr>
          <w:rFonts w:cs="Arial"/>
          <w:szCs w:val="20"/>
        </w:rPr>
      </w:pPr>
      <w:r w:rsidRPr="00300331">
        <w:rPr>
          <w:rFonts w:cs="Arial"/>
          <w:szCs w:val="20"/>
        </w:rPr>
        <w:t xml:space="preserve">It is important to note that there has been no indication from the IRS that type of geographic or area adjustment to the threshold amounts will be available. This is of particular concern for employers </w:t>
      </w:r>
      <w:r w:rsidR="00B91754">
        <w:rPr>
          <w:rFonts w:cs="Arial"/>
          <w:szCs w:val="20"/>
        </w:rPr>
        <w:t>who have</w:t>
      </w:r>
      <w:r w:rsidRPr="00300331">
        <w:rPr>
          <w:rFonts w:cs="Arial"/>
          <w:szCs w:val="20"/>
        </w:rPr>
        <w:t xml:space="preserve"> employees in areas of the country with higher than average health plan costs.</w:t>
      </w:r>
    </w:p>
    <w:p w14:paraId="64CF3FAB" w14:textId="77777777" w:rsidR="00B2325B" w:rsidRPr="00300331" w:rsidRDefault="00B2325B" w:rsidP="00D8475B">
      <w:pPr>
        <w:ind w:left="0"/>
        <w:rPr>
          <w:rFonts w:cs="Arial"/>
          <w:szCs w:val="20"/>
        </w:rPr>
      </w:pPr>
    </w:p>
    <w:p w14:paraId="7DCA7D53" w14:textId="77777777" w:rsidR="00714E7B" w:rsidRPr="00300331" w:rsidRDefault="00BE7C66" w:rsidP="000D31AC">
      <w:pPr>
        <w:ind w:left="0"/>
        <w:rPr>
          <w:rFonts w:cs="Arial"/>
          <w:b/>
          <w:szCs w:val="20"/>
        </w:rPr>
      </w:pPr>
      <w:r w:rsidRPr="00300331">
        <w:rPr>
          <w:rFonts w:cs="Arial"/>
          <w:b/>
          <w:szCs w:val="20"/>
        </w:rPr>
        <w:t>Penalties</w:t>
      </w:r>
    </w:p>
    <w:p w14:paraId="5C36E32B" w14:textId="52F0E0CA" w:rsidR="00BE7C66" w:rsidRPr="00300331" w:rsidRDefault="00BE7C66" w:rsidP="00BE7C66">
      <w:pPr>
        <w:pStyle w:val="NormalWeb"/>
        <w:spacing w:before="0" w:beforeAutospacing="0" w:after="0" w:afterAutospacing="0"/>
        <w:textAlignment w:val="baseline"/>
        <w:rPr>
          <w:rFonts w:ascii="Arial" w:hAnsi="Arial" w:cs="Arial"/>
          <w:color w:val="252525"/>
          <w:sz w:val="20"/>
          <w:szCs w:val="20"/>
        </w:rPr>
      </w:pPr>
      <w:r w:rsidRPr="00300331">
        <w:rPr>
          <w:rFonts w:ascii="Arial" w:hAnsi="Arial" w:cs="Arial"/>
          <w:sz w:val="20"/>
          <w:szCs w:val="20"/>
        </w:rPr>
        <w:t xml:space="preserve">If the tax is miscalculated, it is the employer </w:t>
      </w:r>
      <w:r w:rsidR="00B91754">
        <w:rPr>
          <w:rFonts w:ascii="Arial" w:hAnsi="Arial" w:cs="Arial"/>
          <w:sz w:val="20"/>
          <w:szCs w:val="20"/>
        </w:rPr>
        <w:t>who</w:t>
      </w:r>
      <w:r w:rsidRPr="00300331">
        <w:rPr>
          <w:rFonts w:ascii="Arial" w:hAnsi="Arial" w:cs="Arial"/>
          <w:sz w:val="20"/>
          <w:szCs w:val="20"/>
        </w:rPr>
        <w:t xml:space="preserve"> will be penalized, not the coverage provider (although the coverage provider will have to pay any adjustments). </w:t>
      </w:r>
      <w:r w:rsidRPr="00300331">
        <w:rPr>
          <w:rFonts w:ascii="Arial" w:hAnsi="Arial" w:cs="Arial"/>
          <w:color w:val="252525"/>
          <w:sz w:val="20"/>
          <w:szCs w:val="20"/>
        </w:rPr>
        <w:t>The penalty amount is 100% of the additional excise tax that must be paid by coverage providers due to the miscalculation.</w:t>
      </w:r>
      <w:r w:rsidRPr="00300331">
        <w:rPr>
          <w:rStyle w:val="apple-converted-space"/>
          <w:rFonts w:ascii="Arial" w:hAnsi="Arial" w:cs="Arial"/>
          <w:color w:val="252525"/>
          <w:sz w:val="20"/>
          <w:szCs w:val="20"/>
          <w:bdr w:val="none" w:sz="0" w:space="0" w:color="auto" w:frame="1"/>
          <w:vertAlign w:val="superscript"/>
        </w:rPr>
        <w:t> </w:t>
      </w:r>
      <w:bookmarkStart w:id="6" w:name="SRC_123"/>
      <w:bookmarkEnd w:id="6"/>
      <w:r w:rsidRPr="00300331">
        <w:rPr>
          <w:rFonts w:ascii="Arial" w:hAnsi="Arial" w:cs="Arial"/>
          <w:color w:val="252525"/>
          <w:sz w:val="20"/>
          <w:szCs w:val="20"/>
        </w:rPr>
        <w:t>In addition to the 100% penalty, the employer or plan sponsor must also pay interest on the underpayment for the period beginning on the due date for the unpaid amount and ending on the date of payment of the penalty.</w:t>
      </w:r>
      <w:r w:rsidRPr="00300331">
        <w:rPr>
          <w:rStyle w:val="apple-converted-space"/>
          <w:rFonts w:ascii="Arial" w:hAnsi="Arial" w:cs="Arial"/>
          <w:color w:val="252525"/>
          <w:sz w:val="20"/>
          <w:szCs w:val="20"/>
          <w:bdr w:val="none" w:sz="0" w:space="0" w:color="auto" w:frame="1"/>
          <w:vertAlign w:val="superscript"/>
        </w:rPr>
        <w:t> </w:t>
      </w:r>
      <w:bookmarkStart w:id="7" w:name="SRC_124"/>
      <w:bookmarkEnd w:id="7"/>
    </w:p>
    <w:p w14:paraId="40B5D8F0" w14:textId="77777777" w:rsidR="00BE7C66" w:rsidRPr="00300331" w:rsidRDefault="00334D30" w:rsidP="00BE7C66">
      <w:pPr>
        <w:pStyle w:val="NormalWeb"/>
        <w:spacing w:before="0" w:beforeAutospacing="0" w:after="0" w:afterAutospacing="0"/>
        <w:textAlignment w:val="baseline"/>
        <w:rPr>
          <w:rFonts w:ascii="Arial" w:hAnsi="Arial" w:cs="Arial"/>
          <w:color w:val="252525"/>
          <w:sz w:val="20"/>
          <w:szCs w:val="20"/>
        </w:rPr>
      </w:pPr>
      <w:r w:rsidRPr="00300331">
        <w:rPr>
          <w:rFonts w:ascii="Arial" w:hAnsi="Arial" w:cs="Arial"/>
          <w:color w:val="252525"/>
          <w:sz w:val="20"/>
          <w:szCs w:val="20"/>
        </w:rPr>
        <w:t xml:space="preserve">IRS may provide forgiveness for some or </w:t>
      </w:r>
      <w:proofErr w:type="gramStart"/>
      <w:r w:rsidRPr="00300331">
        <w:rPr>
          <w:rFonts w:ascii="Arial" w:hAnsi="Arial" w:cs="Arial"/>
          <w:color w:val="252525"/>
          <w:sz w:val="20"/>
          <w:szCs w:val="20"/>
        </w:rPr>
        <w:t>all of the</w:t>
      </w:r>
      <w:proofErr w:type="gramEnd"/>
      <w:r w:rsidRPr="00300331">
        <w:rPr>
          <w:rFonts w:ascii="Arial" w:hAnsi="Arial" w:cs="Arial"/>
          <w:color w:val="252525"/>
          <w:sz w:val="20"/>
          <w:szCs w:val="20"/>
        </w:rPr>
        <w:t xml:space="preserve"> penalty if the employer (or plan sponsor) can prove reasonable diligence or that there is reasonable cause and not willful neglect</w:t>
      </w:r>
      <w:r w:rsidR="00BE7C66" w:rsidRPr="00300331">
        <w:rPr>
          <w:rFonts w:ascii="Arial" w:hAnsi="Arial" w:cs="Arial"/>
          <w:color w:val="252525"/>
          <w:sz w:val="20"/>
          <w:szCs w:val="20"/>
        </w:rPr>
        <w:t>.</w:t>
      </w:r>
      <w:r w:rsidR="00BE7C66" w:rsidRPr="00300331">
        <w:rPr>
          <w:rStyle w:val="apple-converted-space"/>
          <w:rFonts w:ascii="Arial" w:hAnsi="Arial" w:cs="Arial"/>
          <w:color w:val="252525"/>
          <w:sz w:val="20"/>
          <w:szCs w:val="20"/>
          <w:bdr w:val="none" w:sz="0" w:space="0" w:color="auto" w:frame="1"/>
          <w:vertAlign w:val="superscript"/>
        </w:rPr>
        <w:t> </w:t>
      </w:r>
    </w:p>
    <w:p w14:paraId="1B5053BE" w14:textId="77777777" w:rsidR="00BE7C66" w:rsidRPr="00300331" w:rsidRDefault="00BE7C66" w:rsidP="000D31AC">
      <w:pPr>
        <w:ind w:left="0"/>
        <w:rPr>
          <w:rFonts w:cs="Arial"/>
          <w:b/>
          <w:szCs w:val="20"/>
        </w:rPr>
      </w:pPr>
    </w:p>
    <w:p w14:paraId="73A970B8" w14:textId="77777777" w:rsidR="00E03522" w:rsidRPr="00300331" w:rsidRDefault="001A7955" w:rsidP="000D31AC">
      <w:pPr>
        <w:ind w:left="0"/>
        <w:rPr>
          <w:rFonts w:cs="Arial"/>
          <w:b/>
          <w:szCs w:val="20"/>
        </w:rPr>
      </w:pPr>
      <w:r w:rsidRPr="00300331">
        <w:rPr>
          <w:rFonts w:cs="Arial"/>
          <w:b/>
          <w:szCs w:val="20"/>
        </w:rPr>
        <w:t>Summary</w:t>
      </w:r>
    </w:p>
    <w:p w14:paraId="465634BC" w14:textId="66278BFD" w:rsidR="00F04017" w:rsidRPr="00300331" w:rsidRDefault="00C53B62" w:rsidP="00F04017">
      <w:pPr>
        <w:ind w:left="0"/>
        <w:rPr>
          <w:rFonts w:cs="Arial"/>
          <w:szCs w:val="20"/>
        </w:rPr>
      </w:pPr>
      <w:r w:rsidRPr="00300331">
        <w:rPr>
          <w:rFonts w:cs="Arial"/>
          <w:szCs w:val="20"/>
        </w:rPr>
        <w:t>Employers preparing for this tax may choose to adjust benefit plan offerings by implementing plans with higher deductibles and</w:t>
      </w:r>
      <w:r w:rsidR="00B86CCB">
        <w:rPr>
          <w:rFonts w:cs="Arial"/>
          <w:szCs w:val="20"/>
        </w:rPr>
        <w:t>/</w:t>
      </w:r>
      <w:r w:rsidRPr="00300331">
        <w:rPr>
          <w:rFonts w:cs="Arial"/>
          <w:szCs w:val="20"/>
        </w:rPr>
        <w:t>or increas</w:t>
      </w:r>
      <w:r w:rsidR="00B86CCB">
        <w:rPr>
          <w:rFonts w:cs="Arial"/>
          <w:szCs w:val="20"/>
        </w:rPr>
        <w:t>ing</w:t>
      </w:r>
      <w:r w:rsidRPr="00300331">
        <w:rPr>
          <w:rFonts w:cs="Arial"/>
          <w:szCs w:val="20"/>
        </w:rPr>
        <w:t xml:space="preserve"> cost-sharing</w:t>
      </w:r>
      <w:r w:rsidR="00B86CCB">
        <w:rPr>
          <w:rFonts w:cs="Arial"/>
          <w:szCs w:val="20"/>
        </w:rPr>
        <w:t>,</w:t>
      </w:r>
      <w:r w:rsidRPr="00300331">
        <w:rPr>
          <w:rFonts w:cs="Arial"/>
          <w:szCs w:val="20"/>
        </w:rPr>
        <w:t xml:space="preserve"> as well as reconsider</w:t>
      </w:r>
      <w:r w:rsidR="00B86CCB">
        <w:rPr>
          <w:rFonts w:cs="Arial"/>
          <w:szCs w:val="20"/>
        </w:rPr>
        <w:t>ing</w:t>
      </w:r>
      <w:r w:rsidRPr="00300331">
        <w:rPr>
          <w:rFonts w:cs="Arial"/>
          <w:szCs w:val="20"/>
        </w:rPr>
        <w:t xml:space="preserve"> the offering of various account-based plans such as health FSAs, HRAs and HSAs</w:t>
      </w:r>
      <w:r w:rsidR="00B86CCB">
        <w:rPr>
          <w:rFonts w:cs="Arial"/>
          <w:szCs w:val="20"/>
        </w:rPr>
        <w:t xml:space="preserve"> </w:t>
      </w:r>
      <w:r w:rsidRPr="00300331">
        <w:rPr>
          <w:rFonts w:cs="Arial"/>
          <w:szCs w:val="20"/>
        </w:rPr>
        <w:t xml:space="preserve">to ultimately reduce the aggregate cost of applicable coverage provided to employees.  </w:t>
      </w:r>
    </w:p>
    <w:p w14:paraId="7431EDBB" w14:textId="77777777" w:rsidR="00C53B62" w:rsidRPr="00300331" w:rsidRDefault="00C53B62" w:rsidP="00F04017">
      <w:pPr>
        <w:ind w:left="0"/>
        <w:rPr>
          <w:rFonts w:cs="Arial"/>
          <w:szCs w:val="20"/>
        </w:rPr>
      </w:pPr>
    </w:p>
    <w:p w14:paraId="3A7A0C2E" w14:textId="76DEB6AF" w:rsidR="00C53B62" w:rsidRPr="00300331" w:rsidRDefault="00C53B62" w:rsidP="00F04017">
      <w:pPr>
        <w:ind w:left="0"/>
        <w:rPr>
          <w:rFonts w:cs="Arial"/>
          <w:szCs w:val="20"/>
        </w:rPr>
      </w:pPr>
      <w:r w:rsidRPr="00300331">
        <w:rPr>
          <w:rFonts w:cs="Arial"/>
          <w:szCs w:val="20"/>
        </w:rPr>
        <w:t>It is clear that the calculation and reporting of the cost of applicable coverage will be the responsibility of the employer, although the time</w:t>
      </w:r>
      <w:r w:rsidR="00B86CCB">
        <w:rPr>
          <w:rFonts w:cs="Arial"/>
          <w:szCs w:val="20"/>
        </w:rPr>
        <w:t xml:space="preserve"> </w:t>
      </w:r>
      <w:r w:rsidRPr="00300331">
        <w:rPr>
          <w:rFonts w:cs="Arial"/>
          <w:szCs w:val="20"/>
        </w:rPr>
        <w:t xml:space="preserve">frames and exact methods for calculation and reporting are still being clarified. The IRS guidance provides some insight into how the administration of the </w:t>
      </w:r>
      <w:r w:rsidR="00B86CCB">
        <w:rPr>
          <w:rFonts w:cs="Arial"/>
          <w:szCs w:val="20"/>
        </w:rPr>
        <w:t>“</w:t>
      </w:r>
      <w:r w:rsidRPr="00300331">
        <w:rPr>
          <w:rFonts w:cs="Arial"/>
          <w:szCs w:val="20"/>
        </w:rPr>
        <w:t xml:space="preserve">Cadillac </w:t>
      </w:r>
      <w:r w:rsidR="00B86CCB">
        <w:rPr>
          <w:rFonts w:cs="Arial"/>
          <w:szCs w:val="20"/>
        </w:rPr>
        <w:t>t</w:t>
      </w:r>
      <w:r w:rsidRPr="00300331">
        <w:rPr>
          <w:rFonts w:cs="Arial"/>
          <w:szCs w:val="20"/>
        </w:rPr>
        <w:t>ax</w:t>
      </w:r>
      <w:r w:rsidR="00B86CCB">
        <w:rPr>
          <w:rFonts w:cs="Arial"/>
          <w:szCs w:val="20"/>
        </w:rPr>
        <w:t>”</w:t>
      </w:r>
      <w:r w:rsidRPr="00300331">
        <w:rPr>
          <w:rFonts w:cs="Arial"/>
          <w:szCs w:val="20"/>
        </w:rPr>
        <w:t xml:space="preserve"> will be handled, but nothing is definite at this point. While </w:t>
      </w:r>
      <w:r w:rsidR="00DA17C7" w:rsidRPr="00300331">
        <w:rPr>
          <w:rFonts w:cs="Arial"/>
          <w:szCs w:val="20"/>
        </w:rPr>
        <w:t>many</w:t>
      </w:r>
      <w:r w:rsidRPr="00300331">
        <w:rPr>
          <w:rFonts w:cs="Arial"/>
          <w:szCs w:val="20"/>
        </w:rPr>
        <w:t xml:space="preserve"> employers </w:t>
      </w:r>
      <w:r w:rsidR="00DA17C7" w:rsidRPr="00300331">
        <w:rPr>
          <w:rFonts w:cs="Arial"/>
          <w:szCs w:val="20"/>
        </w:rPr>
        <w:t>may be evaluating</w:t>
      </w:r>
      <w:r w:rsidRPr="00300331">
        <w:rPr>
          <w:rFonts w:cs="Arial"/>
          <w:szCs w:val="20"/>
        </w:rPr>
        <w:t xml:space="preserve"> current plan benefits</w:t>
      </w:r>
      <w:r w:rsidR="00DA17C7" w:rsidRPr="00300331">
        <w:rPr>
          <w:rFonts w:cs="Arial"/>
          <w:szCs w:val="20"/>
        </w:rPr>
        <w:t xml:space="preserve"> and considering potential future options, further clarification and guidance provided by the IRS in the proposed rules will provide more certainty as to which group health plans must be included, how to calculate the applicable coverage cost, and how the threshold amounts will be adjusted.</w:t>
      </w:r>
    </w:p>
    <w:p w14:paraId="77321441" w14:textId="77777777" w:rsidR="007C13DC" w:rsidRPr="00300331" w:rsidRDefault="007C13DC" w:rsidP="00F04017">
      <w:pPr>
        <w:ind w:left="0"/>
        <w:rPr>
          <w:rFonts w:cs="Arial"/>
          <w:szCs w:val="20"/>
        </w:rPr>
      </w:pPr>
    </w:p>
    <w:p w14:paraId="573FEFC2" w14:textId="77777777" w:rsidR="00DA17C7" w:rsidRPr="00300331" w:rsidRDefault="00DA17C7" w:rsidP="00F04017">
      <w:pPr>
        <w:ind w:left="0"/>
        <w:rPr>
          <w:rFonts w:cs="Arial"/>
          <w:szCs w:val="20"/>
        </w:rPr>
      </w:pPr>
    </w:p>
    <w:p w14:paraId="4ADDBFEA" w14:textId="77777777" w:rsidR="00334D30" w:rsidRPr="00300331" w:rsidRDefault="00334D30" w:rsidP="00F04017">
      <w:pPr>
        <w:ind w:left="0"/>
        <w:rPr>
          <w:rFonts w:cs="Arial"/>
          <w:szCs w:val="20"/>
        </w:rPr>
      </w:pPr>
      <w:r w:rsidRPr="00300331">
        <w:rPr>
          <w:rFonts w:cs="Arial"/>
          <w:szCs w:val="20"/>
        </w:rPr>
        <w:t xml:space="preserve">Notice 2015-16 can be found </w:t>
      </w:r>
      <w:hyperlink r:id="rId10" w:anchor="q=cadillac%20tax%20notice%202015-16" w:history="1">
        <w:r w:rsidRPr="00300331">
          <w:rPr>
            <w:rStyle w:val="Hyperlink"/>
            <w:rFonts w:cs="Arial"/>
            <w:szCs w:val="20"/>
          </w:rPr>
          <w:t>here</w:t>
        </w:r>
      </w:hyperlink>
    </w:p>
    <w:p w14:paraId="38185710" w14:textId="77777777" w:rsidR="00334D30" w:rsidRPr="00300331" w:rsidRDefault="00334D30" w:rsidP="00F04017">
      <w:pPr>
        <w:ind w:left="0"/>
        <w:rPr>
          <w:rFonts w:cs="Arial"/>
          <w:szCs w:val="20"/>
        </w:rPr>
      </w:pPr>
    </w:p>
    <w:p w14:paraId="18D0DF99" w14:textId="77777777" w:rsidR="0005280B" w:rsidRPr="00300331" w:rsidRDefault="0005280B" w:rsidP="00F04017">
      <w:pPr>
        <w:ind w:left="0"/>
        <w:rPr>
          <w:rFonts w:cs="Arial"/>
          <w:szCs w:val="20"/>
        </w:rPr>
      </w:pPr>
      <w:r w:rsidRPr="00300331">
        <w:rPr>
          <w:rFonts w:cs="Arial"/>
          <w:szCs w:val="20"/>
        </w:rPr>
        <w:t xml:space="preserve">Notice 2015-52 can be found </w:t>
      </w:r>
      <w:hyperlink r:id="rId11" w:history="1">
        <w:r w:rsidRPr="00300331">
          <w:rPr>
            <w:rStyle w:val="Hyperlink"/>
            <w:rFonts w:cs="Arial"/>
            <w:szCs w:val="20"/>
          </w:rPr>
          <w:t>here</w:t>
        </w:r>
      </w:hyperlink>
    </w:p>
    <w:p w14:paraId="201EC1CE" w14:textId="77777777" w:rsidR="0005280B" w:rsidRDefault="0005280B" w:rsidP="00F04017">
      <w:pPr>
        <w:ind w:left="0"/>
      </w:pPr>
    </w:p>
    <w:p w14:paraId="56FDD1C7" w14:textId="77777777" w:rsidR="00723257" w:rsidRDefault="00723257" w:rsidP="00723257">
      <w:pPr>
        <w:pStyle w:val="MediumShading1-Accent11"/>
        <w:ind w:left="0"/>
        <w:rPr>
          <w:rFonts w:cs="Arial"/>
          <w:szCs w:val="20"/>
        </w:rPr>
      </w:pPr>
    </w:p>
    <w:p w14:paraId="6265A63E" w14:textId="77777777" w:rsidR="00723257" w:rsidRDefault="00723257" w:rsidP="00866B99">
      <w:pPr>
        <w:pStyle w:val="MediumShading1-Accent11"/>
        <w:ind w:left="0"/>
        <w:rPr>
          <w:i/>
          <w:sz w:val="16"/>
          <w:szCs w:val="16"/>
        </w:rPr>
      </w:pPr>
    </w:p>
    <w:p w14:paraId="70A78864" w14:textId="77777777" w:rsidR="008362F4" w:rsidRDefault="0035725D" w:rsidP="00866B99">
      <w:pPr>
        <w:pStyle w:val="MediumShading1-Accent11"/>
        <w:ind w:left="0"/>
        <w:rPr>
          <w:i/>
          <w:sz w:val="16"/>
          <w:szCs w:val="16"/>
        </w:rPr>
      </w:pPr>
      <w:r w:rsidRPr="00332855">
        <w:rPr>
          <w:i/>
          <w:sz w:val="16"/>
          <w:szCs w:val="16"/>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sectPr w:rsidR="008362F4" w:rsidSect="00E53468">
      <w:footerReference w:type="default" r:id="rId12"/>
      <w:headerReference w:type="first" r:id="rId13"/>
      <w:footerReference w:type="first" r:id="rId14"/>
      <w:pgSz w:w="12240" w:h="15840" w:code="1"/>
      <w:pgMar w:top="1440" w:right="1440" w:bottom="1440" w:left="1440" w:header="965" w:footer="965" w:gutter="0"/>
      <w:cols w:space="720"/>
      <w:titlePg/>
      <w:docGrid w:linePitch="21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81E88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88EA1" w14:textId="77777777" w:rsidR="00D17920" w:rsidRDefault="00D17920" w:rsidP="006C7EC1">
      <w:r>
        <w:separator/>
      </w:r>
    </w:p>
  </w:endnote>
  <w:endnote w:type="continuationSeparator" w:id="0">
    <w:p w14:paraId="287E3CBB" w14:textId="77777777" w:rsidR="00D17920" w:rsidRDefault="00D17920" w:rsidP="006C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E9E67" w14:textId="77777777" w:rsidR="008E0604" w:rsidRDefault="008E0604" w:rsidP="006C7EC1">
    <w:pPr>
      <w:pStyle w:val="Footer"/>
      <w:jc w:val="center"/>
      <w:rPr>
        <w:rFonts w:cs="Arial"/>
        <w:sz w:val="18"/>
        <w:szCs w:val="18"/>
      </w:rPr>
    </w:pPr>
  </w:p>
  <w:p w14:paraId="223F78F0" w14:textId="77777777" w:rsidR="008E0604" w:rsidRDefault="008E0604" w:rsidP="006C7EC1">
    <w:pPr>
      <w:pStyle w:val="Footer"/>
      <w:jc w:val="center"/>
      <w:rPr>
        <w:sz w:val="18"/>
        <w:szCs w:val="18"/>
        <w:lang w:val="en-US"/>
      </w:rPr>
    </w:pPr>
    <w:r w:rsidRPr="006C7EC1">
      <w:rPr>
        <w:rFonts w:cs="Arial"/>
        <w:sz w:val="18"/>
        <w:szCs w:val="18"/>
      </w:rPr>
      <w:t xml:space="preserve">© </w:t>
    </w:r>
    <w:r w:rsidRPr="006C7EC1">
      <w:rPr>
        <w:rFonts w:cs="Arial"/>
        <w:sz w:val="18"/>
        <w:szCs w:val="18"/>
      </w:rPr>
      <w:t>201</w:t>
    </w:r>
    <w:r w:rsidR="00C849B8">
      <w:rPr>
        <w:rFonts w:cs="Arial"/>
        <w:sz w:val="18"/>
        <w:szCs w:val="18"/>
        <w:lang w:val="en-US"/>
      </w:rPr>
      <w:t>5</w:t>
    </w:r>
    <w:r w:rsidRPr="006C7EC1">
      <w:rPr>
        <w:rFonts w:cs="Arial"/>
        <w:sz w:val="18"/>
        <w:szCs w:val="18"/>
      </w:rPr>
      <w:t xml:space="preserve"> </w:t>
    </w:r>
    <w:r>
      <w:rPr>
        <w:sz w:val="18"/>
        <w:szCs w:val="18"/>
      </w:rPr>
      <w:t>Benefit Comply, LLC</w:t>
    </w:r>
  </w:p>
  <w:p w14:paraId="780F4668" w14:textId="77777777" w:rsidR="008E0604" w:rsidRDefault="008E0604" w:rsidP="00866B99">
    <w:pPr>
      <w:pStyle w:val="Footer"/>
      <w:jc w:val="cente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C4346F">
      <w:rPr>
        <w:noProof/>
        <w:sz w:val="18"/>
        <w:szCs w:val="18"/>
        <w:lang w:val="en-US"/>
      </w:rPr>
      <w:t>2</w:t>
    </w:r>
    <w:r w:rsidRPr="00866B99">
      <w:rPr>
        <w:sz w:val="18"/>
        <w:szCs w:val="18"/>
        <w:lang w:val="en-US"/>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911E2" w14:textId="77777777" w:rsidR="008E0604" w:rsidRDefault="008E0604" w:rsidP="006C7EC1">
    <w:pPr>
      <w:pStyle w:val="Footer"/>
      <w:jc w:val="center"/>
      <w:rPr>
        <w:sz w:val="18"/>
        <w:szCs w:val="18"/>
        <w:lang w:val="en-US"/>
      </w:rPr>
    </w:pPr>
    <w:r>
      <w:rPr>
        <w:rFonts w:cs="Arial"/>
        <w:sz w:val="18"/>
        <w:szCs w:val="18"/>
      </w:rPr>
      <w:t xml:space="preserve">© </w:t>
    </w:r>
    <w:r>
      <w:rPr>
        <w:rFonts w:cs="Arial"/>
        <w:sz w:val="18"/>
        <w:szCs w:val="18"/>
      </w:rPr>
      <w:t>201</w:t>
    </w:r>
    <w:r w:rsidR="000D31AC">
      <w:rPr>
        <w:rFonts w:cs="Arial"/>
        <w:sz w:val="18"/>
        <w:szCs w:val="18"/>
        <w:lang w:val="en-US"/>
      </w:rPr>
      <w:t>5</w:t>
    </w:r>
    <w:r w:rsidRPr="006C7EC1">
      <w:rPr>
        <w:rFonts w:cs="Arial"/>
        <w:sz w:val="18"/>
        <w:szCs w:val="18"/>
      </w:rPr>
      <w:t xml:space="preserve"> </w:t>
    </w:r>
    <w:r>
      <w:rPr>
        <w:sz w:val="18"/>
        <w:szCs w:val="18"/>
      </w:rPr>
      <w:t>Benefit Comply, LLC</w:t>
    </w:r>
  </w:p>
  <w:p w14:paraId="443FDF79" w14:textId="77777777" w:rsidR="008E0604" w:rsidRPr="00866B99" w:rsidRDefault="008E0604" w:rsidP="006C7EC1">
    <w:pPr>
      <w:pStyle w:val="Footer"/>
      <w:jc w:val="center"/>
      <w:rPr>
        <w:sz w:val="18"/>
        <w:szCs w:val="18"/>
        <w:lang w:val="en-US"/>
      </w:rP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C4346F">
      <w:rPr>
        <w:noProof/>
        <w:sz w:val="18"/>
        <w:szCs w:val="18"/>
        <w:lang w:val="en-US"/>
      </w:rPr>
      <w:t>1</w:t>
    </w:r>
    <w:r w:rsidRPr="00866B99">
      <w:rPr>
        <w:sz w:val="18"/>
        <w:szCs w:val="18"/>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EB36D" w14:textId="77777777" w:rsidR="00D17920" w:rsidRDefault="00D17920" w:rsidP="006C7EC1">
      <w:r>
        <w:separator/>
      </w:r>
    </w:p>
  </w:footnote>
  <w:footnote w:type="continuationSeparator" w:id="0">
    <w:p w14:paraId="1B388807" w14:textId="77777777" w:rsidR="00D17920" w:rsidRDefault="00D17920" w:rsidP="006C7E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E14E1" w14:textId="77777777" w:rsidR="008E0604" w:rsidRPr="006717AA" w:rsidRDefault="008E0604" w:rsidP="00373838">
    <w:pPr>
      <w:pStyle w:val="Header"/>
      <w:ind w:left="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DBA"/>
    <w:multiLevelType w:val="multilevel"/>
    <w:tmpl w:val="4920B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F4CA3"/>
    <w:multiLevelType w:val="hybridMultilevel"/>
    <w:tmpl w:val="483E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15F0A"/>
    <w:multiLevelType w:val="hybridMultilevel"/>
    <w:tmpl w:val="B8760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8052B0"/>
    <w:multiLevelType w:val="hybridMultilevel"/>
    <w:tmpl w:val="F57E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EC46DB"/>
    <w:multiLevelType w:val="multilevel"/>
    <w:tmpl w:val="FBCE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4824BE"/>
    <w:multiLevelType w:val="hybridMultilevel"/>
    <w:tmpl w:val="76FAF480"/>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A630FBB"/>
    <w:multiLevelType w:val="multilevel"/>
    <w:tmpl w:val="57BE6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374B8E"/>
    <w:multiLevelType w:val="hybridMultilevel"/>
    <w:tmpl w:val="9C109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122B37"/>
    <w:multiLevelType w:val="multilevel"/>
    <w:tmpl w:val="2E18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F911B7"/>
    <w:multiLevelType w:val="hybridMultilevel"/>
    <w:tmpl w:val="B302E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6D6532"/>
    <w:multiLevelType w:val="hybridMultilevel"/>
    <w:tmpl w:val="E1C86A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E746023"/>
    <w:multiLevelType w:val="hybridMultilevel"/>
    <w:tmpl w:val="D234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FD5641"/>
    <w:multiLevelType w:val="hybridMultilevel"/>
    <w:tmpl w:val="AAC24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242F18"/>
    <w:multiLevelType w:val="hybridMultilevel"/>
    <w:tmpl w:val="E0D86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D3A1EB5"/>
    <w:multiLevelType w:val="hybridMultilevel"/>
    <w:tmpl w:val="67F45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1213FF7"/>
    <w:multiLevelType w:val="multilevel"/>
    <w:tmpl w:val="2C00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110779"/>
    <w:multiLevelType w:val="hybridMultilevel"/>
    <w:tmpl w:val="691A87C2"/>
    <w:lvl w:ilvl="0" w:tplc="B76C4D3A">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FF2E90"/>
    <w:multiLevelType w:val="hybridMultilevel"/>
    <w:tmpl w:val="2C02C65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1F6412"/>
    <w:multiLevelType w:val="hybridMultilevel"/>
    <w:tmpl w:val="8D567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5B70B1"/>
    <w:multiLevelType w:val="hybridMultilevel"/>
    <w:tmpl w:val="0A66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425665"/>
    <w:multiLevelType w:val="multilevel"/>
    <w:tmpl w:val="6794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4EE41B0"/>
    <w:multiLevelType w:val="hybridMultilevel"/>
    <w:tmpl w:val="7BA62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EB0693"/>
    <w:multiLevelType w:val="hybridMultilevel"/>
    <w:tmpl w:val="BD26F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C07B1A"/>
    <w:multiLevelType w:val="hybridMultilevel"/>
    <w:tmpl w:val="BB763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427D41"/>
    <w:multiLevelType w:val="hybridMultilevel"/>
    <w:tmpl w:val="D57807CC"/>
    <w:lvl w:ilvl="0" w:tplc="0409000F">
      <w:start w:val="1"/>
      <w:numFmt w:val="decimal"/>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5">
    <w:nsid w:val="72C82597"/>
    <w:multiLevelType w:val="hybridMultilevel"/>
    <w:tmpl w:val="9D22A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8E4093D"/>
    <w:multiLevelType w:val="hybridMultilevel"/>
    <w:tmpl w:val="1C228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9E7AF3"/>
    <w:multiLevelType w:val="multilevel"/>
    <w:tmpl w:val="F886D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BB61A7"/>
    <w:multiLevelType w:val="hybridMultilevel"/>
    <w:tmpl w:val="41DE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6"/>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7"/>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25"/>
  </w:num>
  <w:num w:numId="10">
    <w:abstractNumId w:val="21"/>
  </w:num>
  <w:num w:numId="11">
    <w:abstractNumId w:val="3"/>
  </w:num>
  <w:num w:numId="12">
    <w:abstractNumId w:val="22"/>
  </w:num>
  <w:num w:numId="13">
    <w:abstractNumId w:val="23"/>
  </w:num>
  <w:num w:numId="14">
    <w:abstractNumId w:val="2"/>
  </w:num>
  <w:num w:numId="15">
    <w:abstractNumId w:val="10"/>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8"/>
  </w:num>
  <w:num w:numId="19">
    <w:abstractNumId w:val="24"/>
  </w:num>
  <w:num w:numId="20">
    <w:abstractNumId w:val="16"/>
  </w:num>
  <w:num w:numId="21">
    <w:abstractNumId w:val="28"/>
  </w:num>
  <w:num w:numId="22">
    <w:abstractNumId w:val="12"/>
  </w:num>
  <w:num w:numId="23">
    <w:abstractNumId w:val="26"/>
  </w:num>
  <w:num w:numId="24">
    <w:abstractNumId w:val="11"/>
  </w:num>
  <w:num w:numId="25">
    <w:abstractNumId w:val="9"/>
  </w:num>
  <w:num w:numId="26">
    <w:abstractNumId w:val="14"/>
  </w:num>
  <w:num w:numId="27">
    <w:abstractNumId w:val="18"/>
  </w:num>
  <w:num w:numId="28">
    <w:abstractNumId w:val="17"/>
  </w:num>
  <w:num w:numId="29">
    <w:abstractNumId w:val="7"/>
  </w:num>
  <w:num w:numId="30">
    <w:abstractNumId w:val="13"/>
  </w:num>
  <w:num w:numId="3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y Editor">
    <w15:presenceInfo w15:providerId="None" w15:userId="Copy 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revisionView w:markup="0"/>
  <w:defaultTabStop w:val="720"/>
  <w:drawingGridHorizontalSpacing w:val="80"/>
  <w:drawingGridVerticalSpacing w:val="109"/>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581"/>
    <w:rsid w:val="000037D0"/>
    <w:rsid w:val="00005756"/>
    <w:rsid w:val="00012853"/>
    <w:rsid w:val="000130D1"/>
    <w:rsid w:val="00014763"/>
    <w:rsid w:val="000155E8"/>
    <w:rsid w:val="00015F0B"/>
    <w:rsid w:val="000166F5"/>
    <w:rsid w:val="00030A92"/>
    <w:rsid w:val="00040AB3"/>
    <w:rsid w:val="00041D34"/>
    <w:rsid w:val="00042D2A"/>
    <w:rsid w:val="00045F42"/>
    <w:rsid w:val="0005280B"/>
    <w:rsid w:val="00054026"/>
    <w:rsid w:val="00056762"/>
    <w:rsid w:val="0006084A"/>
    <w:rsid w:val="0006208C"/>
    <w:rsid w:val="00063515"/>
    <w:rsid w:val="00065F15"/>
    <w:rsid w:val="000663CB"/>
    <w:rsid w:val="00071F3D"/>
    <w:rsid w:val="00090998"/>
    <w:rsid w:val="00093B13"/>
    <w:rsid w:val="00096B1E"/>
    <w:rsid w:val="000A279E"/>
    <w:rsid w:val="000A697A"/>
    <w:rsid w:val="000C41B5"/>
    <w:rsid w:val="000C5473"/>
    <w:rsid w:val="000C721A"/>
    <w:rsid w:val="000D31AC"/>
    <w:rsid w:val="000E03AB"/>
    <w:rsid w:val="000E668C"/>
    <w:rsid w:val="000F3F23"/>
    <w:rsid w:val="000F5AC3"/>
    <w:rsid w:val="0010150B"/>
    <w:rsid w:val="00103F85"/>
    <w:rsid w:val="00104680"/>
    <w:rsid w:val="0010781F"/>
    <w:rsid w:val="00113F23"/>
    <w:rsid w:val="001146A5"/>
    <w:rsid w:val="00117A18"/>
    <w:rsid w:val="00125471"/>
    <w:rsid w:val="001257EE"/>
    <w:rsid w:val="00141AF2"/>
    <w:rsid w:val="001432A3"/>
    <w:rsid w:val="001446D8"/>
    <w:rsid w:val="00144A9C"/>
    <w:rsid w:val="00146F88"/>
    <w:rsid w:val="00147497"/>
    <w:rsid w:val="00155720"/>
    <w:rsid w:val="00172882"/>
    <w:rsid w:val="001824D9"/>
    <w:rsid w:val="00184D42"/>
    <w:rsid w:val="00187547"/>
    <w:rsid w:val="00194FD3"/>
    <w:rsid w:val="001A569D"/>
    <w:rsid w:val="001A7955"/>
    <w:rsid w:val="001B1A88"/>
    <w:rsid w:val="001C256F"/>
    <w:rsid w:val="001C4860"/>
    <w:rsid w:val="001C68CC"/>
    <w:rsid w:val="001D58D8"/>
    <w:rsid w:val="001D5A0C"/>
    <w:rsid w:val="001D745D"/>
    <w:rsid w:val="001D77F4"/>
    <w:rsid w:val="001E2483"/>
    <w:rsid w:val="001E2972"/>
    <w:rsid w:val="001E345E"/>
    <w:rsid w:val="001E622E"/>
    <w:rsid w:val="001F0404"/>
    <w:rsid w:val="001F20E5"/>
    <w:rsid w:val="001F74F6"/>
    <w:rsid w:val="00200664"/>
    <w:rsid w:val="0020244B"/>
    <w:rsid w:val="00211FC6"/>
    <w:rsid w:val="00212E4A"/>
    <w:rsid w:val="002241F3"/>
    <w:rsid w:val="00226283"/>
    <w:rsid w:val="00231306"/>
    <w:rsid w:val="00247077"/>
    <w:rsid w:val="002532D0"/>
    <w:rsid w:val="00255A5D"/>
    <w:rsid w:val="002564DA"/>
    <w:rsid w:val="00261621"/>
    <w:rsid w:val="00267C12"/>
    <w:rsid w:val="00270D0F"/>
    <w:rsid w:val="00273D4E"/>
    <w:rsid w:val="002742E6"/>
    <w:rsid w:val="00277CAA"/>
    <w:rsid w:val="00294809"/>
    <w:rsid w:val="002A761A"/>
    <w:rsid w:val="002B089E"/>
    <w:rsid w:val="002C4ADB"/>
    <w:rsid w:val="002D6E4B"/>
    <w:rsid w:val="002E280D"/>
    <w:rsid w:val="002E69BE"/>
    <w:rsid w:val="002F1D78"/>
    <w:rsid w:val="002F3FBC"/>
    <w:rsid w:val="002F5B6A"/>
    <w:rsid w:val="002F5FCD"/>
    <w:rsid w:val="00300331"/>
    <w:rsid w:val="00311D22"/>
    <w:rsid w:val="00314066"/>
    <w:rsid w:val="00315F0E"/>
    <w:rsid w:val="0031698C"/>
    <w:rsid w:val="003256A6"/>
    <w:rsid w:val="00332855"/>
    <w:rsid w:val="00334D30"/>
    <w:rsid w:val="00337651"/>
    <w:rsid w:val="00341E4C"/>
    <w:rsid w:val="00341F9B"/>
    <w:rsid w:val="00343D4C"/>
    <w:rsid w:val="00346D40"/>
    <w:rsid w:val="00351DAE"/>
    <w:rsid w:val="003536E9"/>
    <w:rsid w:val="0035612D"/>
    <w:rsid w:val="0035725D"/>
    <w:rsid w:val="003606B3"/>
    <w:rsid w:val="00360C1E"/>
    <w:rsid w:val="003619F1"/>
    <w:rsid w:val="00373838"/>
    <w:rsid w:val="0037534B"/>
    <w:rsid w:val="00375AC7"/>
    <w:rsid w:val="00376D4E"/>
    <w:rsid w:val="00377A73"/>
    <w:rsid w:val="003902B9"/>
    <w:rsid w:val="0039272A"/>
    <w:rsid w:val="00393B70"/>
    <w:rsid w:val="00396BCA"/>
    <w:rsid w:val="00397F1D"/>
    <w:rsid w:val="003A15A0"/>
    <w:rsid w:val="003A7120"/>
    <w:rsid w:val="003B0730"/>
    <w:rsid w:val="003B2F3D"/>
    <w:rsid w:val="003B7105"/>
    <w:rsid w:val="003C2C45"/>
    <w:rsid w:val="003C50C6"/>
    <w:rsid w:val="003D3ABE"/>
    <w:rsid w:val="003D5BB6"/>
    <w:rsid w:val="003E1F9E"/>
    <w:rsid w:val="003E7F11"/>
    <w:rsid w:val="003F4386"/>
    <w:rsid w:val="004019B7"/>
    <w:rsid w:val="00411B73"/>
    <w:rsid w:val="00417F5C"/>
    <w:rsid w:val="00421453"/>
    <w:rsid w:val="0044224C"/>
    <w:rsid w:val="00453723"/>
    <w:rsid w:val="00453816"/>
    <w:rsid w:val="00461B0E"/>
    <w:rsid w:val="00464CBE"/>
    <w:rsid w:val="00467E2A"/>
    <w:rsid w:val="00476F72"/>
    <w:rsid w:val="00485FE1"/>
    <w:rsid w:val="004870C3"/>
    <w:rsid w:val="004A6635"/>
    <w:rsid w:val="004B1644"/>
    <w:rsid w:val="004B2781"/>
    <w:rsid w:val="004B4147"/>
    <w:rsid w:val="004B6441"/>
    <w:rsid w:val="004B7C6C"/>
    <w:rsid w:val="004C685A"/>
    <w:rsid w:val="004C7E74"/>
    <w:rsid w:val="004E1B3E"/>
    <w:rsid w:val="004E530D"/>
    <w:rsid w:val="004E74C0"/>
    <w:rsid w:val="004E77C4"/>
    <w:rsid w:val="004F0122"/>
    <w:rsid w:val="004F38E5"/>
    <w:rsid w:val="004F4484"/>
    <w:rsid w:val="005158FE"/>
    <w:rsid w:val="00517F1A"/>
    <w:rsid w:val="00526EED"/>
    <w:rsid w:val="00532F84"/>
    <w:rsid w:val="0053695B"/>
    <w:rsid w:val="00536F9B"/>
    <w:rsid w:val="005378A2"/>
    <w:rsid w:val="00540CCF"/>
    <w:rsid w:val="00544C20"/>
    <w:rsid w:val="00554D66"/>
    <w:rsid w:val="0055764A"/>
    <w:rsid w:val="0056000B"/>
    <w:rsid w:val="005660E9"/>
    <w:rsid w:val="005718A9"/>
    <w:rsid w:val="005718C3"/>
    <w:rsid w:val="00586252"/>
    <w:rsid w:val="00586571"/>
    <w:rsid w:val="00591725"/>
    <w:rsid w:val="005921C3"/>
    <w:rsid w:val="005926DA"/>
    <w:rsid w:val="005B0103"/>
    <w:rsid w:val="005C2382"/>
    <w:rsid w:val="005C57D7"/>
    <w:rsid w:val="005D297F"/>
    <w:rsid w:val="005D6D8C"/>
    <w:rsid w:val="005E1161"/>
    <w:rsid w:val="005E255B"/>
    <w:rsid w:val="005E4301"/>
    <w:rsid w:val="005F1993"/>
    <w:rsid w:val="005F2269"/>
    <w:rsid w:val="005F4D3F"/>
    <w:rsid w:val="005F6AC8"/>
    <w:rsid w:val="005F6CE2"/>
    <w:rsid w:val="00600FC4"/>
    <w:rsid w:val="006034D7"/>
    <w:rsid w:val="00605355"/>
    <w:rsid w:val="006074BB"/>
    <w:rsid w:val="006102F4"/>
    <w:rsid w:val="006149F2"/>
    <w:rsid w:val="00616FD0"/>
    <w:rsid w:val="006226C6"/>
    <w:rsid w:val="00627583"/>
    <w:rsid w:val="00627F7D"/>
    <w:rsid w:val="00630D64"/>
    <w:rsid w:val="00633D0E"/>
    <w:rsid w:val="006466D7"/>
    <w:rsid w:val="006560E0"/>
    <w:rsid w:val="006577E9"/>
    <w:rsid w:val="00657FA9"/>
    <w:rsid w:val="00663919"/>
    <w:rsid w:val="00667445"/>
    <w:rsid w:val="006717AA"/>
    <w:rsid w:val="00675439"/>
    <w:rsid w:val="00681138"/>
    <w:rsid w:val="00685C8D"/>
    <w:rsid w:val="00694239"/>
    <w:rsid w:val="006B1545"/>
    <w:rsid w:val="006B23FC"/>
    <w:rsid w:val="006B28BC"/>
    <w:rsid w:val="006B45D0"/>
    <w:rsid w:val="006C4A13"/>
    <w:rsid w:val="006C7B72"/>
    <w:rsid w:val="006C7EC1"/>
    <w:rsid w:val="006D13CD"/>
    <w:rsid w:val="006E1247"/>
    <w:rsid w:val="006F0025"/>
    <w:rsid w:val="006F72AD"/>
    <w:rsid w:val="006F7F3E"/>
    <w:rsid w:val="00713909"/>
    <w:rsid w:val="00714E7B"/>
    <w:rsid w:val="00721B36"/>
    <w:rsid w:val="007226AF"/>
    <w:rsid w:val="00723257"/>
    <w:rsid w:val="00726F77"/>
    <w:rsid w:val="0072721D"/>
    <w:rsid w:val="00736A9B"/>
    <w:rsid w:val="007414D8"/>
    <w:rsid w:val="00746901"/>
    <w:rsid w:val="007508F7"/>
    <w:rsid w:val="007626B8"/>
    <w:rsid w:val="0076294C"/>
    <w:rsid w:val="007638BF"/>
    <w:rsid w:val="00771007"/>
    <w:rsid w:val="0077265F"/>
    <w:rsid w:val="00773AE3"/>
    <w:rsid w:val="00776816"/>
    <w:rsid w:val="00785AC8"/>
    <w:rsid w:val="007908B7"/>
    <w:rsid w:val="007914DE"/>
    <w:rsid w:val="007956BD"/>
    <w:rsid w:val="0079630C"/>
    <w:rsid w:val="007A03A0"/>
    <w:rsid w:val="007B4885"/>
    <w:rsid w:val="007C13DC"/>
    <w:rsid w:val="007C675D"/>
    <w:rsid w:val="007C77AA"/>
    <w:rsid w:val="007C7C7C"/>
    <w:rsid w:val="007C7D72"/>
    <w:rsid w:val="007D5827"/>
    <w:rsid w:val="007E2565"/>
    <w:rsid w:val="007F34B4"/>
    <w:rsid w:val="007F634F"/>
    <w:rsid w:val="00800A0A"/>
    <w:rsid w:val="0080349F"/>
    <w:rsid w:val="00803687"/>
    <w:rsid w:val="008052A3"/>
    <w:rsid w:val="0081001F"/>
    <w:rsid w:val="00817AD7"/>
    <w:rsid w:val="0082069A"/>
    <w:rsid w:val="00822C04"/>
    <w:rsid w:val="00827418"/>
    <w:rsid w:val="0083063B"/>
    <w:rsid w:val="008308CB"/>
    <w:rsid w:val="008362F4"/>
    <w:rsid w:val="00840509"/>
    <w:rsid w:val="008477BE"/>
    <w:rsid w:val="008615C4"/>
    <w:rsid w:val="0086304F"/>
    <w:rsid w:val="008655CD"/>
    <w:rsid w:val="00866B99"/>
    <w:rsid w:val="00884649"/>
    <w:rsid w:val="00897617"/>
    <w:rsid w:val="008A43F2"/>
    <w:rsid w:val="008A5DF8"/>
    <w:rsid w:val="008C4542"/>
    <w:rsid w:val="008C712B"/>
    <w:rsid w:val="008D0598"/>
    <w:rsid w:val="008D3E7A"/>
    <w:rsid w:val="008D5BAD"/>
    <w:rsid w:val="008E0604"/>
    <w:rsid w:val="008E2D74"/>
    <w:rsid w:val="008E3D24"/>
    <w:rsid w:val="008E4B3D"/>
    <w:rsid w:val="008F2B0B"/>
    <w:rsid w:val="00902D54"/>
    <w:rsid w:val="00914A8A"/>
    <w:rsid w:val="00923103"/>
    <w:rsid w:val="009312C4"/>
    <w:rsid w:val="0093597C"/>
    <w:rsid w:val="00941ACE"/>
    <w:rsid w:val="00942EFA"/>
    <w:rsid w:val="00951D03"/>
    <w:rsid w:val="00952D8A"/>
    <w:rsid w:val="009536DD"/>
    <w:rsid w:val="00956886"/>
    <w:rsid w:val="009629D1"/>
    <w:rsid w:val="00967C19"/>
    <w:rsid w:val="0097001D"/>
    <w:rsid w:val="009704FD"/>
    <w:rsid w:val="00976EE7"/>
    <w:rsid w:val="00987818"/>
    <w:rsid w:val="00997C14"/>
    <w:rsid w:val="009A4AD6"/>
    <w:rsid w:val="009A65A0"/>
    <w:rsid w:val="009C3F26"/>
    <w:rsid w:val="009D2536"/>
    <w:rsid w:val="009D30FA"/>
    <w:rsid w:val="009D6B8F"/>
    <w:rsid w:val="009E2006"/>
    <w:rsid w:val="009F0EFE"/>
    <w:rsid w:val="009F1035"/>
    <w:rsid w:val="009F2234"/>
    <w:rsid w:val="009F5809"/>
    <w:rsid w:val="00A05A38"/>
    <w:rsid w:val="00A12F7D"/>
    <w:rsid w:val="00A21DC4"/>
    <w:rsid w:val="00A34FC3"/>
    <w:rsid w:val="00A36D84"/>
    <w:rsid w:val="00A403E9"/>
    <w:rsid w:val="00A44B63"/>
    <w:rsid w:val="00A44CEB"/>
    <w:rsid w:val="00A50245"/>
    <w:rsid w:val="00A51D54"/>
    <w:rsid w:val="00A549AB"/>
    <w:rsid w:val="00A55E0C"/>
    <w:rsid w:val="00A56BB2"/>
    <w:rsid w:val="00A6352B"/>
    <w:rsid w:val="00A67099"/>
    <w:rsid w:val="00A671B6"/>
    <w:rsid w:val="00A76DDD"/>
    <w:rsid w:val="00A84C0E"/>
    <w:rsid w:val="00A94DC8"/>
    <w:rsid w:val="00A953DD"/>
    <w:rsid w:val="00A9585D"/>
    <w:rsid w:val="00AA3E90"/>
    <w:rsid w:val="00AA6A57"/>
    <w:rsid w:val="00AB0F84"/>
    <w:rsid w:val="00AB2DCF"/>
    <w:rsid w:val="00AB5E46"/>
    <w:rsid w:val="00AB7412"/>
    <w:rsid w:val="00AC0F82"/>
    <w:rsid w:val="00AC60D1"/>
    <w:rsid w:val="00AD32EA"/>
    <w:rsid w:val="00AD5E20"/>
    <w:rsid w:val="00AE1425"/>
    <w:rsid w:val="00AE2B47"/>
    <w:rsid w:val="00AE33B8"/>
    <w:rsid w:val="00AE38EE"/>
    <w:rsid w:val="00AE7C27"/>
    <w:rsid w:val="00AF0B9D"/>
    <w:rsid w:val="00B06E74"/>
    <w:rsid w:val="00B11B6F"/>
    <w:rsid w:val="00B14799"/>
    <w:rsid w:val="00B15106"/>
    <w:rsid w:val="00B15861"/>
    <w:rsid w:val="00B2325B"/>
    <w:rsid w:val="00B24F06"/>
    <w:rsid w:val="00B305F9"/>
    <w:rsid w:val="00B347E4"/>
    <w:rsid w:val="00B448AB"/>
    <w:rsid w:val="00B51719"/>
    <w:rsid w:val="00B554D2"/>
    <w:rsid w:val="00B55BBA"/>
    <w:rsid w:val="00B57B5E"/>
    <w:rsid w:val="00B6090B"/>
    <w:rsid w:val="00B66B60"/>
    <w:rsid w:val="00B76B82"/>
    <w:rsid w:val="00B803FC"/>
    <w:rsid w:val="00B80971"/>
    <w:rsid w:val="00B826C0"/>
    <w:rsid w:val="00B86CCB"/>
    <w:rsid w:val="00B90848"/>
    <w:rsid w:val="00B91754"/>
    <w:rsid w:val="00B954EF"/>
    <w:rsid w:val="00BA3246"/>
    <w:rsid w:val="00BA3E33"/>
    <w:rsid w:val="00BA6FBA"/>
    <w:rsid w:val="00BB01DD"/>
    <w:rsid w:val="00BB04D8"/>
    <w:rsid w:val="00BC004D"/>
    <w:rsid w:val="00BC1E4F"/>
    <w:rsid w:val="00BC5BB5"/>
    <w:rsid w:val="00BC64AB"/>
    <w:rsid w:val="00BD2EC1"/>
    <w:rsid w:val="00BD3EE9"/>
    <w:rsid w:val="00BE0984"/>
    <w:rsid w:val="00BE0BDC"/>
    <w:rsid w:val="00BE398F"/>
    <w:rsid w:val="00BE7C66"/>
    <w:rsid w:val="00BF434C"/>
    <w:rsid w:val="00BF49EF"/>
    <w:rsid w:val="00C07F42"/>
    <w:rsid w:val="00C12536"/>
    <w:rsid w:val="00C24151"/>
    <w:rsid w:val="00C30F3D"/>
    <w:rsid w:val="00C4346F"/>
    <w:rsid w:val="00C449AC"/>
    <w:rsid w:val="00C53B62"/>
    <w:rsid w:val="00C5571B"/>
    <w:rsid w:val="00C60F20"/>
    <w:rsid w:val="00C63A49"/>
    <w:rsid w:val="00C70F5A"/>
    <w:rsid w:val="00C849B8"/>
    <w:rsid w:val="00C87D79"/>
    <w:rsid w:val="00C90E9A"/>
    <w:rsid w:val="00C91641"/>
    <w:rsid w:val="00CB08F7"/>
    <w:rsid w:val="00CB2087"/>
    <w:rsid w:val="00CB2A7B"/>
    <w:rsid w:val="00CB7F8B"/>
    <w:rsid w:val="00CD258B"/>
    <w:rsid w:val="00CD3AB1"/>
    <w:rsid w:val="00CD4988"/>
    <w:rsid w:val="00CD5422"/>
    <w:rsid w:val="00CD5E90"/>
    <w:rsid w:val="00CD622F"/>
    <w:rsid w:val="00CE15AE"/>
    <w:rsid w:val="00CE712E"/>
    <w:rsid w:val="00CF44F7"/>
    <w:rsid w:val="00CF4A65"/>
    <w:rsid w:val="00D00064"/>
    <w:rsid w:val="00D0013D"/>
    <w:rsid w:val="00D00F60"/>
    <w:rsid w:val="00D01B46"/>
    <w:rsid w:val="00D0224C"/>
    <w:rsid w:val="00D06F47"/>
    <w:rsid w:val="00D12D97"/>
    <w:rsid w:val="00D17920"/>
    <w:rsid w:val="00D20571"/>
    <w:rsid w:val="00D23F45"/>
    <w:rsid w:val="00D31672"/>
    <w:rsid w:val="00D34186"/>
    <w:rsid w:val="00D448E1"/>
    <w:rsid w:val="00D44E36"/>
    <w:rsid w:val="00D4574C"/>
    <w:rsid w:val="00D60973"/>
    <w:rsid w:val="00D636DB"/>
    <w:rsid w:val="00D76D80"/>
    <w:rsid w:val="00D80B8E"/>
    <w:rsid w:val="00D80E1E"/>
    <w:rsid w:val="00D8475B"/>
    <w:rsid w:val="00D975E7"/>
    <w:rsid w:val="00D97ECB"/>
    <w:rsid w:val="00DA17C7"/>
    <w:rsid w:val="00DA1860"/>
    <w:rsid w:val="00DA5084"/>
    <w:rsid w:val="00DA6314"/>
    <w:rsid w:val="00DA739B"/>
    <w:rsid w:val="00DB00D9"/>
    <w:rsid w:val="00DB1126"/>
    <w:rsid w:val="00DB42E7"/>
    <w:rsid w:val="00DB46C3"/>
    <w:rsid w:val="00DB50A2"/>
    <w:rsid w:val="00DB553D"/>
    <w:rsid w:val="00DC50F5"/>
    <w:rsid w:val="00DC7F95"/>
    <w:rsid w:val="00DD04FD"/>
    <w:rsid w:val="00DD1020"/>
    <w:rsid w:val="00DD1F73"/>
    <w:rsid w:val="00DD69C1"/>
    <w:rsid w:val="00DE2727"/>
    <w:rsid w:val="00DE428B"/>
    <w:rsid w:val="00DE5BB4"/>
    <w:rsid w:val="00DF24C0"/>
    <w:rsid w:val="00DF5D23"/>
    <w:rsid w:val="00E00E23"/>
    <w:rsid w:val="00E023A7"/>
    <w:rsid w:val="00E03088"/>
    <w:rsid w:val="00E03321"/>
    <w:rsid w:val="00E03522"/>
    <w:rsid w:val="00E0400B"/>
    <w:rsid w:val="00E10762"/>
    <w:rsid w:val="00E33680"/>
    <w:rsid w:val="00E377FE"/>
    <w:rsid w:val="00E429E7"/>
    <w:rsid w:val="00E4366B"/>
    <w:rsid w:val="00E43CCB"/>
    <w:rsid w:val="00E44F0B"/>
    <w:rsid w:val="00E457E7"/>
    <w:rsid w:val="00E46F87"/>
    <w:rsid w:val="00E50650"/>
    <w:rsid w:val="00E53468"/>
    <w:rsid w:val="00E76581"/>
    <w:rsid w:val="00E773C4"/>
    <w:rsid w:val="00E830A5"/>
    <w:rsid w:val="00E83CD0"/>
    <w:rsid w:val="00E85FF7"/>
    <w:rsid w:val="00EB2B80"/>
    <w:rsid w:val="00EB4518"/>
    <w:rsid w:val="00EB54CD"/>
    <w:rsid w:val="00EB6293"/>
    <w:rsid w:val="00EB6674"/>
    <w:rsid w:val="00EB7532"/>
    <w:rsid w:val="00EC5A7D"/>
    <w:rsid w:val="00EC6C15"/>
    <w:rsid w:val="00EF1C04"/>
    <w:rsid w:val="00EF7919"/>
    <w:rsid w:val="00F04017"/>
    <w:rsid w:val="00F0429B"/>
    <w:rsid w:val="00F06079"/>
    <w:rsid w:val="00F1742E"/>
    <w:rsid w:val="00F208D8"/>
    <w:rsid w:val="00F21600"/>
    <w:rsid w:val="00F440C1"/>
    <w:rsid w:val="00F47EE2"/>
    <w:rsid w:val="00F51BB5"/>
    <w:rsid w:val="00F51DF1"/>
    <w:rsid w:val="00F535E7"/>
    <w:rsid w:val="00F55CEF"/>
    <w:rsid w:val="00F562CC"/>
    <w:rsid w:val="00F57124"/>
    <w:rsid w:val="00F5773D"/>
    <w:rsid w:val="00F617E4"/>
    <w:rsid w:val="00F65565"/>
    <w:rsid w:val="00F65964"/>
    <w:rsid w:val="00F67274"/>
    <w:rsid w:val="00F7135C"/>
    <w:rsid w:val="00F80D9C"/>
    <w:rsid w:val="00F83367"/>
    <w:rsid w:val="00F877B8"/>
    <w:rsid w:val="00F909F2"/>
    <w:rsid w:val="00F949F2"/>
    <w:rsid w:val="00FA0739"/>
    <w:rsid w:val="00FA1426"/>
    <w:rsid w:val="00FA31E7"/>
    <w:rsid w:val="00FA4C44"/>
    <w:rsid w:val="00FA4FD2"/>
    <w:rsid w:val="00FA5593"/>
    <w:rsid w:val="00FB0360"/>
    <w:rsid w:val="00FB6812"/>
    <w:rsid w:val="00FC0388"/>
    <w:rsid w:val="00FD0F26"/>
    <w:rsid w:val="00FD1E78"/>
    <w:rsid w:val="00FD20BF"/>
    <w:rsid w:val="00FF0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C94D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F87"/>
    <w:pPr>
      <w:ind w:left="360"/>
    </w:pPr>
    <w:rPr>
      <w:rFonts w:ascii="Arial" w:hAnsi="Arial"/>
      <w:szCs w:val="22"/>
      <w:lang w:bidi="en-US"/>
    </w:rPr>
  </w:style>
  <w:style w:type="paragraph" w:styleId="Heading1">
    <w:name w:val="heading 1"/>
    <w:basedOn w:val="Heading2"/>
    <w:next w:val="Normal"/>
    <w:link w:val="Heading1Char"/>
    <w:uiPriority w:val="9"/>
    <w:qFormat/>
    <w:rsid w:val="008615C4"/>
    <w:pPr>
      <w:spacing w:before="0"/>
      <w:outlineLvl w:val="0"/>
    </w:pPr>
    <w:rPr>
      <w:rFonts w:ascii="Arial" w:eastAsia="Calibri" w:hAnsi="Arial"/>
      <w:bCs w:val="0"/>
      <w:sz w:val="28"/>
      <w:szCs w:val="28"/>
    </w:rPr>
  </w:style>
  <w:style w:type="paragraph" w:styleId="Heading2">
    <w:name w:val="heading 2"/>
    <w:basedOn w:val="Normal"/>
    <w:next w:val="Normal"/>
    <w:link w:val="Heading2Char"/>
    <w:uiPriority w:val="9"/>
    <w:qFormat/>
    <w:rsid w:val="002F5B6A"/>
    <w:pPr>
      <w:spacing w:before="200"/>
      <w:outlineLvl w:val="1"/>
    </w:pPr>
    <w:rPr>
      <w:rFonts w:ascii="Cambria" w:eastAsia="Times New Roman" w:hAnsi="Cambria"/>
      <w:b/>
      <w:bCs/>
      <w:sz w:val="26"/>
      <w:szCs w:val="26"/>
      <w:lang w:val="x-none" w:eastAsia="x-none" w:bidi="ar-SA"/>
    </w:rPr>
  </w:style>
  <w:style w:type="paragraph" w:styleId="Heading3">
    <w:name w:val="heading 3"/>
    <w:basedOn w:val="Normal"/>
    <w:next w:val="Normal"/>
    <w:link w:val="Heading3Char"/>
    <w:uiPriority w:val="9"/>
    <w:qFormat/>
    <w:rsid w:val="002F5B6A"/>
    <w:pPr>
      <w:spacing w:before="200" w:line="271" w:lineRule="auto"/>
      <w:outlineLvl w:val="2"/>
    </w:pPr>
    <w:rPr>
      <w:rFonts w:ascii="Cambria" w:eastAsia="Times New Roman" w:hAnsi="Cambria"/>
      <w:b/>
      <w:bCs/>
      <w:szCs w:val="20"/>
      <w:lang w:val="x-none" w:eastAsia="x-none" w:bidi="ar-SA"/>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szCs w:val="20"/>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szCs w:val="20"/>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szCs w:val="20"/>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szCs w:val="20"/>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szCs w:val="20"/>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15C4"/>
    <w:rPr>
      <w:rFonts w:ascii="Arial" w:hAnsi="Arial"/>
      <w:b/>
      <w:sz w:val="28"/>
      <w:szCs w:val="28"/>
    </w:rPr>
  </w:style>
  <w:style w:type="character" w:customStyle="1" w:styleId="Heading2Char">
    <w:name w:val="Heading 2 Char"/>
    <w:link w:val="Heading2"/>
    <w:uiPriority w:val="9"/>
    <w:semiHidden/>
    <w:rsid w:val="002F5B6A"/>
    <w:rPr>
      <w:rFonts w:ascii="Cambria" w:eastAsia="Times New Roman" w:hAnsi="Cambria" w:cs="Times New Roman"/>
      <w:b/>
      <w:bCs/>
      <w:sz w:val="26"/>
      <w:szCs w:val="26"/>
    </w:rPr>
  </w:style>
  <w:style w:type="character" w:customStyle="1" w:styleId="Heading3Char">
    <w:name w:val="Heading 3 Char"/>
    <w:link w:val="Heading3"/>
    <w:uiPriority w:val="9"/>
    <w:rsid w:val="002F5B6A"/>
    <w:rPr>
      <w:rFonts w:ascii="Cambria" w:eastAsia="Times New Roman" w:hAnsi="Cambria" w:cs="Times New Roman"/>
      <w:b/>
      <w:bC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Shading1-Accent11">
    <w:name w:val="Medium Shading 1 - Accent 11"/>
    <w:aliases w:val="Bob Comments"/>
    <w:basedOn w:val="Normal"/>
    <w:link w:val="MediumShading1-Accent1Char"/>
    <w:uiPriority w:val="1"/>
    <w:qFormat/>
    <w:rsid w:val="002F5B6A"/>
    <w:rPr>
      <w:lang w:val="x-none" w:eastAsia="x-none"/>
    </w:rPr>
  </w:style>
  <w:style w:type="paragraph" w:customStyle="1" w:styleId="MediumGrid1-Accent21">
    <w:name w:val="Medium Grid 1 - Accent 21"/>
    <w:basedOn w:val="Normal"/>
    <w:uiPriority w:val="34"/>
    <w:qFormat/>
    <w:rsid w:val="002F5B6A"/>
    <w:pPr>
      <w:contextualSpacing/>
    </w:pPr>
  </w:style>
  <w:style w:type="paragraph" w:customStyle="1" w:styleId="MediumGrid2-Accent21">
    <w:name w:val="Medium Grid 2 - Accent 21"/>
    <w:basedOn w:val="Normal"/>
    <w:next w:val="Normal"/>
    <w:link w:val="MediumGrid2-Accent2Char"/>
    <w:uiPriority w:val="29"/>
    <w:qFormat/>
    <w:rsid w:val="002F5B6A"/>
    <w:pPr>
      <w:spacing w:before="200"/>
      <w:ind w:right="360"/>
    </w:pPr>
    <w:rPr>
      <w:rFonts w:ascii="Calibri" w:hAnsi="Calibri"/>
      <w:i/>
      <w:iCs/>
      <w:szCs w:val="20"/>
      <w:lang w:val="x-none" w:eastAsia="x-none" w:bidi="ar-SA"/>
    </w:rPr>
  </w:style>
  <w:style w:type="character" w:customStyle="1" w:styleId="MediumGrid2-Accent2Char">
    <w:name w:val="Medium Grid 2 - Accent 2 Char"/>
    <w:link w:val="MediumGrid2-Accent21"/>
    <w:uiPriority w:val="29"/>
    <w:rsid w:val="002F5B6A"/>
    <w:rPr>
      <w:i/>
      <w:iCs/>
    </w:rPr>
  </w:style>
  <w:style w:type="paragraph" w:customStyle="1" w:styleId="MediumGrid3-Accent21">
    <w:name w:val="Medium Grid 3 - Accent 21"/>
    <w:basedOn w:val="Normal"/>
    <w:next w:val="Normal"/>
    <w:link w:val="MediumGrid3-Accent2Char"/>
    <w:uiPriority w:val="30"/>
    <w:qFormat/>
    <w:rsid w:val="002F5B6A"/>
    <w:pPr>
      <w:pBdr>
        <w:bottom w:val="single" w:sz="4" w:space="1" w:color="auto"/>
      </w:pBdr>
      <w:spacing w:before="200" w:after="280"/>
      <w:ind w:left="1008" w:right="1152"/>
    </w:pPr>
    <w:rPr>
      <w:rFonts w:ascii="Calibri" w:hAnsi="Calibri"/>
      <w:b/>
      <w:bCs/>
      <w:i/>
      <w:iCs/>
      <w:szCs w:val="20"/>
      <w:lang w:val="x-none" w:eastAsia="x-none" w:bidi="ar-SA"/>
    </w:rPr>
  </w:style>
  <w:style w:type="character" w:customStyle="1" w:styleId="MediumGrid3-Accent2Char">
    <w:name w:val="Medium Grid 3 - Accent 2 Char"/>
    <w:link w:val="MediumGrid3-Accent21"/>
    <w:uiPriority w:val="30"/>
    <w:rsid w:val="002F5B6A"/>
    <w:rPr>
      <w:b/>
      <w:bCs/>
      <w:i/>
      <w:iCs/>
    </w:rPr>
  </w:style>
  <w:style w:type="character" w:customStyle="1" w:styleId="PlainTable31">
    <w:name w:val="Plain Table 31"/>
    <w:uiPriority w:val="19"/>
    <w:qFormat/>
    <w:rsid w:val="002F5B6A"/>
    <w:rPr>
      <w:i/>
      <w:iCs/>
    </w:rPr>
  </w:style>
  <w:style w:type="character" w:customStyle="1" w:styleId="PlainTable41">
    <w:name w:val="Plain Table 41"/>
    <w:uiPriority w:val="21"/>
    <w:qFormat/>
    <w:rsid w:val="002F5B6A"/>
    <w:rPr>
      <w:b/>
      <w:bCs/>
    </w:rPr>
  </w:style>
  <w:style w:type="character" w:customStyle="1" w:styleId="PlainTable51">
    <w:name w:val="Plain Table 51"/>
    <w:uiPriority w:val="31"/>
    <w:qFormat/>
    <w:rsid w:val="002F5B6A"/>
    <w:rPr>
      <w:smallCaps/>
    </w:rPr>
  </w:style>
  <w:style w:type="character" w:customStyle="1" w:styleId="TableGridLight1">
    <w:name w:val="Table Grid Light1"/>
    <w:uiPriority w:val="32"/>
    <w:qFormat/>
    <w:rsid w:val="002F5B6A"/>
    <w:rPr>
      <w:smallCaps/>
      <w:spacing w:val="5"/>
      <w:u w:val="single"/>
    </w:rPr>
  </w:style>
  <w:style w:type="character" w:customStyle="1" w:styleId="GridTable1Light1">
    <w:name w:val="Grid Table 1 Light1"/>
    <w:uiPriority w:val="33"/>
    <w:qFormat/>
    <w:rsid w:val="002F5B6A"/>
    <w:rPr>
      <w:i/>
      <w:iCs/>
      <w:smallCaps/>
      <w:spacing w:val="5"/>
    </w:rPr>
  </w:style>
  <w:style w:type="paragraph" w:customStyle="1" w:styleId="GridTable31">
    <w:name w:val="Grid Table 3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Shading1-Accent1Char">
    <w:name w:val="Medium Shading 1 - Accent 1 Char"/>
    <w:aliases w:val="Bob Comments Char,No Spacing Char"/>
    <w:link w:val="MediumShading1-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rPr>
      <w:szCs w:val="20"/>
      <w:lang w:val="x-none" w:eastAsia="x-none"/>
    </w:rPr>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character" w:styleId="FollowedHyperlink">
    <w:name w:val="FollowedHyperlink"/>
    <w:uiPriority w:val="99"/>
    <w:semiHidden/>
    <w:unhideWhenUsed/>
    <w:rsid w:val="00BD3EE9"/>
    <w:rPr>
      <w:color w:val="954F72"/>
      <w:u w:val="single"/>
    </w:rPr>
  </w:style>
  <w:style w:type="paragraph" w:customStyle="1" w:styleId="MediumGrid21">
    <w:name w:val="Medium Grid 21"/>
    <w:basedOn w:val="Normal"/>
    <w:uiPriority w:val="1"/>
    <w:qFormat/>
    <w:rsid w:val="00A6352B"/>
    <w:pPr>
      <w:ind w:left="0"/>
    </w:pPr>
    <w:rPr>
      <w:lang w:val="x-none" w:eastAsia="x-none"/>
    </w:rPr>
  </w:style>
  <w:style w:type="paragraph" w:customStyle="1" w:styleId="MediumGrid1-Accent22">
    <w:name w:val="Medium Grid 1 - Accent 22"/>
    <w:basedOn w:val="Normal"/>
    <w:uiPriority w:val="34"/>
    <w:qFormat/>
    <w:rsid w:val="00A6352B"/>
    <w:pPr>
      <w:ind w:left="0"/>
      <w:contextualSpacing/>
    </w:pPr>
    <w:rPr>
      <w:szCs w:val="20"/>
    </w:rPr>
  </w:style>
  <w:style w:type="paragraph" w:styleId="ListParagraph">
    <w:name w:val="List Paragraph"/>
    <w:basedOn w:val="Normal"/>
    <w:uiPriority w:val="34"/>
    <w:qFormat/>
    <w:rsid w:val="0035612D"/>
    <w:pPr>
      <w:numPr>
        <w:numId w:val="20"/>
      </w:numPr>
    </w:pPr>
    <w:rPr>
      <w:rFonts w:cs="Arial"/>
      <w:szCs w:val="20"/>
      <w:lang w:bidi="ar-SA"/>
    </w:rPr>
  </w:style>
  <w:style w:type="paragraph" w:styleId="NormalWeb">
    <w:name w:val="Normal (Web)"/>
    <w:basedOn w:val="Normal"/>
    <w:uiPriority w:val="99"/>
    <w:unhideWhenUsed/>
    <w:rsid w:val="0082069A"/>
    <w:pPr>
      <w:spacing w:before="100" w:beforeAutospacing="1" w:after="100" w:afterAutospacing="1"/>
      <w:ind w:left="0"/>
    </w:pPr>
    <w:rPr>
      <w:rFonts w:ascii="Times New Roman" w:eastAsia="Times New Roman" w:hAnsi="Times New Roman"/>
      <w:sz w:val="24"/>
      <w:szCs w:val="24"/>
      <w:lang w:bidi="ar-SA"/>
    </w:rPr>
  </w:style>
  <w:style w:type="paragraph" w:styleId="PlainText">
    <w:name w:val="Plain Text"/>
    <w:basedOn w:val="Normal"/>
    <w:link w:val="PlainTextChar"/>
    <w:uiPriority w:val="99"/>
    <w:unhideWhenUsed/>
    <w:rsid w:val="000663CB"/>
    <w:pPr>
      <w:ind w:left="0"/>
    </w:pPr>
    <w:rPr>
      <w:rFonts w:ascii="Calibri" w:hAnsi="Calibri"/>
      <w:sz w:val="22"/>
      <w:lang w:bidi="ar-SA"/>
    </w:rPr>
  </w:style>
  <w:style w:type="character" w:customStyle="1" w:styleId="PlainTextChar">
    <w:name w:val="Plain Text Char"/>
    <w:link w:val="PlainText"/>
    <w:uiPriority w:val="99"/>
    <w:rsid w:val="000663CB"/>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F87"/>
    <w:pPr>
      <w:ind w:left="360"/>
    </w:pPr>
    <w:rPr>
      <w:rFonts w:ascii="Arial" w:hAnsi="Arial"/>
      <w:szCs w:val="22"/>
      <w:lang w:bidi="en-US"/>
    </w:rPr>
  </w:style>
  <w:style w:type="paragraph" w:styleId="Heading1">
    <w:name w:val="heading 1"/>
    <w:basedOn w:val="Heading2"/>
    <w:next w:val="Normal"/>
    <w:link w:val="Heading1Char"/>
    <w:uiPriority w:val="9"/>
    <w:qFormat/>
    <w:rsid w:val="008615C4"/>
    <w:pPr>
      <w:spacing w:before="0"/>
      <w:outlineLvl w:val="0"/>
    </w:pPr>
    <w:rPr>
      <w:rFonts w:ascii="Arial" w:eastAsia="Calibri" w:hAnsi="Arial"/>
      <w:bCs w:val="0"/>
      <w:sz w:val="28"/>
      <w:szCs w:val="28"/>
    </w:rPr>
  </w:style>
  <w:style w:type="paragraph" w:styleId="Heading2">
    <w:name w:val="heading 2"/>
    <w:basedOn w:val="Normal"/>
    <w:next w:val="Normal"/>
    <w:link w:val="Heading2Char"/>
    <w:uiPriority w:val="9"/>
    <w:qFormat/>
    <w:rsid w:val="002F5B6A"/>
    <w:pPr>
      <w:spacing w:before="200"/>
      <w:outlineLvl w:val="1"/>
    </w:pPr>
    <w:rPr>
      <w:rFonts w:ascii="Cambria" w:eastAsia="Times New Roman" w:hAnsi="Cambria"/>
      <w:b/>
      <w:bCs/>
      <w:sz w:val="26"/>
      <w:szCs w:val="26"/>
      <w:lang w:val="x-none" w:eastAsia="x-none" w:bidi="ar-SA"/>
    </w:rPr>
  </w:style>
  <w:style w:type="paragraph" w:styleId="Heading3">
    <w:name w:val="heading 3"/>
    <w:basedOn w:val="Normal"/>
    <w:next w:val="Normal"/>
    <w:link w:val="Heading3Char"/>
    <w:uiPriority w:val="9"/>
    <w:qFormat/>
    <w:rsid w:val="002F5B6A"/>
    <w:pPr>
      <w:spacing w:before="200" w:line="271" w:lineRule="auto"/>
      <w:outlineLvl w:val="2"/>
    </w:pPr>
    <w:rPr>
      <w:rFonts w:ascii="Cambria" w:eastAsia="Times New Roman" w:hAnsi="Cambria"/>
      <w:b/>
      <w:bCs/>
      <w:szCs w:val="20"/>
      <w:lang w:val="x-none" w:eastAsia="x-none" w:bidi="ar-SA"/>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szCs w:val="20"/>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szCs w:val="20"/>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szCs w:val="20"/>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szCs w:val="20"/>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szCs w:val="20"/>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15C4"/>
    <w:rPr>
      <w:rFonts w:ascii="Arial" w:hAnsi="Arial"/>
      <w:b/>
      <w:sz w:val="28"/>
      <w:szCs w:val="28"/>
    </w:rPr>
  </w:style>
  <w:style w:type="character" w:customStyle="1" w:styleId="Heading2Char">
    <w:name w:val="Heading 2 Char"/>
    <w:link w:val="Heading2"/>
    <w:uiPriority w:val="9"/>
    <w:semiHidden/>
    <w:rsid w:val="002F5B6A"/>
    <w:rPr>
      <w:rFonts w:ascii="Cambria" w:eastAsia="Times New Roman" w:hAnsi="Cambria" w:cs="Times New Roman"/>
      <w:b/>
      <w:bCs/>
      <w:sz w:val="26"/>
      <w:szCs w:val="26"/>
    </w:rPr>
  </w:style>
  <w:style w:type="character" w:customStyle="1" w:styleId="Heading3Char">
    <w:name w:val="Heading 3 Char"/>
    <w:link w:val="Heading3"/>
    <w:uiPriority w:val="9"/>
    <w:rsid w:val="002F5B6A"/>
    <w:rPr>
      <w:rFonts w:ascii="Cambria" w:eastAsia="Times New Roman" w:hAnsi="Cambria" w:cs="Times New Roman"/>
      <w:b/>
      <w:bC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Shading1-Accent11">
    <w:name w:val="Medium Shading 1 - Accent 11"/>
    <w:aliases w:val="Bob Comments"/>
    <w:basedOn w:val="Normal"/>
    <w:link w:val="MediumShading1-Accent1Char"/>
    <w:uiPriority w:val="1"/>
    <w:qFormat/>
    <w:rsid w:val="002F5B6A"/>
    <w:rPr>
      <w:lang w:val="x-none" w:eastAsia="x-none"/>
    </w:rPr>
  </w:style>
  <w:style w:type="paragraph" w:customStyle="1" w:styleId="MediumGrid1-Accent21">
    <w:name w:val="Medium Grid 1 - Accent 21"/>
    <w:basedOn w:val="Normal"/>
    <w:uiPriority w:val="34"/>
    <w:qFormat/>
    <w:rsid w:val="002F5B6A"/>
    <w:pPr>
      <w:contextualSpacing/>
    </w:pPr>
  </w:style>
  <w:style w:type="paragraph" w:customStyle="1" w:styleId="MediumGrid2-Accent21">
    <w:name w:val="Medium Grid 2 - Accent 21"/>
    <w:basedOn w:val="Normal"/>
    <w:next w:val="Normal"/>
    <w:link w:val="MediumGrid2-Accent2Char"/>
    <w:uiPriority w:val="29"/>
    <w:qFormat/>
    <w:rsid w:val="002F5B6A"/>
    <w:pPr>
      <w:spacing w:before="200"/>
      <w:ind w:right="360"/>
    </w:pPr>
    <w:rPr>
      <w:rFonts w:ascii="Calibri" w:hAnsi="Calibri"/>
      <w:i/>
      <w:iCs/>
      <w:szCs w:val="20"/>
      <w:lang w:val="x-none" w:eastAsia="x-none" w:bidi="ar-SA"/>
    </w:rPr>
  </w:style>
  <w:style w:type="character" w:customStyle="1" w:styleId="MediumGrid2-Accent2Char">
    <w:name w:val="Medium Grid 2 - Accent 2 Char"/>
    <w:link w:val="MediumGrid2-Accent21"/>
    <w:uiPriority w:val="29"/>
    <w:rsid w:val="002F5B6A"/>
    <w:rPr>
      <w:i/>
      <w:iCs/>
    </w:rPr>
  </w:style>
  <w:style w:type="paragraph" w:customStyle="1" w:styleId="MediumGrid3-Accent21">
    <w:name w:val="Medium Grid 3 - Accent 21"/>
    <w:basedOn w:val="Normal"/>
    <w:next w:val="Normal"/>
    <w:link w:val="MediumGrid3-Accent2Char"/>
    <w:uiPriority w:val="30"/>
    <w:qFormat/>
    <w:rsid w:val="002F5B6A"/>
    <w:pPr>
      <w:pBdr>
        <w:bottom w:val="single" w:sz="4" w:space="1" w:color="auto"/>
      </w:pBdr>
      <w:spacing w:before="200" w:after="280"/>
      <w:ind w:left="1008" w:right="1152"/>
    </w:pPr>
    <w:rPr>
      <w:rFonts w:ascii="Calibri" w:hAnsi="Calibri"/>
      <w:b/>
      <w:bCs/>
      <w:i/>
      <w:iCs/>
      <w:szCs w:val="20"/>
      <w:lang w:val="x-none" w:eastAsia="x-none" w:bidi="ar-SA"/>
    </w:rPr>
  </w:style>
  <w:style w:type="character" w:customStyle="1" w:styleId="MediumGrid3-Accent2Char">
    <w:name w:val="Medium Grid 3 - Accent 2 Char"/>
    <w:link w:val="MediumGrid3-Accent21"/>
    <w:uiPriority w:val="30"/>
    <w:rsid w:val="002F5B6A"/>
    <w:rPr>
      <w:b/>
      <w:bCs/>
      <w:i/>
      <w:iCs/>
    </w:rPr>
  </w:style>
  <w:style w:type="character" w:customStyle="1" w:styleId="PlainTable31">
    <w:name w:val="Plain Table 31"/>
    <w:uiPriority w:val="19"/>
    <w:qFormat/>
    <w:rsid w:val="002F5B6A"/>
    <w:rPr>
      <w:i/>
      <w:iCs/>
    </w:rPr>
  </w:style>
  <w:style w:type="character" w:customStyle="1" w:styleId="PlainTable41">
    <w:name w:val="Plain Table 41"/>
    <w:uiPriority w:val="21"/>
    <w:qFormat/>
    <w:rsid w:val="002F5B6A"/>
    <w:rPr>
      <w:b/>
      <w:bCs/>
    </w:rPr>
  </w:style>
  <w:style w:type="character" w:customStyle="1" w:styleId="PlainTable51">
    <w:name w:val="Plain Table 51"/>
    <w:uiPriority w:val="31"/>
    <w:qFormat/>
    <w:rsid w:val="002F5B6A"/>
    <w:rPr>
      <w:smallCaps/>
    </w:rPr>
  </w:style>
  <w:style w:type="character" w:customStyle="1" w:styleId="TableGridLight1">
    <w:name w:val="Table Grid Light1"/>
    <w:uiPriority w:val="32"/>
    <w:qFormat/>
    <w:rsid w:val="002F5B6A"/>
    <w:rPr>
      <w:smallCaps/>
      <w:spacing w:val="5"/>
      <w:u w:val="single"/>
    </w:rPr>
  </w:style>
  <w:style w:type="character" w:customStyle="1" w:styleId="GridTable1Light1">
    <w:name w:val="Grid Table 1 Light1"/>
    <w:uiPriority w:val="33"/>
    <w:qFormat/>
    <w:rsid w:val="002F5B6A"/>
    <w:rPr>
      <w:i/>
      <w:iCs/>
      <w:smallCaps/>
      <w:spacing w:val="5"/>
    </w:rPr>
  </w:style>
  <w:style w:type="paragraph" w:customStyle="1" w:styleId="GridTable31">
    <w:name w:val="Grid Table 3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Shading1-Accent1Char">
    <w:name w:val="Medium Shading 1 - Accent 1 Char"/>
    <w:aliases w:val="Bob Comments Char,No Spacing Char"/>
    <w:link w:val="MediumShading1-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rPr>
      <w:szCs w:val="20"/>
      <w:lang w:val="x-none" w:eastAsia="x-none"/>
    </w:rPr>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character" w:styleId="FollowedHyperlink">
    <w:name w:val="FollowedHyperlink"/>
    <w:uiPriority w:val="99"/>
    <w:semiHidden/>
    <w:unhideWhenUsed/>
    <w:rsid w:val="00BD3EE9"/>
    <w:rPr>
      <w:color w:val="954F72"/>
      <w:u w:val="single"/>
    </w:rPr>
  </w:style>
  <w:style w:type="paragraph" w:customStyle="1" w:styleId="MediumGrid21">
    <w:name w:val="Medium Grid 21"/>
    <w:basedOn w:val="Normal"/>
    <w:uiPriority w:val="1"/>
    <w:qFormat/>
    <w:rsid w:val="00A6352B"/>
    <w:pPr>
      <w:ind w:left="0"/>
    </w:pPr>
    <w:rPr>
      <w:lang w:val="x-none" w:eastAsia="x-none"/>
    </w:rPr>
  </w:style>
  <w:style w:type="paragraph" w:customStyle="1" w:styleId="MediumGrid1-Accent22">
    <w:name w:val="Medium Grid 1 - Accent 22"/>
    <w:basedOn w:val="Normal"/>
    <w:uiPriority w:val="34"/>
    <w:qFormat/>
    <w:rsid w:val="00A6352B"/>
    <w:pPr>
      <w:ind w:left="0"/>
      <w:contextualSpacing/>
    </w:pPr>
    <w:rPr>
      <w:szCs w:val="20"/>
    </w:rPr>
  </w:style>
  <w:style w:type="paragraph" w:styleId="ListParagraph">
    <w:name w:val="List Paragraph"/>
    <w:basedOn w:val="Normal"/>
    <w:uiPriority w:val="34"/>
    <w:qFormat/>
    <w:rsid w:val="0035612D"/>
    <w:pPr>
      <w:numPr>
        <w:numId w:val="20"/>
      </w:numPr>
    </w:pPr>
    <w:rPr>
      <w:rFonts w:cs="Arial"/>
      <w:szCs w:val="20"/>
      <w:lang w:bidi="ar-SA"/>
    </w:rPr>
  </w:style>
  <w:style w:type="paragraph" w:styleId="NormalWeb">
    <w:name w:val="Normal (Web)"/>
    <w:basedOn w:val="Normal"/>
    <w:uiPriority w:val="99"/>
    <w:unhideWhenUsed/>
    <w:rsid w:val="0082069A"/>
    <w:pPr>
      <w:spacing w:before="100" w:beforeAutospacing="1" w:after="100" w:afterAutospacing="1"/>
      <w:ind w:left="0"/>
    </w:pPr>
    <w:rPr>
      <w:rFonts w:ascii="Times New Roman" w:eastAsia="Times New Roman" w:hAnsi="Times New Roman"/>
      <w:sz w:val="24"/>
      <w:szCs w:val="24"/>
      <w:lang w:bidi="ar-SA"/>
    </w:rPr>
  </w:style>
  <w:style w:type="paragraph" w:styleId="PlainText">
    <w:name w:val="Plain Text"/>
    <w:basedOn w:val="Normal"/>
    <w:link w:val="PlainTextChar"/>
    <w:uiPriority w:val="99"/>
    <w:unhideWhenUsed/>
    <w:rsid w:val="000663CB"/>
    <w:pPr>
      <w:ind w:left="0"/>
    </w:pPr>
    <w:rPr>
      <w:rFonts w:ascii="Calibri" w:hAnsi="Calibri"/>
      <w:sz w:val="22"/>
      <w:lang w:bidi="ar-SA"/>
    </w:rPr>
  </w:style>
  <w:style w:type="character" w:customStyle="1" w:styleId="PlainTextChar">
    <w:name w:val="Plain Text Char"/>
    <w:link w:val="PlainText"/>
    <w:uiPriority w:val="99"/>
    <w:rsid w:val="000663C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83302626">
      <w:bodyDiv w:val="1"/>
      <w:marLeft w:val="0"/>
      <w:marRight w:val="0"/>
      <w:marTop w:val="0"/>
      <w:marBottom w:val="0"/>
      <w:divBdr>
        <w:top w:val="none" w:sz="0" w:space="0" w:color="auto"/>
        <w:left w:val="none" w:sz="0" w:space="0" w:color="auto"/>
        <w:bottom w:val="none" w:sz="0" w:space="0" w:color="auto"/>
        <w:right w:val="none" w:sz="0" w:space="0" w:color="auto"/>
      </w:divBdr>
    </w:div>
    <w:div w:id="354042484">
      <w:bodyDiv w:val="1"/>
      <w:marLeft w:val="0"/>
      <w:marRight w:val="0"/>
      <w:marTop w:val="0"/>
      <w:marBottom w:val="0"/>
      <w:divBdr>
        <w:top w:val="none" w:sz="0" w:space="0" w:color="auto"/>
        <w:left w:val="none" w:sz="0" w:space="0" w:color="auto"/>
        <w:bottom w:val="none" w:sz="0" w:space="0" w:color="auto"/>
        <w:right w:val="none" w:sz="0" w:space="0" w:color="auto"/>
      </w:divBdr>
    </w:div>
    <w:div w:id="366030277">
      <w:bodyDiv w:val="1"/>
      <w:marLeft w:val="0"/>
      <w:marRight w:val="0"/>
      <w:marTop w:val="0"/>
      <w:marBottom w:val="0"/>
      <w:divBdr>
        <w:top w:val="none" w:sz="0" w:space="0" w:color="auto"/>
        <w:left w:val="none" w:sz="0" w:space="0" w:color="auto"/>
        <w:bottom w:val="none" w:sz="0" w:space="0" w:color="auto"/>
        <w:right w:val="none" w:sz="0" w:space="0" w:color="auto"/>
      </w:divBdr>
    </w:div>
    <w:div w:id="393284577">
      <w:bodyDiv w:val="1"/>
      <w:marLeft w:val="0"/>
      <w:marRight w:val="0"/>
      <w:marTop w:val="0"/>
      <w:marBottom w:val="0"/>
      <w:divBdr>
        <w:top w:val="none" w:sz="0" w:space="0" w:color="auto"/>
        <w:left w:val="none" w:sz="0" w:space="0" w:color="auto"/>
        <w:bottom w:val="none" w:sz="0" w:space="0" w:color="auto"/>
        <w:right w:val="none" w:sz="0" w:space="0" w:color="auto"/>
      </w:divBdr>
    </w:div>
    <w:div w:id="610209470">
      <w:bodyDiv w:val="1"/>
      <w:marLeft w:val="0"/>
      <w:marRight w:val="0"/>
      <w:marTop w:val="0"/>
      <w:marBottom w:val="0"/>
      <w:divBdr>
        <w:top w:val="none" w:sz="0" w:space="0" w:color="auto"/>
        <w:left w:val="none" w:sz="0" w:space="0" w:color="auto"/>
        <w:bottom w:val="none" w:sz="0" w:space="0" w:color="auto"/>
        <w:right w:val="none" w:sz="0" w:space="0" w:color="auto"/>
      </w:divBdr>
    </w:div>
    <w:div w:id="627395642">
      <w:bodyDiv w:val="1"/>
      <w:marLeft w:val="0"/>
      <w:marRight w:val="0"/>
      <w:marTop w:val="0"/>
      <w:marBottom w:val="0"/>
      <w:divBdr>
        <w:top w:val="none" w:sz="0" w:space="0" w:color="auto"/>
        <w:left w:val="none" w:sz="0" w:space="0" w:color="auto"/>
        <w:bottom w:val="none" w:sz="0" w:space="0" w:color="auto"/>
        <w:right w:val="none" w:sz="0" w:space="0" w:color="auto"/>
      </w:divBdr>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883836423">
      <w:bodyDiv w:val="1"/>
      <w:marLeft w:val="0"/>
      <w:marRight w:val="0"/>
      <w:marTop w:val="0"/>
      <w:marBottom w:val="0"/>
      <w:divBdr>
        <w:top w:val="none" w:sz="0" w:space="0" w:color="auto"/>
        <w:left w:val="none" w:sz="0" w:space="0" w:color="auto"/>
        <w:bottom w:val="none" w:sz="0" w:space="0" w:color="auto"/>
        <w:right w:val="none" w:sz="0" w:space="0" w:color="auto"/>
      </w:divBdr>
    </w:div>
    <w:div w:id="1205412951">
      <w:bodyDiv w:val="1"/>
      <w:marLeft w:val="0"/>
      <w:marRight w:val="0"/>
      <w:marTop w:val="0"/>
      <w:marBottom w:val="0"/>
      <w:divBdr>
        <w:top w:val="none" w:sz="0" w:space="0" w:color="auto"/>
        <w:left w:val="none" w:sz="0" w:space="0" w:color="auto"/>
        <w:bottom w:val="none" w:sz="0" w:space="0" w:color="auto"/>
        <w:right w:val="none" w:sz="0" w:space="0" w:color="auto"/>
      </w:divBdr>
    </w:div>
    <w:div w:id="1309676462">
      <w:bodyDiv w:val="1"/>
      <w:marLeft w:val="0"/>
      <w:marRight w:val="0"/>
      <w:marTop w:val="0"/>
      <w:marBottom w:val="0"/>
      <w:divBdr>
        <w:top w:val="none" w:sz="0" w:space="0" w:color="auto"/>
        <w:left w:val="none" w:sz="0" w:space="0" w:color="auto"/>
        <w:bottom w:val="none" w:sz="0" w:space="0" w:color="auto"/>
        <w:right w:val="none" w:sz="0" w:space="0" w:color="auto"/>
      </w:divBdr>
    </w:div>
    <w:div w:id="1342121686">
      <w:bodyDiv w:val="1"/>
      <w:marLeft w:val="0"/>
      <w:marRight w:val="0"/>
      <w:marTop w:val="0"/>
      <w:marBottom w:val="0"/>
      <w:divBdr>
        <w:top w:val="none" w:sz="0" w:space="0" w:color="auto"/>
        <w:left w:val="none" w:sz="0" w:space="0" w:color="auto"/>
        <w:bottom w:val="none" w:sz="0" w:space="0" w:color="auto"/>
        <w:right w:val="none" w:sz="0" w:space="0" w:color="auto"/>
      </w:divBdr>
    </w:div>
    <w:div w:id="1348022903">
      <w:bodyDiv w:val="1"/>
      <w:marLeft w:val="0"/>
      <w:marRight w:val="0"/>
      <w:marTop w:val="0"/>
      <w:marBottom w:val="0"/>
      <w:divBdr>
        <w:top w:val="none" w:sz="0" w:space="0" w:color="auto"/>
        <w:left w:val="none" w:sz="0" w:space="0" w:color="auto"/>
        <w:bottom w:val="none" w:sz="0" w:space="0" w:color="auto"/>
        <w:right w:val="none" w:sz="0" w:space="0" w:color="auto"/>
      </w:divBdr>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447701154">
      <w:bodyDiv w:val="1"/>
      <w:marLeft w:val="0"/>
      <w:marRight w:val="0"/>
      <w:marTop w:val="0"/>
      <w:marBottom w:val="0"/>
      <w:divBdr>
        <w:top w:val="none" w:sz="0" w:space="0" w:color="auto"/>
        <w:left w:val="none" w:sz="0" w:space="0" w:color="auto"/>
        <w:bottom w:val="none" w:sz="0" w:space="0" w:color="auto"/>
        <w:right w:val="none" w:sz="0" w:space="0" w:color="auto"/>
      </w:divBdr>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 w:id="201110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rs.gov/pub/irs-drop/n-15-52.pdf" TargetMode="Externa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www.google.com/webhp?sourceid=chrome-instant&amp;rlz=1C1CHWA_enUS629US629&amp;ion=1&amp;espv=2&amp;ie=U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87963-A4AC-1143-A900-0CF7216B0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1547</Words>
  <Characters>8824</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10351</CharactersWithSpaces>
  <SharedDoc>false</SharedDoc>
  <HLinks>
    <vt:vector size="12" baseType="variant">
      <vt:variant>
        <vt:i4>5832719</vt:i4>
      </vt:variant>
      <vt:variant>
        <vt:i4>3</vt:i4>
      </vt:variant>
      <vt:variant>
        <vt:i4>0</vt:i4>
      </vt:variant>
      <vt:variant>
        <vt:i4>5</vt:i4>
      </vt:variant>
      <vt:variant>
        <vt:lpwstr>http://www.cms.gov/CCIIO/Resources/Regulations-and-Guidance/Downloads/transition-to-compliant-policies-03-06-2015.pdf</vt:lpwstr>
      </vt:variant>
      <vt:variant>
        <vt:lpwstr/>
      </vt:variant>
      <vt:variant>
        <vt:i4>8192111</vt:i4>
      </vt:variant>
      <vt:variant>
        <vt:i4>0</vt:i4>
      </vt:variant>
      <vt:variant>
        <vt:i4>0</vt:i4>
      </vt:variant>
      <vt:variant>
        <vt:i4>5</vt:i4>
      </vt:variant>
      <vt:variant>
        <vt:lpwstr>http://www.cms.gov/CCIIO/Resources/Fact-Sheets-and-FAQs/Downloads/Final-Master-FAQs-5-16-14.pdf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cp:lastModifiedBy>Anthony Radecki</cp:lastModifiedBy>
  <cp:revision>3</cp:revision>
  <cp:lastPrinted>2014-10-13T14:26:00Z</cp:lastPrinted>
  <dcterms:created xsi:type="dcterms:W3CDTF">2015-09-11T19:08:00Z</dcterms:created>
  <dcterms:modified xsi:type="dcterms:W3CDTF">2015-09-11T19:09:00Z</dcterms:modified>
</cp:coreProperties>
</file>