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7EC1" w:rsidRPr="000A4832" w:rsidRDefault="00AC498F" w:rsidP="006C7EC1">
      <w:pPr>
        <w:jc w:val="center"/>
        <w:rPr>
          <w:b/>
          <w:szCs w:val="20"/>
          <w:highlight w:val="yellow"/>
        </w:rPr>
      </w:pPr>
      <w:r w:rsidRPr="000A4832">
        <w:rPr>
          <w:noProof/>
          <w:highlight w:val="yellow"/>
          <w:lang w:bidi="ar-SA"/>
        </w:rPr>
        <mc:AlternateContent>
          <mc:Choice Requires="wps">
            <w:drawing>
              <wp:anchor distT="0" distB="0" distL="114300" distR="114300" simplePos="0" relativeHeight="251657216" behindDoc="0" locked="0" layoutInCell="1" allowOverlap="1">
                <wp:simplePos x="0" y="0"/>
                <wp:positionH relativeFrom="column">
                  <wp:posOffset>2082800</wp:posOffset>
                </wp:positionH>
                <wp:positionV relativeFrom="paragraph">
                  <wp:posOffset>-604520</wp:posOffset>
                </wp:positionV>
                <wp:extent cx="4724400" cy="605155"/>
                <wp:effectExtent l="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7A9" w:rsidRPr="000B4DEA" w:rsidRDefault="00046352" w:rsidP="006B5260">
                            <w:pPr>
                              <w:jc w:val="center"/>
                              <w:rPr>
                                <w:color w:val="FFFFFF"/>
                                <w:spacing w:val="40"/>
                                <w:sz w:val="44"/>
                                <w:szCs w:val="44"/>
                              </w:rPr>
                            </w:pPr>
                            <w:r>
                              <w:rPr>
                                <w:color w:val="FFFFFF"/>
                                <w:spacing w:val="40"/>
                                <w:sz w:val="44"/>
                                <w:szCs w:val="44"/>
                              </w:rPr>
                              <w:t>Compliance Alert</w:t>
                            </w:r>
                          </w:p>
                          <w:p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TdRAIAAEU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" filled="f" stroked="f">
                <v:textbox>
                  <w:txbxContent>
                    <w:p w:rsidR="00D147A9" w:rsidRPr="000B4DEA" w:rsidRDefault="00046352" w:rsidP="006B5260">
                      <w:pPr>
                        <w:jc w:val="center"/>
                        <w:rPr>
                          <w:color w:val="FFFFFF"/>
                          <w:spacing w:val="40"/>
                          <w:sz w:val="44"/>
                          <w:szCs w:val="44"/>
                        </w:rPr>
                      </w:pPr>
                      <w:r>
                        <w:rPr>
                          <w:color w:val="FFFFFF"/>
                          <w:spacing w:val="40"/>
                          <w:sz w:val="44"/>
                          <w:szCs w:val="44"/>
                        </w:rPr>
                        <w:t>Compliance Alert</w:t>
                      </w:r>
                    </w:p>
                    <w:p w:rsidR="008E0604" w:rsidRPr="00D636DB" w:rsidRDefault="008E0604" w:rsidP="006B5260">
                      <w:pPr>
                        <w:jc w:val="center"/>
                        <w:rPr>
                          <w:color w:val="BFBFBF"/>
                          <w:sz w:val="72"/>
                          <w:szCs w:val="72"/>
                        </w:rPr>
                      </w:pPr>
                    </w:p>
                  </w:txbxContent>
                </v:textbox>
              </v:shape>
            </w:pict>
          </mc:Fallback>
        </mc:AlternateContent>
      </w:r>
      <w:r w:rsidRPr="000A4832">
        <w:rPr>
          <w:noProof/>
          <w:highlight w:val="yellow"/>
          <w:lang w:bidi="ar-SA"/>
        </w:rPr>
        <w:drawing>
          <wp:anchor distT="0" distB="0" distL="114300" distR="114300" simplePos="0" relativeHeight="251658240" behindDoc="1" locked="0" layoutInCell="1" allowOverlap="1">
            <wp:simplePos x="0" y="0"/>
            <wp:positionH relativeFrom="column">
              <wp:posOffset>-964565</wp:posOffset>
            </wp:positionH>
            <wp:positionV relativeFrom="paragraph">
              <wp:posOffset>-802005</wp:posOffset>
            </wp:positionV>
            <wp:extent cx="7823200" cy="802640"/>
            <wp:effectExtent l="0" t="0" r="635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4D9" w:rsidRPr="000A4832" w:rsidRDefault="001824D9" w:rsidP="00DD1020">
      <w:pPr>
        <w:rPr>
          <w:b/>
          <w:szCs w:val="20"/>
        </w:rPr>
      </w:pPr>
    </w:p>
    <w:p w:rsidR="00BE53ED" w:rsidRPr="000A4832" w:rsidRDefault="00AC498F" w:rsidP="00BE53ED">
      <w:pPr>
        <w:ind w:left="0"/>
        <w:rPr>
          <w:b/>
          <w:sz w:val="28"/>
          <w:szCs w:val="28"/>
        </w:rPr>
      </w:pPr>
      <w:r w:rsidRPr="000A4832">
        <w:rPr>
          <w:b/>
          <w:sz w:val="28"/>
          <w:szCs w:val="28"/>
        </w:rPr>
        <w:t xml:space="preserve">IRS Clarifies No ACA </w:t>
      </w:r>
      <w:r w:rsidR="00BE53ED" w:rsidRPr="000A4832">
        <w:rPr>
          <w:b/>
          <w:sz w:val="28"/>
          <w:szCs w:val="28"/>
        </w:rPr>
        <w:t>Employer Reporting</w:t>
      </w:r>
      <w:r w:rsidRPr="000A4832">
        <w:rPr>
          <w:b/>
          <w:sz w:val="28"/>
          <w:szCs w:val="28"/>
        </w:rPr>
        <w:t xml:space="preserve"> Required for Most HRAs</w:t>
      </w:r>
      <w:r w:rsidR="00BE53ED" w:rsidRPr="000A4832">
        <w:rPr>
          <w:b/>
          <w:sz w:val="28"/>
          <w:szCs w:val="28"/>
        </w:rPr>
        <w:t xml:space="preserve"> </w:t>
      </w:r>
    </w:p>
    <w:p w:rsidR="00BE53ED" w:rsidRPr="000A4832" w:rsidRDefault="00BE53ED" w:rsidP="00BE53ED">
      <w:pPr>
        <w:ind w:left="0"/>
        <w:rPr>
          <w:rFonts w:cs="Arial"/>
        </w:rPr>
      </w:pPr>
    </w:p>
    <w:p w:rsidR="00BE53ED" w:rsidRPr="000A4832" w:rsidRDefault="00AC498F" w:rsidP="00BE53ED">
      <w:pPr>
        <w:ind w:left="0"/>
        <w:rPr>
          <w:rFonts w:cs="Arial"/>
        </w:rPr>
      </w:pPr>
      <w:r w:rsidRPr="000A4832">
        <w:rPr>
          <w:rFonts w:cs="Arial"/>
        </w:rPr>
        <w:t>Issue Date: September</w:t>
      </w:r>
      <w:r w:rsidR="00BE53ED" w:rsidRPr="000A4832">
        <w:rPr>
          <w:rFonts w:cs="Arial"/>
        </w:rPr>
        <w:t xml:space="preserve"> 2015</w:t>
      </w:r>
    </w:p>
    <w:p w:rsidR="00BE53ED" w:rsidRPr="000A4832" w:rsidRDefault="00BE53ED" w:rsidP="00BE53ED">
      <w:pPr>
        <w:ind w:left="0"/>
        <w:rPr>
          <w:rFonts w:cs="Arial"/>
        </w:rPr>
      </w:pPr>
    </w:p>
    <w:p w:rsidR="00AC498F" w:rsidRPr="000A4832" w:rsidRDefault="00AC498F" w:rsidP="00AC498F">
      <w:pPr>
        <w:ind w:left="0"/>
        <w:rPr>
          <w:rFonts w:cs="Arial"/>
        </w:rPr>
      </w:pPr>
      <w:r w:rsidRPr="000A4832">
        <w:rPr>
          <w:rFonts w:cs="Arial"/>
        </w:rPr>
        <w:t xml:space="preserve">On September 17, 2015, the IRS issued Notice 2015-68 which includes new guidance making it clear that employers who offer an HRA integrated with a regular health plan will not be required to provide any additional reporting specific </w:t>
      </w:r>
      <w:r w:rsidR="00C31E62" w:rsidRPr="000A4832">
        <w:rPr>
          <w:rFonts w:cs="Arial"/>
        </w:rPr>
        <w:t xml:space="preserve">to </w:t>
      </w:r>
      <w:r w:rsidRPr="000A4832">
        <w:rPr>
          <w:rFonts w:cs="Arial"/>
        </w:rPr>
        <w:t xml:space="preserve">the HRA. This is good news for large and small employers who sponsor HRAs. </w:t>
      </w:r>
    </w:p>
    <w:p w:rsidR="00AC498F" w:rsidRPr="000A4832" w:rsidRDefault="00AC498F" w:rsidP="00AC498F">
      <w:pPr>
        <w:ind w:left="0"/>
        <w:rPr>
          <w:rFonts w:cs="Arial"/>
        </w:rPr>
      </w:pPr>
    </w:p>
    <w:p w:rsidR="00AC498F" w:rsidRDefault="00AC498F" w:rsidP="00AC498F">
      <w:pPr>
        <w:ind w:left="0"/>
        <w:rPr>
          <w:rFonts w:cs="Arial"/>
        </w:rPr>
      </w:pPr>
      <w:r w:rsidRPr="000A4832">
        <w:rPr>
          <w:rFonts w:cs="Arial"/>
        </w:rPr>
        <w:t xml:space="preserve">In the notice the IRS indicates its intention to propose regulations clarifying a number of ACA employer reporting issues.  Significantly, the guidance states that reporting is not required for an individual’s minimum essential coverage (MEC) as long as the individual is only </w:t>
      </w:r>
      <w:r w:rsidR="007F6BB2" w:rsidRPr="000A4832">
        <w:rPr>
          <w:rFonts w:cs="Arial"/>
        </w:rPr>
        <w:t>eligible for that coverage while</w:t>
      </w:r>
      <w:r w:rsidR="000A4832" w:rsidRPr="000A4832">
        <w:rPr>
          <w:rFonts w:cs="Arial"/>
        </w:rPr>
        <w:t xml:space="preserve"> also covered  under other</w:t>
      </w:r>
      <w:r w:rsidR="007F6BB2" w:rsidRPr="000A4832">
        <w:rPr>
          <w:rFonts w:cs="Arial"/>
        </w:rPr>
        <w:t xml:space="preserve"> </w:t>
      </w:r>
      <w:r w:rsidRPr="000A4832">
        <w:rPr>
          <w:rFonts w:cs="Arial"/>
        </w:rPr>
        <w:t>plan</w:t>
      </w:r>
      <w:r w:rsidR="000A4832" w:rsidRPr="000A4832">
        <w:rPr>
          <w:rFonts w:cs="Arial"/>
        </w:rPr>
        <w:t>s</w:t>
      </w:r>
      <w:r w:rsidRPr="000A4832">
        <w:rPr>
          <w:rFonts w:cs="Arial"/>
        </w:rPr>
        <w:t xml:space="preserve"> for which reporting is required.</w:t>
      </w:r>
      <w:r w:rsidRPr="00AC498F">
        <w:rPr>
          <w:rFonts w:cs="Arial"/>
        </w:rPr>
        <w:t xml:space="preserve"> This clarification directly addresses the confusion stemming from a provision in the draft reporting instructions</w:t>
      </w:r>
      <w:r w:rsidR="007F6BB2">
        <w:rPr>
          <w:rFonts w:cs="Arial"/>
        </w:rPr>
        <w:t>,</w:t>
      </w:r>
      <w:r w:rsidRPr="00AC498F">
        <w:rPr>
          <w:rFonts w:cs="Arial"/>
        </w:rPr>
        <w:t xml:space="preserve"> released by the IRS in early August, which appeared to indicate that reporting would be required for health reimbursement accounts (HRAs) integrated with fully-insured plans. </w:t>
      </w:r>
    </w:p>
    <w:p w:rsidR="00AC498F" w:rsidRPr="00AC498F" w:rsidRDefault="00AC498F" w:rsidP="00AC498F">
      <w:pPr>
        <w:ind w:left="0"/>
        <w:rPr>
          <w:rFonts w:cs="Arial"/>
        </w:rPr>
      </w:pPr>
    </w:p>
    <w:p w:rsidR="00AC498F" w:rsidRPr="00AC498F" w:rsidRDefault="00AC498F" w:rsidP="00AC498F">
      <w:pPr>
        <w:ind w:left="0"/>
        <w:rPr>
          <w:rFonts w:cs="Arial"/>
          <w:b/>
        </w:rPr>
      </w:pPr>
      <w:r w:rsidRPr="00AC498F">
        <w:rPr>
          <w:rFonts w:cs="Arial"/>
          <w:b/>
        </w:rPr>
        <w:t>Background</w:t>
      </w:r>
    </w:p>
    <w:p w:rsidR="00AC498F" w:rsidRDefault="00AC498F" w:rsidP="00AC498F">
      <w:pPr>
        <w:ind w:left="0"/>
        <w:rPr>
          <w:rFonts w:cs="Arial"/>
        </w:rPr>
      </w:pPr>
      <w:r w:rsidRPr="00AC498F">
        <w:rPr>
          <w:rFonts w:cs="Arial"/>
        </w:rPr>
        <w:t>The supplemental coverage rule (located at 26 CFR § 1.6055-1(d)(2)) provides that no reporting is required for MEC that provides benefits in addition</w:t>
      </w:r>
      <w:r w:rsidR="007F6BB2">
        <w:rPr>
          <w:rFonts w:cs="Arial"/>
        </w:rPr>
        <w:t>,</w:t>
      </w:r>
      <w:r w:rsidRPr="00AC498F">
        <w:rPr>
          <w:rFonts w:cs="Arial"/>
        </w:rPr>
        <w:t xml:space="preserve"> or as a supplement</w:t>
      </w:r>
      <w:r w:rsidR="007F6BB2">
        <w:rPr>
          <w:rFonts w:cs="Arial"/>
        </w:rPr>
        <w:t>,</w:t>
      </w:r>
      <w:r w:rsidRPr="00AC498F">
        <w:rPr>
          <w:rFonts w:cs="Arial"/>
        </w:rPr>
        <w:t xml:space="preserve"> to a health plan or arrangement that constitutes MEC if: 1) the primary and secondary coverage have the same plan sponsor; or 2) the coverage supplements government-sponsored coverage (e.g., Medicare).  </w:t>
      </w:r>
    </w:p>
    <w:p w:rsidR="00AC498F" w:rsidRPr="00AC498F" w:rsidRDefault="00AC498F" w:rsidP="00AC498F">
      <w:pPr>
        <w:ind w:left="0"/>
        <w:rPr>
          <w:rFonts w:cs="Arial"/>
        </w:rPr>
      </w:pPr>
    </w:p>
    <w:p w:rsidR="00AC498F" w:rsidRPr="00AC498F" w:rsidRDefault="00AC498F" w:rsidP="00AC498F">
      <w:pPr>
        <w:ind w:left="0"/>
        <w:rPr>
          <w:rFonts w:cs="Arial"/>
        </w:rPr>
      </w:pPr>
      <w:r w:rsidRPr="00AC498F">
        <w:rPr>
          <w:rFonts w:cs="Arial"/>
        </w:rPr>
        <w:t xml:space="preserve">Prior to the release of the 2015 draft reporting instructions for Forms 1094 and 1095, the general assumption was that HRAs integrated with a major medical plan, regardless of funding method, would be considered “supplemental coverage” and therefore not require any reporting. However, the draft 2015 reporting instructions indicated that coverage would not be considered supplemental to primary coverage </w:t>
      </w:r>
      <w:r w:rsidR="0049449D">
        <w:rPr>
          <w:rFonts w:cs="Arial"/>
        </w:rPr>
        <w:t xml:space="preserve">if </w:t>
      </w:r>
      <w:r w:rsidRPr="00AC498F">
        <w:rPr>
          <w:rFonts w:cs="Arial"/>
        </w:rPr>
        <w:t>it were provided by a different reporting entity than the primary coverage. In the case of an HRA integrated with a fully-insured plan, the employer is t</w:t>
      </w:r>
      <w:r w:rsidR="007F6BB2">
        <w:rPr>
          <w:rFonts w:cs="Arial"/>
        </w:rPr>
        <w:t>he reporting entity for the HRA</w:t>
      </w:r>
      <w:r w:rsidRPr="00AC498F">
        <w:rPr>
          <w:rFonts w:cs="Arial"/>
        </w:rPr>
        <w:t xml:space="preserve"> while the insurance company is the reporting entity for the fully-insured plan. Therefore, according to the draft instructions, the HRA is not supplemental coverage and both small employers (using Form 1095-B) and applicable large employers (by completing Section III on Form 1095-C) would be required under Section 6055 to report for such coverage. Needless to say, this news caused concern a</w:t>
      </w:r>
      <w:r w:rsidR="0049449D">
        <w:rPr>
          <w:rFonts w:cs="Arial"/>
        </w:rPr>
        <w:t>mong employers who sponsored HR</w:t>
      </w:r>
      <w:r w:rsidRPr="00AC498F">
        <w:rPr>
          <w:rFonts w:cs="Arial"/>
        </w:rPr>
        <w:t xml:space="preserve">As. </w:t>
      </w:r>
    </w:p>
    <w:p w:rsidR="00AC498F" w:rsidRPr="00AC498F" w:rsidRDefault="00AC498F" w:rsidP="00AC498F">
      <w:pPr>
        <w:ind w:left="0"/>
        <w:rPr>
          <w:rFonts w:cs="Arial"/>
          <w:b/>
        </w:rPr>
      </w:pPr>
    </w:p>
    <w:p w:rsidR="00AC498F" w:rsidRPr="00AC498F" w:rsidRDefault="00AC498F" w:rsidP="00AC498F">
      <w:pPr>
        <w:ind w:left="0"/>
        <w:rPr>
          <w:rFonts w:cs="Arial"/>
          <w:b/>
        </w:rPr>
      </w:pPr>
      <w:r w:rsidRPr="00AC498F">
        <w:rPr>
          <w:rFonts w:cs="Arial"/>
          <w:b/>
        </w:rPr>
        <w:t xml:space="preserve">Anticipated Proposed Regulations Will Clarify No Reporting for Integrated HRAs is </w:t>
      </w:r>
      <w:proofErr w:type="gramStart"/>
      <w:r w:rsidRPr="00AC498F">
        <w:rPr>
          <w:rFonts w:cs="Arial"/>
          <w:b/>
        </w:rPr>
        <w:t>Required</w:t>
      </w:r>
      <w:proofErr w:type="gramEnd"/>
    </w:p>
    <w:p w:rsidR="00AC498F" w:rsidRDefault="00AC498F" w:rsidP="00AC498F">
      <w:pPr>
        <w:ind w:left="0"/>
        <w:rPr>
          <w:rFonts w:cs="Arial"/>
        </w:rPr>
      </w:pPr>
      <w:r w:rsidRPr="00AC498F">
        <w:rPr>
          <w:rFonts w:cs="Arial"/>
        </w:rPr>
        <w:t>Notice 2015-68</w:t>
      </w:r>
      <w:r>
        <w:rPr>
          <w:rFonts w:cs="Arial"/>
        </w:rPr>
        <w:t xml:space="preserve"> </w:t>
      </w:r>
      <w:r w:rsidRPr="00AC498F">
        <w:rPr>
          <w:rFonts w:cs="Arial"/>
        </w:rPr>
        <w:t xml:space="preserve">makes it clear that the supplemental coverage rule is “intended to eliminate duplicate reporting of an individual’s minimum essential coverage under circumstances when there is reasonable certainty that the provider of the ‘primary’ coverage will report.” Acknowledging the confusion stemming from this rule (in part due to the interpretation set forth in the draft reporting instructions), the IRS states its intention to replace the rule with the following provisions: </w:t>
      </w:r>
    </w:p>
    <w:p w:rsidR="00AC498F" w:rsidRPr="00AC498F" w:rsidRDefault="00AC498F" w:rsidP="00AC498F">
      <w:pPr>
        <w:ind w:left="0"/>
        <w:rPr>
          <w:rFonts w:cs="Arial"/>
        </w:rPr>
      </w:pPr>
    </w:p>
    <w:p w:rsidR="00AC498F" w:rsidRPr="00AC498F" w:rsidRDefault="00AC498F" w:rsidP="00AC498F">
      <w:pPr>
        <w:numPr>
          <w:ilvl w:val="0"/>
          <w:numId w:val="17"/>
        </w:numPr>
        <w:rPr>
          <w:rFonts w:cs="Arial"/>
        </w:rPr>
      </w:pPr>
      <w:r w:rsidRPr="00AC498F">
        <w:rPr>
          <w:rFonts w:cs="Arial"/>
        </w:rPr>
        <w:t>If an individual is covered by multiple MEC plans or programs provided by the same employer, reporting is only required for one of them.</w:t>
      </w:r>
    </w:p>
    <w:p w:rsidR="00AC498F" w:rsidRPr="00AC498F" w:rsidRDefault="00AC498F" w:rsidP="00AC498F">
      <w:pPr>
        <w:numPr>
          <w:ilvl w:val="0"/>
          <w:numId w:val="17"/>
        </w:numPr>
        <w:rPr>
          <w:rFonts w:cs="Arial"/>
        </w:rPr>
      </w:pPr>
      <w:r w:rsidRPr="00AC498F">
        <w:rPr>
          <w:rFonts w:cs="Arial"/>
        </w:rPr>
        <w:t>Reporting generally is not required for an individual’s MEC if the individual is only eligible for that MEC because of coverage under other MEC for which reporting is required.</w:t>
      </w:r>
    </w:p>
    <w:p w:rsidR="00AC498F" w:rsidRPr="00AC498F" w:rsidRDefault="00AC498F" w:rsidP="00AC498F">
      <w:pPr>
        <w:ind w:left="0"/>
        <w:rPr>
          <w:rFonts w:cs="Arial"/>
        </w:rPr>
      </w:pPr>
    </w:p>
    <w:p w:rsidR="00AC498F" w:rsidRPr="00AC498F" w:rsidRDefault="00AC498F" w:rsidP="00AC498F">
      <w:pPr>
        <w:ind w:left="0"/>
        <w:rPr>
          <w:rFonts w:cs="Arial"/>
        </w:rPr>
      </w:pPr>
      <w:r w:rsidRPr="00AC498F">
        <w:rPr>
          <w:rFonts w:cs="Arial"/>
        </w:rPr>
        <w:t>With respect to HRAs, th</w:t>
      </w:r>
      <w:r w:rsidR="000A4832">
        <w:rPr>
          <w:rFonts w:cs="Arial"/>
        </w:rPr>
        <w:t>e first provision provides that</w:t>
      </w:r>
      <w:r w:rsidRPr="00AC498F">
        <w:rPr>
          <w:rFonts w:cs="Arial"/>
        </w:rPr>
        <w:t xml:space="preserve"> for any month in which an individual is enrolled in both a self-insured group health plan and a self-insured HRA from the same employer, the employer is only required to report on one type of coverage. For any month in which an individual is only covered under the HRA (e.g., due to dropping the non-HRA coverage or retiring), the employer would report the HRA coverage.</w:t>
      </w:r>
    </w:p>
    <w:p w:rsidR="00AC498F" w:rsidRPr="00AC498F" w:rsidRDefault="00AC498F" w:rsidP="00AC498F">
      <w:pPr>
        <w:ind w:left="0"/>
        <w:rPr>
          <w:rFonts w:cs="Arial"/>
        </w:rPr>
      </w:pPr>
    </w:p>
    <w:p w:rsidR="00AC498F" w:rsidRPr="00AC498F" w:rsidRDefault="00AC498F" w:rsidP="00AC498F">
      <w:pPr>
        <w:ind w:left="0"/>
        <w:rPr>
          <w:rFonts w:cs="Arial"/>
        </w:rPr>
      </w:pPr>
      <w:r w:rsidRPr="00AC498F">
        <w:rPr>
          <w:rFonts w:cs="Arial"/>
        </w:rPr>
        <w:lastRenderedPageBreak/>
        <w:t>Under the second provision, reporting would not be required for an HRA that is available only to employees and other individuals who enroll in an employer’s insured group health plan. This would apply for any months that the individual is enrolled in the plan. The guidance goes on to clarify that this rule will only apply if the two types of coverage are offered by the same employer.</w:t>
      </w:r>
    </w:p>
    <w:p w:rsidR="00AC498F" w:rsidRDefault="00AC498F" w:rsidP="00AC498F">
      <w:pPr>
        <w:ind w:left="0"/>
        <w:rPr>
          <w:rFonts w:cs="Arial"/>
        </w:rPr>
      </w:pPr>
    </w:p>
    <w:p w:rsidR="00AC498F" w:rsidRPr="00AC498F" w:rsidRDefault="00AC498F" w:rsidP="00AC498F">
      <w:pPr>
        <w:ind w:left="0"/>
        <w:rPr>
          <w:rFonts w:cs="Arial"/>
          <w:b/>
        </w:rPr>
      </w:pPr>
      <w:r w:rsidRPr="00AC498F">
        <w:rPr>
          <w:rFonts w:cs="Arial"/>
          <w:b/>
        </w:rPr>
        <w:t>Summary</w:t>
      </w:r>
    </w:p>
    <w:p w:rsidR="00AC498F" w:rsidRDefault="00AC498F" w:rsidP="00AC498F">
      <w:pPr>
        <w:ind w:left="0"/>
        <w:rPr>
          <w:rFonts w:cs="Arial"/>
        </w:rPr>
      </w:pPr>
      <w:r w:rsidRPr="00AC498F">
        <w:rPr>
          <w:rFonts w:cs="Arial"/>
        </w:rPr>
        <w:t>The anticipated proposal outlined in Notice 2015-68 provides helpful clarification with respect to what constitutes supplemental coverage, and when reporting for such coverage is required. It will therefore provide administrative relief to fully-insured small employers, who will be able to rely on the insurance company to fulfill the reporting requirement under Section 6055, and to fully-insured applicable large employers, who will only need to complete Parts I and II of Form 1095-C. The notice does not change the reporting requirement for self-funded large employers who will still need to complete all three parts of the 1095-C.</w:t>
      </w:r>
    </w:p>
    <w:p w:rsidR="00AC498F" w:rsidRDefault="00AC498F" w:rsidP="00AC498F">
      <w:pPr>
        <w:ind w:left="0"/>
        <w:rPr>
          <w:rFonts w:cs="Arial"/>
        </w:rPr>
      </w:pPr>
    </w:p>
    <w:p w:rsidR="00AC498F" w:rsidRDefault="00AC498F" w:rsidP="00AC498F">
      <w:pPr>
        <w:ind w:left="0"/>
        <w:rPr>
          <w:rFonts w:cs="Arial"/>
        </w:rPr>
      </w:pPr>
    </w:p>
    <w:p w:rsidR="00BE53ED" w:rsidRPr="00BE53ED" w:rsidRDefault="00BE53ED" w:rsidP="00BE53ED">
      <w:pPr>
        <w:ind w:left="0"/>
        <w:rPr>
          <w:rFonts w:cs="Arial"/>
          <w:i/>
          <w:sz w:val="18"/>
          <w:szCs w:val="18"/>
        </w:rPr>
      </w:pPr>
      <w:r w:rsidRPr="00BE53ED">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rsidR="00046352" w:rsidRPr="00F40B10" w:rsidRDefault="00046352" w:rsidP="00BE53ED">
      <w:pPr>
        <w:ind w:left="0"/>
        <w:rPr>
          <w:rFonts w:cs="Arial"/>
          <w:szCs w:val="20"/>
        </w:rPr>
      </w:pPr>
    </w:p>
    <w:sectPr w:rsidR="00046352" w:rsidRPr="00F40B10" w:rsidSect="00E53468">
      <w:footerReference w:type="default" r:id="rId10"/>
      <w:headerReference w:type="first" r:id="rId11"/>
      <w:footerReference w:type="first" r:id="rId12"/>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1A" w:rsidRDefault="00465D1A" w:rsidP="006C7EC1">
      <w:r>
        <w:separator/>
      </w:r>
    </w:p>
  </w:endnote>
  <w:endnote w:type="continuationSeparator" w:id="0">
    <w:p w:rsidR="00465D1A" w:rsidRDefault="00465D1A"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04" w:rsidRDefault="008E0604" w:rsidP="006C7EC1">
    <w:pPr>
      <w:pStyle w:val="Footer"/>
      <w:jc w:val="center"/>
      <w:rPr>
        <w:rFonts w:cs="Arial"/>
        <w:sz w:val="18"/>
        <w:szCs w:val="18"/>
      </w:rPr>
    </w:pPr>
  </w:p>
  <w:p w:rsidR="008E0604" w:rsidRDefault="008E0604" w:rsidP="006C7EC1">
    <w:pPr>
      <w:pStyle w:val="Footer"/>
      <w:jc w:val="center"/>
      <w:rPr>
        <w:sz w:val="18"/>
        <w:szCs w:val="18"/>
        <w:lang w:val="en-US"/>
      </w:rPr>
    </w:pPr>
    <w:r w:rsidRPr="006C7EC1">
      <w:rPr>
        <w:rFonts w:cs="Arial"/>
        <w:sz w:val="18"/>
        <w:szCs w:val="18"/>
      </w:rPr>
      <w:t>© 201</w:t>
    </w:r>
    <w:r w:rsidR="000B4DEA">
      <w:rPr>
        <w:rFonts w:cs="Arial"/>
        <w:sz w:val="18"/>
        <w:szCs w:val="18"/>
        <w:lang w:val="en-US"/>
      </w:rPr>
      <w:t>5</w:t>
    </w:r>
    <w:r w:rsidRPr="006C7EC1">
      <w:rPr>
        <w:rFonts w:cs="Arial"/>
        <w:sz w:val="18"/>
        <w:szCs w:val="18"/>
      </w:rPr>
      <w:t xml:space="preserve"> </w:t>
    </w:r>
    <w:r>
      <w:rPr>
        <w:sz w:val="18"/>
        <w:szCs w:val="18"/>
      </w:rPr>
      <w:t>Benefit Comply, LLC</w:t>
    </w:r>
  </w:p>
  <w:p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3D1307">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04" w:rsidRDefault="008E0604" w:rsidP="006C7EC1">
    <w:pPr>
      <w:pStyle w:val="Footer"/>
      <w:jc w:val="center"/>
      <w:rPr>
        <w:sz w:val="18"/>
        <w:szCs w:val="18"/>
        <w:lang w:val="en-US"/>
      </w:rPr>
    </w:pPr>
    <w:r>
      <w:rPr>
        <w:rFonts w:cs="Arial"/>
        <w:sz w:val="18"/>
        <w:szCs w:val="18"/>
      </w:rPr>
      <w:t>© 201</w:t>
    </w:r>
    <w:r w:rsidR="00D25E06">
      <w:rPr>
        <w:rFonts w:cs="Arial"/>
        <w:sz w:val="18"/>
        <w:szCs w:val="18"/>
        <w:lang w:val="en-US"/>
      </w:rPr>
      <w:t>5</w:t>
    </w:r>
    <w:r w:rsidRPr="006C7EC1">
      <w:rPr>
        <w:rFonts w:cs="Arial"/>
        <w:sz w:val="18"/>
        <w:szCs w:val="18"/>
      </w:rPr>
      <w:t xml:space="preserve"> </w:t>
    </w:r>
    <w:r>
      <w:rPr>
        <w:sz w:val="18"/>
        <w:szCs w:val="18"/>
      </w:rPr>
      <w:t>Benefit Comply, LLC</w:t>
    </w:r>
  </w:p>
  <w:p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3D1307">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1A" w:rsidRDefault="00465D1A" w:rsidP="006C7EC1">
      <w:r>
        <w:separator/>
      </w:r>
    </w:p>
  </w:footnote>
  <w:footnote w:type="continuationSeparator" w:id="0">
    <w:p w:rsidR="00465D1A" w:rsidRDefault="00465D1A" w:rsidP="006C7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04" w:rsidRPr="006717AA" w:rsidRDefault="008E0604"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868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10C25"/>
    <w:multiLevelType w:val="hybridMultilevel"/>
    <w:tmpl w:val="9A180828"/>
    <w:lvl w:ilvl="0" w:tplc="D4A0B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3CB4"/>
    <w:multiLevelType w:val="hybridMultilevel"/>
    <w:tmpl w:val="2534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CB23811"/>
    <w:multiLevelType w:val="hybridMultilevel"/>
    <w:tmpl w:val="A1D8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1033A"/>
    <w:multiLevelType w:val="hybridMultilevel"/>
    <w:tmpl w:val="D50C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5"/>
  </w:num>
  <w:num w:numId="4">
    <w:abstractNumId w:val="4"/>
  </w:num>
  <w:num w:numId="5">
    <w:abstractNumId w:val="9"/>
  </w:num>
  <w:num w:numId="6">
    <w:abstractNumId w:val="6"/>
  </w:num>
  <w:num w:numId="7">
    <w:abstractNumId w:val="5"/>
  </w:num>
  <w:num w:numId="8">
    <w:abstractNumId w:val="11"/>
  </w:num>
  <w:num w:numId="9">
    <w:abstractNumId w:val="0"/>
  </w:num>
  <w:num w:numId="10">
    <w:abstractNumId w:val="10"/>
  </w:num>
  <w:num w:numId="11">
    <w:abstractNumId w:val="14"/>
  </w:num>
  <w:num w:numId="12">
    <w:abstractNumId w:val="8"/>
  </w:num>
  <w:num w:numId="13">
    <w:abstractNumId w:val="7"/>
  </w:num>
  <w:num w:numId="14">
    <w:abstractNumId w:val="13"/>
  </w:num>
  <w:num w:numId="15">
    <w:abstractNumId w:val="12"/>
  </w:num>
  <w:num w:numId="16">
    <w:abstractNumId w:val="3"/>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81"/>
    <w:rsid w:val="000037D0"/>
    <w:rsid w:val="00005756"/>
    <w:rsid w:val="000130D1"/>
    <w:rsid w:val="00014763"/>
    <w:rsid w:val="000166F5"/>
    <w:rsid w:val="00027ACB"/>
    <w:rsid w:val="00040AB3"/>
    <w:rsid w:val="00041D34"/>
    <w:rsid w:val="00042D2A"/>
    <w:rsid w:val="00045F42"/>
    <w:rsid w:val="00046352"/>
    <w:rsid w:val="00056762"/>
    <w:rsid w:val="0006084A"/>
    <w:rsid w:val="0006208C"/>
    <w:rsid w:val="00065F15"/>
    <w:rsid w:val="00071F3D"/>
    <w:rsid w:val="00090998"/>
    <w:rsid w:val="00093B13"/>
    <w:rsid w:val="00096B1E"/>
    <w:rsid w:val="000A4832"/>
    <w:rsid w:val="000A697A"/>
    <w:rsid w:val="000B4DEA"/>
    <w:rsid w:val="000C3603"/>
    <w:rsid w:val="000C41B5"/>
    <w:rsid w:val="000C5473"/>
    <w:rsid w:val="000C721A"/>
    <w:rsid w:val="000D78EF"/>
    <w:rsid w:val="000E03AB"/>
    <w:rsid w:val="000E668C"/>
    <w:rsid w:val="000F3F23"/>
    <w:rsid w:val="0010150B"/>
    <w:rsid w:val="00103F85"/>
    <w:rsid w:val="00104680"/>
    <w:rsid w:val="00113F23"/>
    <w:rsid w:val="0012421A"/>
    <w:rsid w:val="001432A3"/>
    <w:rsid w:val="00144A9C"/>
    <w:rsid w:val="00146F88"/>
    <w:rsid w:val="00151581"/>
    <w:rsid w:val="00155720"/>
    <w:rsid w:val="00160EF0"/>
    <w:rsid w:val="00164ED5"/>
    <w:rsid w:val="00172882"/>
    <w:rsid w:val="001734E8"/>
    <w:rsid w:val="001824D9"/>
    <w:rsid w:val="001831CC"/>
    <w:rsid w:val="00187547"/>
    <w:rsid w:val="00194FD3"/>
    <w:rsid w:val="001A4388"/>
    <w:rsid w:val="001A569D"/>
    <w:rsid w:val="001A7955"/>
    <w:rsid w:val="001B1A88"/>
    <w:rsid w:val="001C1E40"/>
    <w:rsid w:val="001C256F"/>
    <w:rsid w:val="001C4860"/>
    <w:rsid w:val="001C68CC"/>
    <w:rsid w:val="001D58D8"/>
    <w:rsid w:val="001D745D"/>
    <w:rsid w:val="001D77F4"/>
    <w:rsid w:val="001E2972"/>
    <w:rsid w:val="001E622E"/>
    <w:rsid w:val="001F0404"/>
    <w:rsid w:val="001F20E5"/>
    <w:rsid w:val="001F55BC"/>
    <w:rsid w:val="001F6138"/>
    <w:rsid w:val="00200664"/>
    <w:rsid w:val="0020244B"/>
    <w:rsid w:val="00211FC6"/>
    <w:rsid w:val="00212E4A"/>
    <w:rsid w:val="002241F3"/>
    <w:rsid w:val="00224D07"/>
    <w:rsid w:val="00226283"/>
    <w:rsid w:val="00231306"/>
    <w:rsid w:val="00247077"/>
    <w:rsid w:val="00250761"/>
    <w:rsid w:val="00255A5D"/>
    <w:rsid w:val="00260914"/>
    <w:rsid w:val="00267C12"/>
    <w:rsid w:val="00270736"/>
    <w:rsid w:val="00270D0F"/>
    <w:rsid w:val="00273D4E"/>
    <w:rsid w:val="002742E6"/>
    <w:rsid w:val="00277CAA"/>
    <w:rsid w:val="002A761A"/>
    <w:rsid w:val="002C4ADB"/>
    <w:rsid w:val="002D6E4B"/>
    <w:rsid w:val="002E12F2"/>
    <w:rsid w:val="002E280D"/>
    <w:rsid w:val="002E69BE"/>
    <w:rsid w:val="002F1D78"/>
    <w:rsid w:val="002F3FBC"/>
    <w:rsid w:val="002F5B6A"/>
    <w:rsid w:val="002F5FCD"/>
    <w:rsid w:val="00311D22"/>
    <w:rsid w:val="00314066"/>
    <w:rsid w:val="00315F0E"/>
    <w:rsid w:val="0031698C"/>
    <w:rsid w:val="00332855"/>
    <w:rsid w:val="00337651"/>
    <w:rsid w:val="00341F9B"/>
    <w:rsid w:val="00346D40"/>
    <w:rsid w:val="00351DAE"/>
    <w:rsid w:val="003536E9"/>
    <w:rsid w:val="0035725D"/>
    <w:rsid w:val="003606B3"/>
    <w:rsid w:val="00363F9B"/>
    <w:rsid w:val="00373838"/>
    <w:rsid w:val="0037534B"/>
    <w:rsid w:val="00375AC7"/>
    <w:rsid w:val="00376D4E"/>
    <w:rsid w:val="00377A73"/>
    <w:rsid w:val="003902B9"/>
    <w:rsid w:val="0039272A"/>
    <w:rsid w:val="00393B70"/>
    <w:rsid w:val="00397F1D"/>
    <w:rsid w:val="003A15A0"/>
    <w:rsid w:val="003A7120"/>
    <w:rsid w:val="003B0730"/>
    <w:rsid w:val="003B2F3D"/>
    <w:rsid w:val="003B7105"/>
    <w:rsid w:val="003C2C45"/>
    <w:rsid w:val="003C50C6"/>
    <w:rsid w:val="003D1307"/>
    <w:rsid w:val="003D3ABE"/>
    <w:rsid w:val="003D4E8F"/>
    <w:rsid w:val="003D5BB6"/>
    <w:rsid w:val="003E1F9E"/>
    <w:rsid w:val="003E7F11"/>
    <w:rsid w:val="004019B7"/>
    <w:rsid w:val="004159A4"/>
    <w:rsid w:val="00421453"/>
    <w:rsid w:val="00431FC0"/>
    <w:rsid w:val="00441B20"/>
    <w:rsid w:val="0044224C"/>
    <w:rsid w:val="00450D6A"/>
    <w:rsid w:val="00453723"/>
    <w:rsid w:val="00453816"/>
    <w:rsid w:val="00461B0E"/>
    <w:rsid w:val="00464CBE"/>
    <w:rsid w:val="00465D1A"/>
    <w:rsid w:val="00467E2A"/>
    <w:rsid w:val="00470E94"/>
    <w:rsid w:val="00476F72"/>
    <w:rsid w:val="004870C3"/>
    <w:rsid w:val="00490D5F"/>
    <w:rsid w:val="0049449D"/>
    <w:rsid w:val="004A51E3"/>
    <w:rsid w:val="004B2781"/>
    <w:rsid w:val="004B4147"/>
    <w:rsid w:val="004B6441"/>
    <w:rsid w:val="004B7C6C"/>
    <w:rsid w:val="004C2946"/>
    <w:rsid w:val="004C685A"/>
    <w:rsid w:val="004C7E74"/>
    <w:rsid w:val="004E1B3E"/>
    <w:rsid w:val="004E530D"/>
    <w:rsid w:val="004E77C4"/>
    <w:rsid w:val="004F0122"/>
    <w:rsid w:val="004F38E5"/>
    <w:rsid w:val="004F4484"/>
    <w:rsid w:val="005048CA"/>
    <w:rsid w:val="00532F84"/>
    <w:rsid w:val="0053695B"/>
    <w:rsid w:val="005378A2"/>
    <w:rsid w:val="00540CCF"/>
    <w:rsid w:val="00544C20"/>
    <w:rsid w:val="00554D66"/>
    <w:rsid w:val="0055764A"/>
    <w:rsid w:val="0056000B"/>
    <w:rsid w:val="005660E9"/>
    <w:rsid w:val="005718A9"/>
    <w:rsid w:val="005718C3"/>
    <w:rsid w:val="00586252"/>
    <w:rsid w:val="00586571"/>
    <w:rsid w:val="005900FA"/>
    <w:rsid w:val="00591725"/>
    <w:rsid w:val="005921C3"/>
    <w:rsid w:val="005926DA"/>
    <w:rsid w:val="005A631F"/>
    <w:rsid w:val="005B0103"/>
    <w:rsid w:val="005C2382"/>
    <w:rsid w:val="005D297F"/>
    <w:rsid w:val="005D6D8C"/>
    <w:rsid w:val="005E1161"/>
    <w:rsid w:val="005E4301"/>
    <w:rsid w:val="005E6DCB"/>
    <w:rsid w:val="005F1993"/>
    <w:rsid w:val="005F2269"/>
    <w:rsid w:val="005F4D3F"/>
    <w:rsid w:val="005F6CE2"/>
    <w:rsid w:val="00600FC4"/>
    <w:rsid w:val="006034D7"/>
    <w:rsid w:val="00605355"/>
    <w:rsid w:val="006102F4"/>
    <w:rsid w:val="006149F2"/>
    <w:rsid w:val="0061572E"/>
    <w:rsid w:val="00616FD0"/>
    <w:rsid w:val="00630D64"/>
    <w:rsid w:val="00633D0E"/>
    <w:rsid w:val="006466D7"/>
    <w:rsid w:val="006577E9"/>
    <w:rsid w:val="00657FA9"/>
    <w:rsid w:val="006717AA"/>
    <w:rsid w:val="00675439"/>
    <w:rsid w:val="006756CB"/>
    <w:rsid w:val="00685C8D"/>
    <w:rsid w:val="006B1545"/>
    <w:rsid w:val="006B23FC"/>
    <w:rsid w:val="006B28BC"/>
    <w:rsid w:val="006B5260"/>
    <w:rsid w:val="006B73E2"/>
    <w:rsid w:val="006C7B72"/>
    <w:rsid w:val="006C7EC1"/>
    <w:rsid w:val="006D29C2"/>
    <w:rsid w:val="006E1247"/>
    <w:rsid w:val="006F72AD"/>
    <w:rsid w:val="007022C4"/>
    <w:rsid w:val="00713909"/>
    <w:rsid w:val="00726F77"/>
    <w:rsid w:val="0072721D"/>
    <w:rsid w:val="00736A9B"/>
    <w:rsid w:val="007414D8"/>
    <w:rsid w:val="007508F7"/>
    <w:rsid w:val="007626B8"/>
    <w:rsid w:val="00773AE3"/>
    <w:rsid w:val="00776816"/>
    <w:rsid w:val="007908B7"/>
    <w:rsid w:val="007956BD"/>
    <w:rsid w:val="007B4885"/>
    <w:rsid w:val="007C77AA"/>
    <w:rsid w:val="007C7C7C"/>
    <w:rsid w:val="007C7D72"/>
    <w:rsid w:val="007D5827"/>
    <w:rsid w:val="007E2565"/>
    <w:rsid w:val="007F1010"/>
    <w:rsid w:val="007F34B4"/>
    <w:rsid w:val="007F634F"/>
    <w:rsid w:val="007F6BB2"/>
    <w:rsid w:val="00800A0A"/>
    <w:rsid w:val="0080349F"/>
    <w:rsid w:val="00803687"/>
    <w:rsid w:val="008052A3"/>
    <w:rsid w:val="00822C04"/>
    <w:rsid w:val="00827418"/>
    <w:rsid w:val="0083063B"/>
    <w:rsid w:val="008362F4"/>
    <w:rsid w:val="00840509"/>
    <w:rsid w:val="00840DD1"/>
    <w:rsid w:val="008477BE"/>
    <w:rsid w:val="008615C4"/>
    <w:rsid w:val="0086304F"/>
    <w:rsid w:val="008645AC"/>
    <w:rsid w:val="00866B99"/>
    <w:rsid w:val="00897617"/>
    <w:rsid w:val="008A5596"/>
    <w:rsid w:val="008A5DF8"/>
    <w:rsid w:val="008C0695"/>
    <w:rsid w:val="008C4542"/>
    <w:rsid w:val="008C712B"/>
    <w:rsid w:val="008D0598"/>
    <w:rsid w:val="008D3E7A"/>
    <w:rsid w:val="008D5BAD"/>
    <w:rsid w:val="008D5F43"/>
    <w:rsid w:val="008E0604"/>
    <w:rsid w:val="008E2D74"/>
    <w:rsid w:val="008E4B3D"/>
    <w:rsid w:val="008F2B0B"/>
    <w:rsid w:val="00914A8A"/>
    <w:rsid w:val="00923103"/>
    <w:rsid w:val="00930A4F"/>
    <w:rsid w:val="009312C4"/>
    <w:rsid w:val="0093597C"/>
    <w:rsid w:val="00951D03"/>
    <w:rsid w:val="009536DD"/>
    <w:rsid w:val="009629D1"/>
    <w:rsid w:val="00966B82"/>
    <w:rsid w:val="0096744A"/>
    <w:rsid w:val="00967C19"/>
    <w:rsid w:val="0097001D"/>
    <w:rsid w:val="009704FD"/>
    <w:rsid w:val="00973092"/>
    <w:rsid w:val="00976EE7"/>
    <w:rsid w:val="00997C14"/>
    <w:rsid w:val="009A4AD6"/>
    <w:rsid w:val="009C3F26"/>
    <w:rsid w:val="009C5213"/>
    <w:rsid w:val="009C6FD1"/>
    <w:rsid w:val="009D2536"/>
    <w:rsid w:val="009D30FA"/>
    <w:rsid w:val="009D6B8F"/>
    <w:rsid w:val="009E2006"/>
    <w:rsid w:val="009F0EFE"/>
    <w:rsid w:val="009F1035"/>
    <w:rsid w:val="009F5809"/>
    <w:rsid w:val="00A05A38"/>
    <w:rsid w:val="00A21DC4"/>
    <w:rsid w:val="00A34AA0"/>
    <w:rsid w:val="00A34FC3"/>
    <w:rsid w:val="00A36D84"/>
    <w:rsid w:val="00A4314E"/>
    <w:rsid w:val="00A50245"/>
    <w:rsid w:val="00A51D54"/>
    <w:rsid w:val="00A56BB2"/>
    <w:rsid w:val="00A60F14"/>
    <w:rsid w:val="00A6352B"/>
    <w:rsid w:val="00A671B6"/>
    <w:rsid w:val="00A67C0D"/>
    <w:rsid w:val="00A84C0E"/>
    <w:rsid w:val="00A94DC8"/>
    <w:rsid w:val="00A953DD"/>
    <w:rsid w:val="00A9585D"/>
    <w:rsid w:val="00AA3E90"/>
    <w:rsid w:val="00AA6A57"/>
    <w:rsid w:val="00AB0F84"/>
    <w:rsid w:val="00AB2DCF"/>
    <w:rsid w:val="00AB5E46"/>
    <w:rsid w:val="00AB66C0"/>
    <w:rsid w:val="00AC0F82"/>
    <w:rsid w:val="00AC498F"/>
    <w:rsid w:val="00AC60D1"/>
    <w:rsid w:val="00AD32EA"/>
    <w:rsid w:val="00AD5E20"/>
    <w:rsid w:val="00AE1425"/>
    <w:rsid w:val="00AE2B47"/>
    <w:rsid w:val="00AE33B8"/>
    <w:rsid w:val="00AE7C27"/>
    <w:rsid w:val="00AF0B9D"/>
    <w:rsid w:val="00B06E74"/>
    <w:rsid w:val="00B1142F"/>
    <w:rsid w:val="00B14799"/>
    <w:rsid w:val="00B15106"/>
    <w:rsid w:val="00B15861"/>
    <w:rsid w:val="00B16E4B"/>
    <w:rsid w:val="00B2077C"/>
    <w:rsid w:val="00B347E4"/>
    <w:rsid w:val="00B400EF"/>
    <w:rsid w:val="00B41A74"/>
    <w:rsid w:val="00B448AB"/>
    <w:rsid w:val="00B46D18"/>
    <w:rsid w:val="00B51719"/>
    <w:rsid w:val="00B554D2"/>
    <w:rsid w:val="00B55BBA"/>
    <w:rsid w:val="00B57B5E"/>
    <w:rsid w:val="00B6090B"/>
    <w:rsid w:val="00B66B60"/>
    <w:rsid w:val="00B76B82"/>
    <w:rsid w:val="00B803FC"/>
    <w:rsid w:val="00B90848"/>
    <w:rsid w:val="00B954EF"/>
    <w:rsid w:val="00BA3246"/>
    <w:rsid w:val="00BA6627"/>
    <w:rsid w:val="00BA6FBA"/>
    <w:rsid w:val="00BB01DD"/>
    <w:rsid w:val="00BB04D8"/>
    <w:rsid w:val="00BC004D"/>
    <w:rsid w:val="00BC1E4F"/>
    <w:rsid w:val="00BC5BB5"/>
    <w:rsid w:val="00BD2EC1"/>
    <w:rsid w:val="00BD3EE9"/>
    <w:rsid w:val="00BE0984"/>
    <w:rsid w:val="00BE0BDC"/>
    <w:rsid w:val="00BE398F"/>
    <w:rsid w:val="00BE53ED"/>
    <w:rsid w:val="00BF2560"/>
    <w:rsid w:val="00BF434C"/>
    <w:rsid w:val="00BF49EF"/>
    <w:rsid w:val="00C07F42"/>
    <w:rsid w:val="00C24151"/>
    <w:rsid w:val="00C31E62"/>
    <w:rsid w:val="00C347A9"/>
    <w:rsid w:val="00C5571B"/>
    <w:rsid w:val="00C60F20"/>
    <w:rsid w:val="00C70F5A"/>
    <w:rsid w:val="00C87D79"/>
    <w:rsid w:val="00C91641"/>
    <w:rsid w:val="00C91C53"/>
    <w:rsid w:val="00CB08F7"/>
    <w:rsid w:val="00CB2087"/>
    <w:rsid w:val="00CB2A7B"/>
    <w:rsid w:val="00CB7F8B"/>
    <w:rsid w:val="00CD3AB1"/>
    <w:rsid w:val="00CD4988"/>
    <w:rsid w:val="00CE15AE"/>
    <w:rsid w:val="00CF44F7"/>
    <w:rsid w:val="00D00064"/>
    <w:rsid w:val="00D0013D"/>
    <w:rsid w:val="00D00F60"/>
    <w:rsid w:val="00D0224C"/>
    <w:rsid w:val="00D06F47"/>
    <w:rsid w:val="00D12D97"/>
    <w:rsid w:val="00D147A9"/>
    <w:rsid w:val="00D14868"/>
    <w:rsid w:val="00D20571"/>
    <w:rsid w:val="00D23F45"/>
    <w:rsid w:val="00D25E06"/>
    <w:rsid w:val="00D31672"/>
    <w:rsid w:val="00D34186"/>
    <w:rsid w:val="00D448E1"/>
    <w:rsid w:val="00D44E36"/>
    <w:rsid w:val="00D636DB"/>
    <w:rsid w:val="00D76D80"/>
    <w:rsid w:val="00D80B8E"/>
    <w:rsid w:val="00D80E1E"/>
    <w:rsid w:val="00D975E7"/>
    <w:rsid w:val="00D97ECB"/>
    <w:rsid w:val="00DA1860"/>
    <w:rsid w:val="00DA5084"/>
    <w:rsid w:val="00DA6314"/>
    <w:rsid w:val="00DB00D9"/>
    <w:rsid w:val="00DB1126"/>
    <w:rsid w:val="00DB42E7"/>
    <w:rsid w:val="00DB46C3"/>
    <w:rsid w:val="00DB4ECB"/>
    <w:rsid w:val="00DB553D"/>
    <w:rsid w:val="00DC376D"/>
    <w:rsid w:val="00DC50F5"/>
    <w:rsid w:val="00DD04FD"/>
    <w:rsid w:val="00DD1020"/>
    <w:rsid w:val="00DD1F73"/>
    <w:rsid w:val="00DD69C1"/>
    <w:rsid w:val="00DE428B"/>
    <w:rsid w:val="00DF24C0"/>
    <w:rsid w:val="00DF5751"/>
    <w:rsid w:val="00DF5D23"/>
    <w:rsid w:val="00E023A7"/>
    <w:rsid w:val="00E03088"/>
    <w:rsid w:val="00E03522"/>
    <w:rsid w:val="00E0400B"/>
    <w:rsid w:val="00E05D15"/>
    <w:rsid w:val="00E10762"/>
    <w:rsid w:val="00E178A9"/>
    <w:rsid w:val="00E33680"/>
    <w:rsid w:val="00E377FE"/>
    <w:rsid w:val="00E429E7"/>
    <w:rsid w:val="00E44F0B"/>
    <w:rsid w:val="00E457E7"/>
    <w:rsid w:val="00E46F87"/>
    <w:rsid w:val="00E50650"/>
    <w:rsid w:val="00E53468"/>
    <w:rsid w:val="00E537E1"/>
    <w:rsid w:val="00E76581"/>
    <w:rsid w:val="00E773C4"/>
    <w:rsid w:val="00E830A5"/>
    <w:rsid w:val="00E83CD0"/>
    <w:rsid w:val="00E84917"/>
    <w:rsid w:val="00E85FF7"/>
    <w:rsid w:val="00EB2B80"/>
    <w:rsid w:val="00EB4518"/>
    <w:rsid w:val="00EB54CD"/>
    <w:rsid w:val="00EB6293"/>
    <w:rsid w:val="00EB6674"/>
    <w:rsid w:val="00EB7532"/>
    <w:rsid w:val="00EC6C15"/>
    <w:rsid w:val="00ED645B"/>
    <w:rsid w:val="00EF1C04"/>
    <w:rsid w:val="00EF7919"/>
    <w:rsid w:val="00F06079"/>
    <w:rsid w:val="00F14F76"/>
    <w:rsid w:val="00F15E2E"/>
    <w:rsid w:val="00F208D8"/>
    <w:rsid w:val="00F36451"/>
    <w:rsid w:val="00F40B10"/>
    <w:rsid w:val="00F440C1"/>
    <w:rsid w:val="00F51BB5"/>
    <w:rsid w:val="00F51DF1"/>
    <w:rsid w:val="00F535E7"/>
    <w:rsid w:val="00F55CEF"/>
    <w:rsid w:val="00F562CC"/>
    <w:rsid w:val="00F57124"/>
    <w:rsid w:val="00F608BD"/>
    <w:rsid w:val="00F617E4"/>
    <w:rsid w:val="00F65565"/>
    <w:rsid w:val="00F7135C"/>
    <w:rsid w:val="00F80D9C"/>
    <w:rsid w:val="00F83367"/>
    <w:rsid w:val="00F877B8"/>
    <w:rsid w:val="00F909F2"/>
    <w:rsid w:val="00F949F2"/>
    <w:rsid w:val="00FA0739"/>
    <w:rsid w:val="00FA1426"/>
    <w:rsid w:val="00FA4C44"/>
    <w:rsid w:val="00FA4FD2"/>
    <w:rsid w:val="00FA5593"/>
    <w:rsid w:val="00FB0360"/>
    <w:rsid w:val="00FB6812"/>
    <w:rsid w:val="00FC69CE"/>
    <w:rsid w:val="00FD0F26"/>
    <w:rsid w:val="00FD20BF"/>
    <w:rsid w:val="00FE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MediumGrid1-Accent22">
    <w:name w:val="Medium Grid 1 - Accent 22"/>
    <w:basedOn w:val="Normal"/>
    <w:uiPriority w:val="34"/>
    <w:qFormat/>
    <w:rsid w:val="00160EF0"/>
    <w:pPr>
      <w:ind w:left="720"/>
    </w:pPr>
    <w:rPr>
      <w:rFonts w:ascii="Calibri" w:hAnsi="Calibri"/>
      <w:sz w:val="22"/>
      <w:lang w:bidi="ar-SA"/>
    </w:rPr>
  </w:style>
  <w:style w:type="paragraph" w:customStyle="1" w:styleId="MediumShading1-Accent12">
    <w:name w:val="Medium Shading 1 - Accent 12"/>
    <w:basedOn w:val="Normal"/>
    <w:uiPriority w:val="1"/>
    <w:qFormat/>
    <w:rsid w:val="00470E94"/>
    <w:pPr>
      <w:ind w:left="0"/>
    </w:pPr>
    <w:rPr>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MediumGrid1-Accent22">
    <w:name w:val="Medium Grid 1 - Accent 22"/>
    <w:basedOn w:val="Normal"/>
    <w:uiPriority w:val="34"/>
    <w:qFormat/>
    <w:rsid w:val="00160EF0"/>
    <w:pPr>
      <w:ind w:left="720"/>
    </w:pPr>
    <w:rPr>
      <w:rFonts w:ascii="Calibri" w:hAnsi="Calibri"/>
      <w:sz w:val="22"/>
      <w:lang w:bidi="ar-SA"/>
    </w:rPr>
  </w:style>
  <w:style w:type="paragraph" w:customStyle="1" w:styleId="MediumShading1-Accent12">
    <w:name w:val="Medium Shading 1 - Accent 12"/>
    <w:basedOn w:val="Normal"/>
    <w:uiPriority w:val="1"/>
    <w:qFormat/>
    <w:rsid w:val="00470E94"/>
    <w:pPr>
      <w:ind w:left="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42273672">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F104-217E-4746-B2F5-5A4AB0FF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5380</CharactersWithSpaces>
  <SharedDoc>false</SharedDoc>
  <HLinks>
    <vt:vector size="42" baseType="variant">
      <vt:variant>
        <vt:i4>4915282</vt:i4>
      </vt:variant>
      <vt:variant>
        <vt:i4>18</vt:i4>
      </vt:variant>
      <vt:variant>
        <vt:i4>0</vt:i4>
      </vt:variant>
      <vt:variant>
        <vt:i4>5</vt:i4>
      </vt:variant>
      <vt:variant>
        <vt:lpwstr>http://www.irs.gov/pub/irs-dft/i109495b--dft.pdf</vt:lpwstr>
      </vt:variant>
      <vt:variant>
        <vt:lpwstr/>
      </vt:variant>
      <vt:variant>
        <vt:i4>7340139</vt:i4>
      </vt:variant>
      <vt:variant>
        <vt:i4>15</vt:i4>
      </vt:variant>
      <vt:variant>
        <vt:i4>0</vt:i4>
      </vt:variant>
      <vt:variant>
        <vt:i4>5</vt:i4>
      </vt:variant>
      <vt:variant>
        <vt:lpwstr>http://www.irs.gov/pub/irs-dft/f1095b--dft.pdf</vt:lpwstr>
      </vt:variant>
      <vt:variant>
        <vt:lpwstr/>
      </vt:variant>
      <vt:variant>
        <vt:i4>7405675</vt:i4>
      </vt:variant>
      <vt:variant>
        <vt:i4>12</vt:i4>
      </vt:variant>
      <vt:variant>
        <vt:i4>0</vt:i4>
      </vt:variant>
      <vt:variant>
        <vt:i4>5</vt:i4>
      </vt:variant>
      <vt:variant>
        <vt:lpwstr>http://www.irs.gov/pub/irs-dft/f1094b--dft.pdf</vt:lpwstr>
      </vt:variant>
      <vt:variant>
        <vt:lpwstr/>
      </vt:variant>
      <vt:variant>
        <vt:i4>4915283</vt:i4>
      </vt:variant>
      <vt:variant>
        <vt:i4>9</vt:i4>
      </vt:variant>
      <vt:variant>
        <vt:i4>0</vt:i4>
      </vt:variant>
      <vt:variant>
        <vt:i4>5</vt:i4>
      </vt:variant>
      <vt:variant>
        <vt:lpwstr>http://www.irs.gov/pub/irs-dft/i109495c--dft.pdf</vt:lpwstr>
      </vt:variant>
      <vt:variant>
        <vt:lpwstr/>
      </vt:variant>
      <vt:variant>
        <vt:i4>7340138</vt:i4>
      </vt:variant>
      <vt:variant>
        <vt:i4>6</vt:i4>
      </vt:variant>
      <vt:variant>
        <vt:i4>0</vt:i4>
      </vt:variant>
      <vt:variant>
        <vt:i4>5</vt:i4>
      </vt:variant>
      <vt:variant>
        <vt:lpwstr>http://www.irs.gov/pub/irs-dft/f1095c--dft.pdf</vt:lpwstr>
      </vt:variant>
      <vt:variant>
        <vt:lpwstr/>
      </vt:variant>
      <vt:variant>
        <vt:i4>7405674</vt:i4>
      </vt:variant>
      <vt:variant>
        <vt:i4>3</vt:i4>
      </vt:variant>
      <vt:variant>
        <vt:i4>0</vt:i4>
      </vt:variant>
      <vt:variant>
        <vt:i4>5</vt:i4>
      </vt:variant>
      <vt:variant>
        <vt:lpwstr>http://www.irs.gov/pub/irs-dft/f1094c--dft.pdf</vt:lpwstr>
      </vt:variant>
      <vt:variant>
        <vt:lpwstr/>
      </vt:variant>
      <vt:variant>
        <vt:i4>7274526</vt:i4>
      </vt:variant>
      <vt:variant>
        <vt:i4>0</vt:i4>
      </vt:variant>
      <vt:variant>
        <vt:i4>0</vt:i4>
      </vt:variant>
      <vt:variant>
        <vt:i4>5</vt:i4>
      </vt:variant>
      <vt:variant>
        <vt:lpwstr>http://www.irs.gov/Affordable-Care-Act/Questions-and-Answers-on-Information-Reporting-by-Health-Coverage-Providers-Section-6055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2015-06-14T11:42:00Z</cp:lastPrinted>
  <dcterms:created xsi:type="dcterms:W3CDTF">2015-09-18T19:00:00Z</dcterms:created>
  <dcterms:modified xsi:type="dcterms:W3CDTF">2015-09-18T19:00:00Z</dcterms:modified>
</cp:coreProperties>
</file>