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5993B" w14:textId="77777777" w:rsidR="005F1248" w:rsidRDefault="005F1248" w:rsidP="00A6352B">
      <w:pPr>
        <w:ind w:left="0"/>
        <w:rPr>
          <w:b/>
          <w:sz w:val="28"/>
          <w:szCs w:val="28"/>
        </w:rPr>
      </w:pPr>
      <w:r>
        <w:rPr>
          <w:b/>
          <w:noProof/>
          <w:sz w:val="28"/>
          <w:szCs w:val="28"/>
          <w:lang w:bidi="ar-SA"/>
        </w:rPr>
        <mc:AlternateContent>
          <mc:Choice Requires="wps">
            <w:drawing>
              <wp:anchor distT="0" distB="0" distL="114300" distR="114300" simplePos="0" relativeHeight="251658240" behindDoc="0" locked="0" layoutInCell="1" allowOverlap="1" wp14:anchorId="33E59FAB" wp14:editId="0B2B33FA">
                <wp:simplePos x="0" y="0"/>
                <wp:positionH relativeFrom="column">
                  <wp:posOffset>2132330</wp:posOffset>
                </wp:positionH>
                <wp:positionV relativeFrom="paragraph">
                  <wp:posOffset>-560705</wp:posOffset>
                </wp:positionV>
                <wp:extent cx="4724400" cy="6051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D2E48EC" w14:textId="77777777" w:rsidR="005F1248" w:rsidRPr="000B4DEA" w:rsidRDefault="005F1248" w:rsidP="005F1248">
                            <w:pPr>
                              <w:jc w:val="center"/>
                              <w:rPr>
                                <w:color w:val="FFFFFF"/>
                                <w:spacing w:val="40"/>
                                <w:sz w:val="44"/>
                                <w:szCs w:val="44"/>
                              </w:rPr>
                            </w:pPr>
                            <w:r>
                              <w:rPr>
                                <w:color w:val="FFFFFF"/>
                                <w:spacing w:val="40"/>
                                <w:sz w:val="44"/>
                                <w:szCs w:val="44"/>
                              </w:rPr>
                              <w:t>Issue Brief</w:t>
                            </w:r>
                          </w:p>
                          <w:p w14:paraId="33B06B13" w14:textId="77777777" w:rsidR="005F1248" w:rsidRPr="00D636DB" w:rsidRDefault="005F1248" w:rsidP="005F1248">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_x0020_Box_x0020_10" o:spid="_x0000_s1026" type="#_x0000_t202" style="position:absolute;margin-left:167.9pt;margin-top:-44.1pt;width:372pt;height:4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" filled="f" stroked="f">
                <v:textbox>
                  <w:txbxContent>
                    <w:p w14:paraId="14A091F8" w14:textId="0D7D5553" w:rsidR="005F1248" w:rsidRPr="000B4DEA" w:rsidRDefault="005F1248" w:rsidP="005F1248">
                      <w:pPr>
                        <w:jc w:val="center"/>
                        <w:rPr>
                          <w:color w:val="FFFFFF"/>
                          <w:spacing w:val="40"/>
                          <w:sz w:val="44"/>
                          <w:szCs w:val="44"/>
                        </w:rPr>
                      </w:pPr>
                      <w:r>
                        <w:rPr>
                          <w:color w:val="FFFFFF"/>
                          <w:spacing w:val="40"/>
                          <w:sz w:val="44"/>
                          <w:szCs w:val="44"/>
                        </w:rPr>
                        <w:t>Issue Brief</w:t>
                      </w:r>
                    </w:p>
                    <w:p w14:paraId="6F0CA551" w14:textId="77777777" w:rsidR="005F1248" w:rsidRPr="00D636DB" w:rsidRDefault="005F1248" w:rsidP="005F1248">
                      <w:pPr>
                        <w:jc w:val="center"/>
                        <w:rPr>
                          <w:color w:val="BFBFBF"/>
                          <w:sz w:val="72"/>
                          <w:szCs w:val="72"/>
                        </w:rPr>
                      </w:pPr>
                    </w:p>
                  </w:txbxContent>
                </v:textbox>
              </v:shape>
            </w:pict>
          </mc:Fallback>
        </mc:AlternateContent>
      </w:r>
      <w:r>
        <w:rPr>
          <w:b/>
          <w:noProof/>
          <w:sz w:val="28"/>
          <w:szCs w:val="28"/>
          <w:lang w:bidi="ar-SA"/>
        </w:rPr>
        <w:drawing>
          <wp:anchor distT="0" distB="0" distL="114300" distR="114300" simplePos="0" relativeHeight="251659264" behindDoc="1" locked="0" layoutInCell="1" allowOverlap="1" wp14:anchorId="1375A190" wp14:editId="22C3DD71">
            <wp:simplePos x="0" y="0"/>
            <wp:positionH relativeFrom="column">
              <wp:posOffset>-914400</wp:posOffset>
            </wp:positionH>
            <wp:positionV relativeFrom="paragraph">
              <wp:posOffset>-758190</wp:posOffset>
            </wp:positionV>
            <wp:extent cx="7823200" cy="802640"/>
            <wp:effectExtent l="0" t="0" r="0" b="10160"/>
            <wp:wrapNone/>
            <wp:docPr id="11" name="Picture 11" descr="Description: 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header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46871" w14:textId="77777777" w:rsidR="00A6352B" w:rsidRDefault="0049024F" w:rsidP="00A6352B">
      <w:pPr>
        <w:ind w:left="0"/>
        <w:rPr>
          <w:b/>
          <w:sz w:val="28"/>
          <w:szCs w:val="28"/>
        </w:rPr>
      </w:pPr>
      <w:r>
        <w:rPr>
          <w:b/>
          <w:sz w:val="28"/>
          <w:szCs w:val="28"/>
        </w:rPr>
        <w:t>§4980H</w:t>
      </w:r>
      <w:r w:rsidR="00665BE0">
        <w:rPr>
          <w:b/>
          <w:sz w:val="28"/>
          <w:szCs w:val="28"/>
        </w:rPr>
        <w:t xml:space="preserve"> Compliance Update</w:t>
      </w:r>
    </w:p>
    <w:p w14:paraId="74178233" w14:textId="77777777" w:rsidR="00A6352B" w:rsidRPr="00B305F9" w:rsidRDefault="00A6352B" w:rsidP="00A6352B">
      <w:pPr>
        <w:ind w:left="0"/>
        <w:rPr>
          <w:rFonts w:ascii="Calibri" w:hAnsi="Calibri"/>
          <w:b/>
          <w:sz w:val="22"/>
        </w:rPr>
      </w:pPr>
    </w:p>
    <w:p w14:paraId="44EAE5D9" w14:textId="77777777" w:rsidR="00A6352B" w:rsidRPr="00B305F9" w:rsidRDefault="00A6352B" w:rsidP="00A6352B">
      <w:pPr>
        <w:ind w:left="0"/>
        <w:rPr>
          <w:rFonts w:ascii="Calibri" w:hAnsi="Calibri" w:cs="Arial"/>
          <w:b/>
          <w:sz w:val="22"/>
        </w:rPr>
      </w:pPr>
      <w:r w:rsidRPr="00B305F9">
        <w:rPr>
          <w:rFonts w:ascii="Calibri" w:hAnsi="Calibri" w:cs="Arial"/>
          <w:b/>
          <w:sz w:val="22"/>
        </w:rPr>
        <w:t xml:space="preserve">Issue Date: </w:t>
      </w:r>
      <w:r w:rsidR="00665BE0">
        <w:rPr>
          <w:rFonts w:ascii="Calibri" w:hAnsi="Calibri" w:cs="Arial"/>
          <w:b/>
          <w:sz w:val="22"/>
        </w:rPr>
        <w:t>December</w:t>
      </w:r>
      <w:r w:rsidR="0082069A" w:rsidRPr="00B305F9">
        <w:rPr>
          <w:rFonts w:ascii="Calibri" w:hAnsi="Calibri" w:cs="Arial"/>
          <w:b/>
          <w:sz w:val="22"/>
        </w:rPr>
        <w:t xml:space="preserve"> 2015</w:t>
      </w:r>
    </w:p>
    <w:p w14:paraId="02809179" w14:textId="77777777" w:rsidR="00E03522" w:rsidRPr="00B305F9" w:rsidRDefault="00E03522" w:rsidP="00A6352B">
      <w:pPr>
        <w:ind w:left="0"/>
        <w:rPr>
          <w:rFonts w:ascii="Calibri" w:hAnsi="Calibri" w:cs="Arial"/>
          <w:color w:val="000000"/>
          <w:sz w:val="22"/>
        </w:rPr>
      </w:pPr>
    </w:p>
    <w:p w14:paraId="1959880E" w14:textId="77777777" w:rsidR="00F65964" w:rsidRPr="00834780" w:rsidRDefault="00466F5E" w:rsidP="00834780">
      <w:pPr>
        <w:ind w:left="0"/>
        <w:rPr>
          <w:rFonts w:cs="Arial"/>
          <w:color w:val="000000"/>
          <w:szCs w:val="20"/>
          <w:lang w:bidi="ar-SA"/>
        </w:rPr>
      </w:pPr>
      <w:r>
        <w:rPr>
          <w:rFonts w:cs="Arial"/>
          <w:color w:val="333333"/>
          <w:szCs w:val="20"/>
          <w:shd w:val="clear" w:color="auto" w:fill="FFFFFF"/>
        </w:rPr>
        <w:t>In m</w:t>
      </w:r>
      <w:r w:rsidR="00F94C53" w:rsidRPr="00834780">
        <w:rPr>
          <w:rFonts w:cs="Arial"/>
          <w:color w:val="333333"/>
          <w:szCs w:val="20"/>
          <w:shd w:val="clear" w:color="auto" w:fill="FFFFFF"/>
        </w:rPr>
        <w:t>id-December</w:t>
      </w:r>
      <w:r w:rsidR="00BE6BFF" w:rsidRPr="00834780">
        <w:rPr>
          <w:rFonts w:cs="Arial"/>
          <w:color w:val="333333"/>
          <w:szCs w:val="20"/>
          <w:shd w:val="clear" w:color="auto" w:fill="FFFFFF"/>
        </w:rPr>
        <w:t xml:space="preserve">, </w:t>
      </w:r>
      <w:r w:rsidR="00BE6BFF" w:rsidRPr="00834780">
        <w:rPr>
          <w:rFonts w:cs="Arial"/>
          <w:szCs w:val="20"/>
        </w:rPr>
        <w:t xml:space="preserve">the Internal Revenue Service (IRS) </w:t>
      </w:r>
      <w:r w:rsidR="00BE6BFF" w:rsidRPr="00834780">
        <w:rPr>
          <w:rFonts w:cs="Arial"/>
          <w:color w:val="333333"/>
          <w:szCs w:val="20"/>
          <w:shd w:val="clear" w:color="auto" w:fill="FFFFFF"/>
        </w:rPr>
        <w:t>released further guidance on a variety of Affordable Care Act (ACA) provisions that affect employer-sponsored group health plans via Notice 2015-87</w:t>
      </w:r>
      <w:r w:rsidR="00517F1A" w:rsidRPr="00834780">
        <w:rPr>
          <w:rFonts w:cs="Arial"/>
          <w:color w:val="000000"/>
          <w:szCs w:val="20"/>
        </w:rPr>
        <w:t>.</w:t>
      </w:r>
      <w:r w:rsidR="007F7068" w:rsidRPr="00834780">
        <w:rPr>
          <w:rFonts w:cs="Arial"/>
          <w:color w:val="000000"/>
          <w:szCs w:val="20"/>
        </w:rPr>
        <w:t xml:space="preserve"> The notice was provided in a Q&amp;A format</w:t>
      </w:r>
      <w:r>
        <w:rPr>
          <w:rFonts w:cs="Arial"/>
          <w:color w:val="000000"/>
          <w:szCs w:val="20"/>
        </w:rPr>
        <w:t>,</w:t>
      </w:r>
      <w:r w:rsidR="007F7068" w:rsidRPr="00834780">
        <w:rPr>
          <w:rFonts w:cs="Arial"/>
          <w:color w:val="000000"/>
          <w:szCs w:val="20"/>
        </w:rPr>
        <w:t xml:space="preserve"> with several </w:t>
      </w:r>
      <w:r w:rsidR="002E5CB6">
        <w:rPr>
          <w:rFonts w:cs="Arial"/>
          <w:color w:val="000000"/>
          <w:szCs w:val="20"/>
        </w:rPr>
        <w:t xml:space="preserve">of the </w:t>
      </w:r>
      <w:r w:rsidR="007F7068" w:rsidRPr="00834780">
        <w:rPr>
          <w:rFonts w:cs="Arial"/>
          <w:color w:val="000000"/>
          <w:szCs w:val="20"/>
        </w:rPr>
        <w:t xml:space="preserve">responses clarifying </w:t>
      </w:r>
      <w:r w:rsidR="00BD15CB">
        <w:rPr>
          <w:rFonts w:cs="Arial"/>
          <w:color w:val="000000"/>
          <w:szCs w:val="20"/>
        </w:rPr>
        <w:t>§4980H</w:t>
      </w:r>
      <w:r w:rsidR="007F7068" w:rsidRPr="00834780">
        <w:rPr>
          <w:rFonts w:cs="Arial"/>
          <w:color w:val="000000"/>
          <w:szCs w:val="20"/>
        </w:rPr>
        <w:t xml:space="preserve"> (“employer mandate”) requirements, including guidance in regard to determining affordability, counting hours of service</w:t>
      </w:r>
      <w:r>
        <w:rPr>
          <w:rFonts w:cs="Arial"/>
          <w:color w:val="000000"/>
          <w:szCs w:val="20"/>
        </w:rPr>
        <w:t>,</w:t>
      </w:r>
      <w:r w:rsidR="007F7068" w:rsidRPr="00834780">
        <w:rPr>
          <w:rFonts w:cs="Arial"/>
          <w:color w:val="000000"/>
          <w:szCs w:val="20"/>
        </w:rPr>
        <w:t xml:space="preserve"> and </w:t>
      </w:r>
      <w:r w:rsidR="00F94C53" w:rsidRPr="00834780">
        <w:rPr>
          <w:rFonts w:cs="Arial"/>
          <w:color w:val="000000"/>
          <w:szCs w:val="20"/>
        </w:rPr>
        <w:t xml:space="preserve">2016 </w:t>
      </w:r>
      <w:r w:rsidR="007F7068" w:rsidRPr="00834780">
        <w:rPr>
          <w:rFonts w:cs="Arial"/>
          <w:color w:val="000000"/>
          <w:szCs w:val="20"/>
        </w:rPr>
        <w:t>penalty (assessable payment) amounts.</w:t>
      </w:r>
    </w:p>
    <w:p w14:paraId="1AC5444D" w14:textId="77777777" w:rsidR="000D31AC" w:rsidRPr="00834780" w:rsidRDefault="000D31AC" w:rsidP="00834780">
      <w:pPr>
        <w:ind w:left="0"/>
        <w:rPr>
          <w:rFonts w:cs="Arial"/>
          <w:color w:val="000000"/>
          <w:szCs w:val="20"/>
        </w:rPr>
      </w:pPr>
    </w:p>
    <w:p w14:paraId="1CDA05D5" w14:textId="77777777" w:rsidR="00A6352B" w:rsidRPr="00834780" w:rsidRDefault="00A6352B" w:rsidP="00834780">
      <w:pPr>
        <w:pStyle w:val="Heading2"/>
        <w:spacing w:before="0"/>
        <w:ind w:left="0"/>
        <w:rPr>
          <w:rFonts w:ascii="Arial" w:hAnsi="Arial" w:cs="Arial"/>
          <w:sz w:val="20"/>
          <w:szCs w:val="20"/>
        </w:rPr>
      </w:pPr>
      <w:r w:rsidRPr="00834780">
        <w:rPr>
          <w:rFonts w:ascii="Arial" w:hAnsi="Arial" w:cs="Arial"/>
          <w:sz w:val="20"/>
          <w:szCs w:val="20"/>
        </w:rPr>
        <w:t>Background</w:t>
      </w:r>
    </w:p>
    <w:p w14:paraId="731E7745" w14:textId="2D674CE3" w:rsidR="00B80971" w:rsidRPr="00D63AD2" w:rsidRDefault="0049024F" w:rsidP="00834780">
      <w:pPr>
        <w:ind w:left="0"/>
        <w:rPr>
          <w:rFonts w:cs="Arial"/>
          <w:szCs w:val="20"/>
        </w:rPr>
      </w:pPr>
      <w:bookmarkStart w:id="0" w:name="HCRFRMq3954z1"/>
      <w:bookmarkStart w:id="1" w:name="cade1d0c15d56417b0acf4d5c34e0612"/>
      <w:bookmarkStart w:id="2" w:name="HCRFRMq3955z1"/>
      <w:bookmarkStart w:id="3" w:name="9d57e226c5f9617ecddae46a52220818"/>
      <w:bookmarkEnd w:id="0"/>
      <w:bookmarkEnd w:id="1"/>
      <w:bookmarkEnd w:id="2"/>
      <w:bookmarkEnd w:id="3"/>
      <w:r>
        <w:rPr>
          <w:rFonts w:cs="Arial"/>
          <w:color w:val="252525"/>
          <w:szCs w:val="20"/>
        </w:rPr>
        <w:t>§4980H</w:t>
      </w:r>
      <w:r w:rsidR="00EC2658">
        <w:rPr>
          <w:rFonts w:cs="Arial"/>
          <w:color w:val="252525"/>
          <w:szCs w:val="20"/>
        </w:rPr>
        <w:t xml:space="preserve"> </w:t>
      </w:r>
      <w:r w:rsidR="007F7068" w:rsidRPr="00D63AD2">
        <w:rPr>
          <w:rFonts w:cs="Arial"/>
          <w:color w:val="252525"/>
          <w:szCs w:val="20"/>
        </w:rPr>
        <w:t xml:space="preserve">requires applicable large employers (ALEs) – </w:t>
      </w:r>
      <w:r w:rsidR="00466F5E">
        <w:rPr>
          <w:rFonts w:cs="Arial"/>
          <w:color w:val="252525"/>
          <w:szCs w:val="20"/>
        </w:rPr>
        <w:t xml:space="preserve">those with </w:t>
      </w:r>
      <w:r w:rsidR="007F7068" w:rsidRPr="00D63AD2">
        <w:rPr>
          <w:rFonts w:cs="Arial"/>
          <w:color w:val="252525"/>
          <w:szCs w:val="20"/>
        </w:rPr>
        <w:t xml:space="preserve">50 or more full-time equivalents (FTEs) – to offer coverage to full-time employees and their dependents that provides minimum value and is affordable. Employers </w:t>
      </w:r>
      <w:r w:rsidR="00466F5E">
        <w:rPr>
          <w:rFonts w:cs="Arial"/>
          <w:color w:val="252525"/>
          <w:szCs w:val="20"/>
        </w:rPr>
        <w:t>who</w:t>
      </w:r>
      <w:r w:rsidR="007F7068" w:rsidRPr="00D63AD2">
        <w:rPr>
          <w:rFonts w:cs="Arial"/>
          <w:color w:val="252525"/>
          <w:szCs w:val="20"/>
        </w:rPr>
        <w:t xml:space="preserve"> fail to do so may face potential penalties.  </w:t>
      </w:r>
    </w:p>
    <w:p w14:paraId="72D2896D" w14:textId="77777777" w:rsidR="00B80971" w:rsidRPr="00D63AD2" w:rsidRDefault="00B80971" w:rsidP="00834780">
      <w:pPr>
        <w:ind w:left="0"/>
        <w:rPr>
          <w:rFonts w:cs="Arial"/>
          <w:szCs w:val="20"/>
        </w:rPr>
      </w:pPr>
    </w:p>
    <w:p w14:paraId="11EF0214" w14:textId="77777777" w:rsidR="00BA321D" w:rsidRPr="00D63AD2" w:rsidRDefault="00BA321D" w:rsidP="00BA321D">
      <w:pPr>
        <w:pStyle w:val="NormalWeb"/>
        <w:spacing w:before="0" w:beforeAutospacing="0" w:after="0" w:afterAutospacing="0"/>
        <w:textAlignment w:val="baseline"/>
        <w:rPr>
          <w:rFonts w:ascii="Arial" w:hAnsi="Arial" w:cs="Arial"/>
          <w:b/>
          <w:color w:val="252525"/>
          <w:sz w:val="20"/>
          <w:szCs w:val="20"/>
        </w:rPr>
      </w:pPr>
      <w:r w:rsidRPr="00D63AD2">
        <w:rPr>
          <w:rFonts w:ascii="Arial" w:hAnsi="Arial" w:cs="Arial"/>
          <w:b/>
          <w:color w:val="252525"/>
          <w:sz w:val="20"/>
          <w:szCs w:val="20"/>
        </w:rPr>
        <w:t xml:space="preserve">Applicable </w:t>
      </w:r>
      <w:r w:rsidR="0049024F">
        <w:rPr>
          <w:rFonts w:ascii="Arial" w:hAnsi="Arial" w:cs="Arial"/>
          <w:b/>
          <w:color w:val="252525"/>
          <w:sz w:val="20"/>
          <w:szCs w:val="20"/>
        </w:rPr>
        <w:t>§4980H</w:t>
      </w:r>
      <w:r w:rsidRPr="00D63AD2">
        <w:rPr>
          <w:rFonts w:ascii="Arial" w:hAnsi="Arial" w:cs="Arial"/>
          <w:b/>
          <w:color w:val="252525"/>
          <w:sz w:val="20"/>
          <w:szCs w:val="20"/>
        </w:rPr>
        <w:t xml:space="preserve"> Penalties/Shared Assessments</w:t>
      </w:r>
    </w:p>
    <w:p w14:paraId="192F66E6" w14:textId="0459E59B" w:rsidR="00BA321D" w:rsidRPr="00D63AD2" w:rsidRDefault="00BA321D" w:rsidP="00BA321D">
      <w:pPr>
        <w:pStyle w:val="NormalWeb"/>
        <w:spacing w:before="0" w:beforeAutospacing="0" w:after="0" w:afterAutospacing="0"/>
        <w:textAlignment w:val="baseline"/>
        <w:rPr>
          <w:rFonts w:ascii="Arial" w:hAnsi="Arial" w:cs="Arial"/>
          <w:color w:val="252525"/>
          <w:sz w:val="20"/>
          <w:szCs w:val="20"/>
        </w:rPr>
      </w:pPr>
      <w:r w:rsidRPr="00D63AD2">
        <w:rPr>
          <w:rFonts w:ascii="Arial" w:hAnsi="Arial" w:cs="Arial"/>
          <w:color w:val="252525"/>
          <w:sz w:val="20"/>
          <w:szCs w:val="20"/>
        </w:rPr>
        <w:t xml:space="preserve">An applicable large employer </w:t>
      </w:r>
      <w:r w:rsidR="00466F5E">
        <w:rPr>
          <w:rFonts w:ascii="Arial" w:hAnsi="Arial" w:cs="Arial"/>
          <w:color w:val="252525"/>
          <w:sz w:val="20"/>
          <w:szCs w:val="20"/>
        </w:rPr>
        <w:t>who</w:t>
      </w:r>
      <w:r w:rsidRPr="00D63AD2">
        <w:rPr>
          <w:rFonts w:ascii="Arial" w:hAnsi="Arial" w:cs="Arial"/>
          <w:color w:val="252525"/>
          <w:sz w:val="20"/>
          <w:szCs w:val="20"/>
        </w:rPr>
        <w:t xml:space="preserve"> fails to offer minimum essential coverage (MEC) to substantially all full-time employees and their dependents (children)  face</w:t>
      </w:r>
      <w:r w:rsidR="00110C02">
        <w:rPr>
          <w:rFonts w:ascii="Arial" w:hAnsi="Arial" w:cs="Arial"/>
          <w:color w:val="252525"/>
          <w:sz w:val="20"/>
          <w:szCs w:val="20"/>
        </w:rPr>
        <w:t>s</w:t>
      </w:r>
      <w:r w:rsidRPr="00D63AD2">
        <w:rPr>
          <w:rFonts w:ascii="Arial" w:hAnsi="Arial" w:cs="Arial"/>
          <w:color w:val="252525"/>
          <w:sz w:val="20"/>
          <w:szCs w:val="20"/>
        </w:rPr>
        <w:t xml:space="preserve"> a potential penalty under </w:t>
      </w:r>
      <w:r w:rsidR="0049024F">
        <w:rPr>
          <w:rFonts w:ascii="Arial" w:hAnsi="Arial" w:cs="Arial"/>
          <w:color w:val="252525"/>
          <w:sz w:val="20"/>
          <w:szCs w:val="20"/>
        </w:rPr>
        <w:t>§4980H</w:t>
      </w:r>
      <w:bookmarkStart w:id="4" w:name="_GoBack"/>
      <w:bookmarkEnd w:id="4"/>
      <w:r w:rsidRPr="00D63AD2">
        <w:rPr>
          <w:rFonts w:ascii="Arial" w:hAnsi="Arial" w:cs="Arial"/>
          <w:color w:val="252525"/>
          <w:sz w:val="20"/>
          <w:szCs w:val="20"/>
        </w:rPr>
        <w:t>(a).</w:t>
      </w:r>
    </w:p>
    <w:p w14:paraId="4A8B50C8" w14:textId="77777777" w:rsidR="00BA321D" w:rsidRPr="00D63AD2" w:rsidRDefault="00D63AD2" w:rsidP="00BA321D">
      <w:pPr>
        <w:pStyle w:val="ListParagraph"/>
        <w:numPr>
          <w:ilvl w:val="0"/>
          <w:numId w:val="32"/>
        </w:numPr>
        <w:rPr>
          <w:rFonts w:ascii="Arial" w:hAnsi="Arial" w:cs="Arial"/>
          <w:sz w:val="20"/>
          <w:szCs w:val="20"/>
        </w:rPr>
      </w:pPr>
      <w:r w:rsidRPr="00D63AD2">
        <w:rPr>
          <w:rFonts w:ascii="Arial" w:hAnsi="Arial" w:cs="Arial"/>
          <w:sz w:val="20"/>
          <w:szCs w:val="20"/>
        </w:rPr>
        <w:t xml:space="preserve">For 2015, this amount is </w:t>
      </w:r>
      <w:r w:rsidR="00BA321D" w:rsidRPr="00D63AD2">
        <w:rPr>
          <w:rFonts w:ascii="Arial" w:hAnsi="Arial" w:cs="Arial"/>
          <w:sz w:val="20"/>
          <w:szCs w:val="20"/>
        </w:rPr>
        <w:t xml:space="preserve">$2080 </w:t>
      </w:r>
      <w:r w:rsidRPr="00D63AD2">
        <w:rPr>
          <w:rFonts w:ascii="Arial" w:hAnsi="Arial" w:cs="Arial"/>
          <w:sz w:val="20"/>
          <w:szCs w:val="20"/>
        </w:rPr>
        <w:t>($173.33/month) multiplied by the full-time employee count (minus the applicable waiver)</w:t>
      </w:r>
      <w:r w:rsidR="002E5CB6">
        <w:rPr>
          <w:rFonts w:ascii="Arial" w:hAnsi="Arial" w:cs="Arial"/>
          <w:sz w:val="20"/>
          <w:szCs w:val="20"/>
        </w:rPr>
        <w:t>.</w:t>
      </w:r>
    </w:p>
    <w:p w14:paraId="5DA6F095" w14:textId="77777777" w:rsidR="00D63AD2" w:rsidRPr="00D63AD2" w:rsidRDefault="00D63AD2" w:rsidP="00BA321D">
      <w:pPr>
        <w:pStyle w:val="ListParagraph"/>
        <w:numPr>
          <w:ilvl w:val="0"/>
          <w:numId w:val="32"/>
        </w:numPr>
        <w:rPr>
          <w:rFonts w:ascii="Arial" w:hAnsi="Arial" w:cs="Arial"/>
          <w:sz w:val="20"/>
          <w:szCs w:val="20"/>
        </w:rPr>
      </w:pPr>
      <w:r w:rsidRPr="00D63AD2">
        <w:rPr>
          <w:rFonts w:ascii="Arial" w:hAnsi="Arial" w:cs="Arial"/>
          <w:sz w:val="20"/>
          <w:szCs w:val="20"/>
        </w:rPr>
        <w:t>For 2016, this amount is $</w:t>
      </w:r>
      <w:r w:rsidR="0049024F">
        <w:rPr>
          <w:rFonts w:ascii="Arial" w:hAnsi="Arial" w:cs="Arial"/>
          <w:sz w:val="20"/>
          <w:szCs w:val="20"/>
        </w:rPr>
        <w:t>2160</w:t>
      </w:r>
      <w:r w:rsidR="0049024F" w:rsidRPr="00D63AD2">
        <w:rPr>
          <w:rFonts w:ascii="Arial" w:hAnsi="Arial" w:cs="Arial"/>
          <w:sz w:val="20"/>
          <w:szCs w:val="20"/>
        </w:rPr>
        <w:t xml:space="preserve"> </w:t>
      </w:r>
      <w:r w:rsidRPr="00D63AD2">
        <w:rPr>
          <w:rFonts w:ascii="Arial" w:hAnsi="Arial" w:cs="Arial"/>
          <w:sz w:val="20"/>
          <w:szCs w:val="20"/>
        </w:rPr>
        <w:t>($180/month) multiplied by the full-time employee count (minus the applicable waiver)</w:t>
      </w:r>
      <w:r w:rsidR="002E5CB6">
        <w:rPr>
          <w:rFonts w:ascii="Arial" w:hAnsi="Arial" w:cs="Arial"/>
          <w:sz w:val="20"/>
          <w:szCs w:val="20"/>
        </w:rPr>
        <w:t>.</w:t>
      </w:r>
    </w:p>
    <w:p w14:paraId="68685B7E" w14:textId="77777777" w:rsidR="00D63AD2" w:rsidRPr="00D63AD2" w:rsidRDefault="00D63AD2" w:rsidP="00D63AD2">
      <w:pPr>
        <w:ind w:left="0"/>
        <w:rPr>
          <w:rFonts w:cs="Arial"/>
          <w:szCs w:val="20"/>
        </w:rPr>
      </w:pPr>
    </w:p>
    <w:p w14:paraId="068AE90A" w14:textId="77777777" w:rsidR="00D63AD2" w:rsidRPr="00D63AD2" w:rsidRDefault="00D63AD2" w:rsidP="00D63AD2">
      <w:pPr>
        <w:ind w:left="0"/>
        <w:rPr>
          <w:rFonts w:cs="Arial"/>
          <w:szCs w:val="20"/>
        </w:rPr>
      </w:pPr>
      <w:r w:rsidRPr="00D63AD2">
        <w:rPr>
          <w:rFonts w:cs="Arial"/>
          <w:szCs w:val="20"/>
        </w:rPr>
        <w:t xml:space="preserve">An applicable large employer </w:t>
      </w:r>
      <w:r w:rsidR="00466F5E">
        <w:rPr>
          <w:rFonts w:cs="Arial"/>
          <w:szCs w:val="20"/>
        </w:rPr>
        <w:t>who</w:t>
      </w:r>
      <w:r w:rsidRPr="00D63AD2">
        <w:rPr>
          <w:rFonts w:cs="Arial"/>
          <w:szCs w:val="20"/>
        </w:rPr>
        <w:t xml:space="preserve"> fails to offer coverage to full-time employees that provides minimum value and is affordable face</w:t>
      </w:r>
      <w:r w:rsidR="00110C02">
        <w:rPr>
          <w:rFonts w:cs="Arial"/>
          <w:szCs w:val="20"/>
        </w:rPr>
        <w:t>s</w:t>
      </w:r>
      <w:r w:rsidRPr="00D63AD2">
        <w:rPr>
          <w:rFonts w:cs="Arial"/>
          <w:szCs w:val="20"/>
        </w:rPr>
        <w:t xml:space="preserve"> a potential penalty under </w:t>
      </w:r>
      <w:r w:rsidR="0049024F">
        <w:rPr>
          <w:rFonts w:cs="Arial"/>
          <w:szCs w:val="20"/>
        </w:rPr>
        <w:t>§4980H</w:t>
      </w:r>
      <w:r w:rsidRPr="00D63AD2">
        <w:rPr>
          <w:rFonts w:cs="Arial"/>
          <w:szCs w:val="20"/>
        </w:rPr>
        <w:t>(b).</w:t>
      </w:r>
    </w:p>
    <w:p w14:paraId="1A1AC634" w14:textId="77777777" w:rsidR="00D63AD2" w:rsidRPr="00D63AD2" w:rsidRDefault="00D63AD2" w:rsidP="00BA321D">
      <w:pPr>
        <w:pStyle w:val="ListParagraph"/>
        <w:numPr>
          <w:ilvl w:val="0"/>
          <w:numId w:val="32"/>
        </w:numPr>
        <w:rPr>
          <w:rFonts w:ascii="Arial" w:hAnsi="Arial" w:cs="Arial"/>
          <w:sz w:val="20"/>
          <w:szCs w:val="20"/>
        </w:rPr>
      </w:pPr>
      <w:r w:rsidRPr="00D63AD2">
        <w:rPr>
          <w:rFonts w:ascii="Arial" w:hAnsi="Arial" w:cs="Arial"/>
          <w:sz w:val="20"/>
          <w:szCs w:val="20"/>
        </w:rPr>
        <w:t xml:space="preserve">For 2015, this amount is </w:t>
      </w:r>
      <w:r w:rsidR="00BA321D" w:rsidRPr="00D63AD2">
        <w:rPr>
          <w:rFonts w:ascii="Arial" w:hAnsi="Arial" w:cs="Arial"/>
          <w:sz w:val="20"/>
          <w:szCs w:val="20"/>
        </w:rPr>
        <w:t>$</w:t>
      </w:r>
      <w:r w:rsidRPr="00D63AD2">
        <w:rPr>
          <w:rFonts w:ascii="Arial" w:hAnsi="Arial" w:cs="Arial"/>
          <w:sz w:val="20"/>
          <w:szCs w:val="20"/>
        </w:rPr>
        <w:t>3120</w:t>
      </w:r>
      <w:r w:rsidR="00BA321D" w:rsidRPr="00D63AD2">
        <w:rPr>
          <w:rFonts w:ascii="Arial" w:hAnsi="Arial" w:cs="Arial"/>
          <w:sz w:val="20"/>
          <w:szCs w:val="20"/>
        </w:rPr>
        <w:t xml:space="preserve"> </w:t>
      </w:r>
      <w:r w:rsidRPr="00D63AD2">
        <w:rPr>
          <w:rFonts w:ascii="Arial" w:hAnsi="Arial" w:cs="Arial"/>
          <w:sz w:val="20"/>
          <w:szCs w:val="20"/>
        </w:rPr>
        <w:t xml:space="preserve">($260/month) multiplied by each full-time employee </w:t>
      </w:r>
      <w:r w:rsidR="00466F5E">
        <w:rPr>
          <w:rFonts w:ascii="Arial" w:hAnsi="Arial" w:cs="Arial"/>
          <w:sz w:val="20"/>
          <w:szCs w:val="20"/>
        </w:rPr>
        <w:t>who</w:t>
      </w:r>
      <w:r w:rsidRPr="00D63AD2">
        <w:rPr>
          <w:rFonts w:ascii="Arial" w:hAnsi="Arial" w:cs="Arial"/>
          <w:sz w:val="20"/>
          <w:szCs w:val="20"/>
        </w:rPr>
        <w:t xml:space="preserve"> enrolls through a public Exchange and qualifies for a tax subsidy</w:t>
      </w:r>
      <w:r w:rsidR="002E5CB6">
        <w:rPr>
          <w:rFonts w:ascii="Arial" w:hAnsi="Arial" w:cs="Arial"/>
          <w:sz w:val="20"/>
          <w:szCs w:val="20"/>
        </w:rPr>
        <w:t>.</w:t>
      </w:r>
    </w:p>
    <w:p w14:paraId="10327AC1" w14:textId="77777777" w:rsidR="00BA321D" w:rsidRPr="00D63AD2" w:rsidRDefault="00D63AD2" w:rsidP="00BA321D">
      <w:pPr>
        <w:pStyle w:val="ListParagraph"/>
        <w:numPr>
          <w:ilvl w:val="0"/>
          <w:numId w:val="32"/>
        </w:numPr>
        <w:rPr>
          <w:rFonts w:ascii="Arial" w:hAnsi="Arial" w:cs="Arial"/>
          <w:sz w:val="20"/>
          <w:szCs w:val="20"/>
        </w:rPr>
      </w:pPr>
      <w:r w:rsidRPr="00D63AD2">
        <w:rPr>
          <w:rFonts w:ascii="Arial" w:hAnsi="Arial" w:cs="Arial"/>
          <w:sz w:val="20"/>
          <w:szCs w:val="20"/>
        </w:rPr>
        <w:t xml:space="preserve">For 2016, this amount is </w:t>
      </w:r>
      <w:r w:rsidR="00BA321D" w:rsidRPr="00D63AD2">
        <w:rPr>
          <w:rFonts w:ascii="Arial" w:hAnsi="Arial" w:cs="Arial"/>
          <w:sz w:val="20"/>
          <w:szCs w:val="20"/>
        </w:rPr>
        <w:t>$3240</w:t>
      </w:r>
      <w:r w:rsidRPr="00D63AD2">
        <w:rPr>
          <w:rFonts w:ascii="Arial" w:hAnsi="Arial" w:cs="Arial"/>
          <w:sz w:val="20"/>
          <w:szCs w:val="20"/>
        </w:rPr>
        <w:t xml:space="preserve"> ($270/month) multiplied by each full-time employee </w:t>
      </w:r>
      <w:r w:rsidR="00466F5E">
        <w:rPr>
          <w:rFonts w:ascii="Arial" w:hAnsi="Arial" w:cs="Arial"/>
          <w:sz w:val="20"/>
          <w:szCs w:val="20"/>
        </w:rPr>
        <w:t>who</w:t>
      </w:r>
      <w:r w:rsidRPr="00D63AD2">
        <w:rPr>
          <w:rFonts w:ascii="Arial" w:hAnsi="Arial" w:cs="Arial"/>
          <w:sz w:val="20"/>
          <w:szCs w:val="20"/>
        </w:rPr>
        <w:t xml:space="preserve"> enrolls through a public Exchange and qualifies for a tax subsidy</w:t>
      </w:r>
      <w:r w:rsidR="002E5CB6">
        <w:rPr>
          <w:rFonts w:ascii="Arial" w:hAnsi="Arial" w:cs="Arial"/>
          <w:sz w:val="20"/>
          <w:szCs w:val="20"/>
        </w:rPr>
        <w:t>.</w:t>
      </w:r>
    </w:p>
    <w:p w14:paraId="7B9C0AFD" w14:textId="77777777" w:rsidR="00BA321D" w:rsidRDefault="00BA321D" w:rsidP="00834780">
      <w:pPr>
        <w:ind w:left="0"/>
        <w:rPr>
          <w:rFonts w:cs="Arial"/>
          <w:szCs w:val="20"/>
        </w:rPr>
      </w:pPr>
    </w:p>
    <w:p w14:paraId="2C5E73B0" w14:textId="77777777" w:rsidR="00D63AD2" w:rsidRDefault="00D63AD2" w:rsidP="00D63AD2">
      <w:pPr>
        <w:ind w:left="0"/>
        <w:rPr>
          <w:rFonts w:cs="Arial"/>
          <w:b/>
          <w:szCs w:val="20"/>
        </w:rPr>
      </w:pPr>
      <w:r>
        <w:rPr>
          <w:rFonts w:cs="Arial"/>
          <w:b/>
          <w:szCs w:val="20"/>
        </w:rPr>
        <w:t>Hours of Service</w:t>
      </w:r>
    </w:p>
    <w:p w14:paraId="3E88F071" w14:textId="77777777" w:rsidR="00D63AD2" w:rsidRPr="00BA321D" w:rsidRDefault="00D63AD2" w:rsidP="00D63AD2">
      <w:pPr>
        <w:ind w:left="0"/>
        <w:rPr>
          <w:rFonts w:cs="Arial"/>
        </w:rPr>
      </w:pPr>
      <w:r w:rsidRPr="00BA321D">
        <w:rPr>
          <w:rFonts w:cs="Arial"/>
        </w:rPr>
        <w:t xml:space="preserve">An “hour of service” is defined as each hour for which an employee is paid, or entitled to payment, for the performance of duties for the employer; and each hour for which an employee is paid, or entitled to payment, by the employer for a period of time during which no duties are performed due to vacation, holiday, illness, incapacity (including disability), layoff, jury duty, military duty, or leave of absence. This definition borrows heavily from existing DOL regulations, but this notice provided clarification on some aspects of this definition and how it applies for purposes of </w:t>
      </w:r>
      <w:r w:rsidR="0049024F">
        <w:rPr>
          <w:rFonts w:cs="Arial"/>
        </w:rPr>
        <w:t>§4980H</w:t>
      </w:r>
      <w:r w:rsidRPr="00BA321D">
        <w:rPr>
          <w:rFonts w:cs="Arial"/>
        </w:rPr>
        <w:t xml:space="preserve">.  </w:t>
      </w:r>
    </w:p>
    <w:p w14:paraId="267D0029" w14:textId="77777777" w:rsidR="00D63AD2" w:rsidRPr="00BA321D" w:rsidRDefault="00D63AD2" w:rsidP="00D63AD2">
      <w:pPr>
        <w:ind w:left="0"/>
        <w:rPr>
          <w:rFonts w:cs="Arial"/>
        </w:rPr>
      </w:pPr>
    </w:p>
    <w:p w14:paraId="247BE7F5" w14:textId="77777777" w:rsidR="0049024F" w:rsidRDefault="00D63AD2" w:rsidP="00D63AD2">
      <w:pPr>
        <w:ind w:left="0"/>
        <w:rPr>
          <w:rFonts w:cs="Arial"/>
          <w:lang w:bidi="ar-SA"/>
        </w:rPr>
      </w:pPr>
      <w:r w:rsidRPr="00BA321D">
        <w:rPr>
          <w:rFonts w:cs="Arial"/>
          <w:lang w:bidi="ar-SA"/>
        </w:rPr>
        <w:t xml:space="preserve">Guidance confirmed that </w:t>
      </w:r>
      <w:r w:rsidRPr="00BA321D">
        <w:rPr>
          <w:rFonts w:cs="Arial"/>
        </w:rPr>
        <w:t xml:space="preserve">an hour of service does not include an hour for which (i) an employee is paid during a period </w:t>
      </w:r>
      <w:r w:rsidR="00466F5E">
        <w:rPr>
          <w:rFonts w:cs="Arial"/>
        </w:rPr>
        <w:t xml:space="preserve">during </w:t>
      </w:r>
      <w:r w:rsidRPr="00BA321D">
        <w:rPr>
          <w:rFonts w:cs="Arial"/>
        </w:rPr>
        <w:t>which no duties are performed if such payment is made or due under workmen’s compensation, unemployment</w:t>
      </w:r>
      <w:r w:rsidR="00466F5E">
        <w:rPr>
          <w:rFonts w:cs="Arial"/>
        </w:rPr>
        <w:t>,</w:t>
      </w:r>
      <w:r w:rsidRPr="00BA321D">
        <w:rPr>
          <w:rFonts w:cs="Arial"/>
        </w:rPr>
        <w:t xml:space="preserve"> or disability insurance laws; and (ii) payment is made solely to reimburse an employee for medical or medically related expenses.</w:t>
      </w:r>
      <w:r w:rsidRPr="00BA321D">
        <w:rPr>
          <w:rFonts w:cs="Arial"/>
          <w:lang w:bidi="ar-SA"/>
        </w:rPr>
        <w:t xml:space="preserve">  </w:t>
      </w:r>
    </w:p>
    <w:p w14:paraId="407E6B49" w14:textId="77777777" w:rsidR="0049024F" w:rsidRDefault="0049024F" w:rsidP="00D63AD2">
      <w:pPr>
        <w:ind w:left="0"/>
        <w:rPr>
          <w:rFonts w:cs="Arial"/>
          <w:lang w:bidi="ar-SA"/>
        </w:rPr>
      </w:pPr>
    </w:p>
    <w:p w14:paraId="4CE69BB9" w14:textId="77777777" w:rsidR="00D63AD2" w:rsidRPr="00BA321D" w:rsidRDefault="00D63AD2" w:rsidP="00D63AD2">
      <w:pPr>
        <w:ind w:left="0"/>
        <w:rPr>
          <w:rFonts w:cs="Arial"/>
        </w:rPr>
      </w:pPr>
      <w:r w:rsidRPr="00BA321D">
        <w:rPr>
          <w:rFonts w:cs="Arial"/>
        </w:rPr>
        <w:t xml:space="preserve">However, periods during which no duties are performed but the employee is receiving payments due to short-term disability or long-term disability should count as hours of service so long as the employee remains employed, unless the payments are made from an arrangement to which the employer did not contribute directly or indirectly (e.g. employee paid 100% with after-tax contributions). Therefore, employers </w:t>
      </w:r>
      <w:r w:rsidR="00466F5E">
        <w:rPr>
          <w:rFonts w:cs="Arial"/>
        </w:rPr>
        <w:t>who</w:t>
      </w:r>
      <w:r w:rsidRPr="00BA321D">
        <w:rPr>
          <w:rFonts w:cs="Arial"/>
        </w:rPr>
        <w:t xml:space="preserve"> allow employees to remain on the payroll for extended periods of time while being paid under a long-term disability policy will need to credit hours of service and may need to treat such individuals as full-time employees. And it was further clarified that </w:t>
      </w:r>
      <w:r w:rsidRPr="00BA321D">
        <w:rPr>
          <w:rFonts w:cs="Arial"/>
          <w:lang w:bidi="ar-SA"/>
        </w:rPr>
        <w:t xml:space="preserve">there is </w:t>
      </w:r>
      <w:r w:rsidRPr="00BA321D">
        <w:rPr>
          <w:rFonts w:cs="Arial"/>
        </w:rPr>
        <w:t>no 501-hour limit on the hours of service required to be credited to an employee on account of any single continuous period during which the employee performs no duties</w:t>
      </w:r>
      <w:r w:rsidR="0049024F">
        <w:rPr>
          <w:rFonts w:cs="Arial"/>
        </w:rPr>
        <w:t xml:space="preserve">. </w:t>
      </w:r>
    </w:p>
    <w:p w14:paraId="45F0D7A2" w14:textId="77777777" w:rsidR="00D63AD2" w:rsidRPr="00834780" w:rsidRDefault="00D63AD2" w:rsidP="00834780">
      <w:pPr>
        <w:ind w:left="0"/>
        <w:rPr>
          <w:rFonts w:cs="Arial"/>
          <w:szCs w:val="20"/>
        </w:rPr>
      </w:pPr>
    </w:p>
    <w:p w14:paraId="438D2A02" w14:textId="77777777" w:rsidR="00B26A45" w:rsidRPr="00834780" w:rsidRDefault="00B26A45" w:rsidP="00834780">
      <w:pPr>
        <w:ind w:left="0"/>
        <w:rPr>
          <w:rFonts w:cs="Arial"/>
          <w:b/>
          <w:bCs/>
          <w:szCs w:val="20"/>
        </w:rPr>
      </w:pPr>
      <w:r w:rsidRPr="00834780">
        <w:rPr>
          <w:rFonts w:cs="Arial"/>
          <w:b/>
          <w:bCs/>
          <w:szCs w:val="20"/>
        </w:rPr>
        <w:lastRenderedPageBreak/>
        <w:t>Affordability Considerations</w:t>
      </w:r>
    </w:p>
    <w:p w14:paraId="1991657F" w14:textId="77777777" w:rsidR="00F94C53" w:rsidRPr="00834780" w:rsidRDefault="003F7CF8" w:rsidP="00834780">
      <w:pPr>
        <w:ind w:left="0"/>
        <w:rPr>
          <w:rFonts w:cs="Arial"/>
          <w:szCs w:val="20"/>
        </w:rPr>
      </w:pPr>
      <w:r w:rsidRPr="00834780">
        <w:rPr>
          <w:rFonts w:cs="Arial"/>
          <w:color w:val="333333"/>
          <w:szCs w:val="20"/>
          <w:shd w:val="clear" w:color="auto" w:fill="FFFFFF"/>
        </w:rPr>
        <w:t>F</w:t>
      </w:r>
      <w:r w:rsidR="00B55177" w:rsidRPr="00834780">
        <w:rPr>
          <w:rFonts w:cs="Arial"/>
          <w:color w:val="333333"/>
          <w:szCs w:val="20"/>
          <w:shd w:val="clear" w:color="auto" w:fill="FFFFFF"/>
        </w:rPr>
        <w:t xml:space="preserve">or purposes of an individual’s subsidy eligibility, coverage is “affordable” </w:t>
      </w:r>
      <w:r w:rsidR="0049024F">
        <w:rPr>
          <w:rFonts w:cs="Arial"/>
          <w:color w:val="333333"/>
          <w:szCs w:val="20"/>
          <w:shd w:val="clear" w:color="auto" w:fill="FFFFFF"/>
        </w:rPr>
        <w:t xml:space="preserve">in 2016 </w:t>
      </w:r>
      <w:r w:rsidR="00B55177" w:rsidRPr="00834780">
        <w:rPr>
          <w:rFonts w:cs="Arial"/>
          <w:color w:val="333333"/>
          <w:szCs w:val="20"/>
          <w:shd w:val="clear" w:color="auto" w:fill="FFFFFF"/>
        </w:rPr>
        <w:t>if the employee’s required contribution for employee-only (sing</w:t>
      </w:r>
      <w:r w:rsidRPr="00834780">
        <w:rPr>
          <w:rFonts w:cs="Arial"/>
          <w:color w:val="333333"/>
          <w:szCs w:val="20"/>
          <w:shd w:val="clear" w:color="auto" w:fill="FFFFFF"/>
        </w:rPr>
        <w:t>le) coverage does not exceed 9.6</w:t>
      </w:r>
      <w:r w:rsidR="00B55177" w:rsidRPr="00834780">
        <w:rPr>
          <w:rFonts w:cs="Arial"/>
          <w:color w:val="333333"/>
          <w:szCs w:val="20"/>
          <w:shd w:val="clear" w:color="auto" w:fill="FFFFFF"/>
        </w:rPr>
        <w:t xml:space="preserve">6% of the employee’s household income. However, for purposes of the employer safe harbors, the coverage is </w:t>
      </w:r>
      <w:r w:rsidR="0049024F">
        <w:rPr>
          <w:rFonts w:cs="Arial"/>
          <w:color w:val="333333"/>
          <w:szCs w:val="20"/>
          <w:shd w:val="clear" w:color="auto" w:fill="FFFFFF"/>
        </w:rPr>
        <w:t xml:space="preserve">currently </w:t>
      </w:r>
      <w:r w:rsidR="00B55177" w:rsidRPr="00834780">
        <w:rPr>
          <w:rFonts w:cs="Arial"/>
          <w:color w:val="333333"/>
          <w:szCs w:val="20"/>
          <w:shd w:val="clear" w:color="auto" w:fill="FFFFFF"/>
        </w:rPr>
        <w:t xml:space="preserve">affordable if the employee’s required contribution for </w:t>
      </w:r>
      <w:r w:rsidRPr="00834780">
        <w:rPr>
          <w:rFonts w:cs="Arial"/>
          <w:color w:val="333333"/>
          <w:szCs w:val="20"/>
          <w:shd w:val="clear" w:color="auto" w:fill="FFFFFF"/>
        </w:rPr>
        <w:t>single coverage is less than 9.</w:t>
      </w:r>
      <w:r w:rsidR="0049024F">
        <w:rPr>
          <w:rFonts w:cs="Arial"/>
          <w:color w:val="333333"/>
          <w:szCs w:val="20"/>
          <w:shd w:val="clear" w:color="auto" w:fill="FFFFFF"/>
        </w:rPr>
        <w:t>5</w:t>
      </w:r>
      <w:r w:rsidR="00B55177" w:rsidRPr="00834780">
        <w:rPr>
          <w:rFonts w:cs="Arial"/>
          <w:color w:val="333333"/>
          <w:szCs w:val="20"/>
          <w:shd w:val="clear" w:color="auto" w:fill="FFFFFF"/>
        </w:rPr>
        <w:t xml:space="preserve">% (of one of three different standards: the employee’s W-2 wages, the employee’s hourly rate of pay, or the federal poverty level </w:t>
      </w:r>
      <w:r w:rsidR="00466F5E">
        <w:rPr>
          <w:rFonts w:cs="Arial"/>
          <w:color w:val="333333"/>
          <w:szCs w:val="20"/>
          <w:shd w:val="clear" w:color="auto" w:fill="FFFFFF"/>
        </w:rPr>
        <w:t>[</w:t>
      </w:r>
      <w:r w:rsidR="00B55177" w:rsidRPr="00834780">
        <w:rPr>
          <w:rFonts w:cs="Arial"/>
          <w:color w:val="333333"/>
          <w:szCs w:val="20"/>
          <w:shd w:val="clear" w:color="auto" w:fill="FFFFFF"/>
        </w:rPr>
        <w:t>FPL</w:t>
      </w:r>
      <w:r w:rsidR="00466F5E">
        <w:rPr>
          <w:rFonts w:cs="Arial"/>
          <w:color w:val="333333"/>
          <w:szCs w:val="20"/>
          <w:shd w:val="clear" w:color="auto" w:fill="FFFFFF"/>
        </w:rPr>
        <w:t>]</w:t>
      </w:r>
      <w:r w:rsidR="00B55177" w:rsidRPr="00834780">
        <w:rPr>
          <w:rFonts w:cs="Arial"/>
          <w:color w:val="333333"/>
          <w:szCs w:val="20"/>
          <w:shd w:val="clear" w:color="auto" w:fill="FFFFFF"/>
        </w:rPr>
        <w:t>).</w:t>
      </w:r>
      <w:r w:rsidRPr="00834780">
        <w:rPr>
          <w:rFonts w:cs="Arial"/>
          <w:color w:val="333333"/>
          <w:szCs w:val="20"/>
          <w:shd w:val="clear" w:color="auto" w:fill="FFFFFF"/>
        </w:rPr>
        <w:t xml:space="preserve"> </w:t>
      </w:r>
      <w:r w:rsidR="0049024F">
        <w:rPr>
          <w:rFonts w:cs="Arial"/>
          <w:color w:val="333333"/>
          <w:szCs w:val="20"/>
          <w:shd w:val="clear" w:color="auto" w:fill="FFFFFF"/>
        </w:rPr>
        <w:t>In a change that has been expected, the</w:t>
      </w:r>
      <w:r w:rsidRPr="00834780">
        <w:rPr>
          <w:rFonts w:cs="Arial"/>
          <w:color w:val="333333"/>
          <w:szCs w:val="20"/>
          <w:shd w:val="clear" w:color="auto" w:fill="FFFFFF"/>
        </w:rPr>
        <w:t xml:space="preserve"> </w:t>
      </w:r>
      <w:r w:rsidRPr="00834780">
        <w:rPr>
          <w:rFonts w:cs="Arial"/>
          <w:szCs w:val="20"/>
        </w:rPr>
        <w:t xml:space="preserve">IRS intends to issue amended regulations allowing the </w:t>
      </w:r>
      <w:r w:rsidR="0049024F">
        <w:rPr>
          <w:rFonts w:cs="Arial"/>
          <w:szCs w:val="20"/>
        </w:rPr>
        <w:t xml:space="preserve">employer </w:t>
      </w:r>
      <w:r w:rsidRPr="00834780">
        <w:rPr>
          <w:rFonts w:cs="Arial"/>
          <w:szCs w:val="20"/>
        </w:rPr>
        <w:t>affordability safe harbor percentage (currently 9.5%) to adjust in accordance with the percentage used to determine affordability for individuals against household income (i.e. 9.66% for 2016)</w:t>
      </w:r>
      <w:r w:rsidR="00466F5E">
        <w:rPr>
          <w:rFonts w:cs="Arial"/>
          <w:szCs w:val="20"/>
        </w:rPr>
        <w:t>.</w:t>
      </w:r>
    </w:p>
    <w:p w14:paraId="79EF79A6" w14:textId="77777777" w:rsidR="003F7CF8" w:rsidRPr="00834780" w:rsidRDefault="003F7CF8" w:rsidP="00834780">
      <w:pPr>
        <w:ind w:left="0"/>
        <w:rPr>
          <w:rFonts w:cs="Arial"/>
          <w:b/>
          <w:bCs/>
          <w:szCs w:val="20"/>
        </w:rPr>
      </w:pPr>
    </w:p>
    <w:p w14:paraId="731ABE34" w14:textId="77777777" w:rsidR="003F7CF8" w:rsidRPr="00834780" w:rsidRDefault="003F7CF8" w:rsidP="00834780">
      <w:pPr>
        <w:ind w:left="0"/>
        <w:rPr>
          <w:rFonts w:cs="Arial"/>
          <w:bCs/>
          <w:szCs w:val="20"/>
        </w:rPr>
      </w:pPr>
      <w:r w:rsidRPr="00834780">
        <w:rPr>
          <w:rFonts w:cs="Arial"/>
          <w:bCs/>
          <w:szCs w:val="20"/>
        </w:rPr>
        <w:t>When calculating the employee contribution amount, the employer may need to consider more than just a portion of the medical insurance premium. Employer contributions toward things such as an HRA, Section 125 plan</w:t>
      </w:r>
      <w:r w:rsidR="00466F5E">
        <w:rPr>
          <w:rFonts w:cs="Arial"/>
          <w:bCs/>
          <w:szCs w:val="20"/>
        </w:rPr>
        <w:t>,</w:t>
      </w:r>
      <w:r w:rsidRPr="00834780">
        <w:rPr>
          <w:rFonts w:cs="Arial"/>
          <w:bCs/>
          <w:szCs w:val="20"/>
        </w:rPr>
        <w:t xml:space="preserve"> and even opt-out payments may affect the amount that is ultimately taken into account for purposes of determining affordability. See further details on such contributions below</w:t>
      </w:r>
      <w:r w:rsidR="00466F5E">
        <w:rPr>
          <w:rFonts w:cs="Arial"/>
          <w:bCs/>
          <w:szCs w:val="20"/>
        </w:rPr>
        <w:t>.</w:t>
      </w:r>
    </w:p>
    <w:p w14:paraId="63FFB61E" w14:textId="77777777" w:rsidR="003F7CF8" w:rsidRPr="00834780" w:rsidRDefault="003F7CF8" w:rsidP="00834780">
      <w:pPr>
        <w:ind w:left="0"/>
        <w:rPr>
          <w:rFonts w:cs="Arial"/>
          <w:b/>
          <w:bCs/>
          <w:szCs w:val="20"/>
        </w:rPr>
      </w:pPr>
    </w:p>
    <w:p w14:paraId="63FA8605" w14:textId="77777777" w:rsidR="00F94C53" w:rsidRPr="00834780" w:rsidRDefault="00F94C53" w:rsidP="00834780">
      <w:pPr>
        <w:ind w:left="720"/>
        <w:rPr>
          <w:rFonts w:cs="Arial"/>
          <w:szCs w:val="20"/>
          <w:u w:val="single"/>
          <w:lang w:bidi="ar-SA"/>
        </w:rPr>
      </w:pPr>
      <w:r w:rsidRPr="00834780">
        <w:rPr>
          <w:rFonts w:cs="Arial"/>
          <w:bCs/>
          <w:szCs w:val="20"/>
          <w:u w:val="single"/>
        </w:rPr>
        <w:t>HRAs</w:t>
      </w:r>
    </w:p>
    <w:p w14:paraId="1CF467F4" w14:textId="77777777" w:rsidR="00B26A45" w:rsidRPr="00834780" w:rsidRDefault="007F7068" w:rsidP="00834780">
      <w:pPr>
        <w:ind w:left="720"/>
        <w:rPr>
          <w:rFonts w:cs="Arial"/>
          <w:szCs w:val="20"/>
        </w:rPr>
      </w:pPr>
      <w:r w:rsidRPr="00834780">
        <w:rPr>
          <w:rFonts w:cs="Arial"/>
          <w:szCs w:val="20"/>
        </w:rPr>
        <w:t>As previously provided, the guidance confirmed</w:t>
      </w:r>
      <w:r w:rsidR="00B26A45" w:rsidRPr="00834780">
        <w:rPr>
          <w:rFonts w:cs="Arial"/>
          <w:szCs w:val="20"/>
        </w:rPr>
        <w:t xml:space="preserve"> that amounts made available for the current plan year under an HRA that an employee may use </w:t>
      </w:r>
      <w:r w:rsidR="009D5052" w:rsidRPr="00834780">
        <w:rPr>
          <w:rFonts w:cs="Arial"/>
          <w:szCs w:val="20"/>
        </w:rPr>
        <w:t xml:space="preserve">(i) </w:t>
      </w:r>
      <w:r w:rsidR="00B26A45" w:rsidRPr="00834780">
        <w:rPr>
          <w:rFonts w:cs="Arial"/>
          <w:szCs w:val="20"/>
        </w:rPr>
        <w:t xml:space="preserve">to pay premiums for an eligible employer-sponsored plan, or </w:t>
      </w:r>
      <w:r w:rsidR="009D5052" w:rsidRPr="00834780">
        <w:rPr>
          <w:rFonts w:cs="Arial"/>
          <w:szCs w:val="20"/>
        </w:rPr>
        <w:t xml:space="preserve">(ii) </w:t>
      </w:r>
      <w:r w:rsidR="00B26A45" w:rsidRPr="00834780">
        <w:rPr>
          <w:rFonts w:cs="Arial"/>
          <w:szCs w:val="20"/>
        </w:rPr>
        <w:t xml:space="preserve">for premiums </w:t>
      </w:r>
      <w:r w:rsidR="00B26A45" w:rsidRPr="00834780">
        <w:rPr>
          <w:rFonts w:cs="Arial"/>
          <w:szCs w:val="20"/>
          <w:u w:val="single"/>
        </w:rPr>
        <w:t>and</w:t>
      </w:r>
      <w:r w:rsidR="00B26A45" w:rsidRPr="00834780">
        <w:rPr>
          <w:rFonts w:cs="Arial"/>
          <w:szCs w:val="20"/>
        </w:rPr>
        <w:t xml:space="preserve"> for cost-sharing or other health benefits not covered by the plan, </w:t>
      </w:r>
      <w:r w:rsidR="009D5052" w:rsidRPr="00834780">
        <w:rPr>
          <w:rFonts w:cs="Arial"/>
          <w:szCs w:val="20"/>
        </w:rPr>
        <w:t>will</w:t>
      </w:r>
      <w:r w:rsidR="00B26A45" w:rsidRPr="00834780">
        <w:rPr>
          <w:rFonts w:cs="Arial"/>
          <w:szCs w:val="20"/>
        </w:rPr>
        <w:t xml:space="preserve"> reduce the </w:t>
      </w:r>
      <w:r w:rsidR="009D5052" w:rsidRPr="00834780">
        <w:rPr>
          <w:rFonts w:cs="Arial"/>
          <w:szCs w:val="20"/>
        </w:rPr>
        <w:t>employee’s</w:t>
      </w:r>
      <w:r w:rsidR="00B26A45" w:rsidRPr="00834780">
        <w:rPr>
          <w:rFonts w:cs="Arial"/>
          <w:szCs w:val="20"/>
        </w:rPr>
        <w:t xml:space="preserve"> </w:t>
      </w:r>
      <w:r w:rsidR="009D5052" w:rsidRPr="00834780">
        <w:rPr>
          <w:rFonts w:cs="Arial"/>
          <w:szCs w:val="20"/>
        </w:rPr>
        <w:t xml:space="preserve">contribution amount so long as </w:t>
      </w:r>
      <w:r w:rsidR="00B26A45" w:rsidRPr="00834780">
        <w:rPr>
          <w:rFonts w:cs="Arial"/>
          <w:szCs w:val="20"/>
        </w:rPr>
        <w:t xml:space="preserve">the HRA </w:t>
      </w:r>
      <w:r w:rsidR="009D5052" w:rsidRPr="00834780">
        <w:rPr>
          <w:rFonts w:cs="Arial"/>
          <w:szCs w:val="20"/>
        </w:rPr>
        <w:t>is</w:t>
      </w:r>
      <w:r w:rsidR="00B26A45" w:rsidRPr="00834780">
        <w:rPr>
          <w:rFonts w:cs="Arial"/>
          <w:szCs w:val="20"/>
        </w:rPr>
        <w:t xml:space="preserve"> integrated</w:t>
      </w:r>
      <w:r w:rsidR="009D5052" w:rsidRPr="00834780">
        <w:rPr>
          <w:rFonts w:cs="Arial"/>
          <w:szCs w:val="20"/>
        </w:rPr>
        <w:t xml:space="preserve"> with a group health plan so that it meets health care reform requirements</w:t>
      </w:r>
      <w:r w:rsidR="00B26A45" w:rsidRPr="00834780">
        <w:rPr>
          <w:rFonts w:cs="Arial"/>
          <w:szCs w:val="20"/>
        </w:rPr>
        <w:t>. For reporting purposes (Line 15</w:t>
      </w:r>
      <w:r w:rsidR="00BB261E" w:rsidRPr="00834780">
        <w:rPr>
          <w:rFonts w:cs="Arial"/>
          <w:szCs w:val="20"/>
        </w:rPr>
        <w:t xml:space="preserve"> of Form 1095-C</w:t>
      </w:r>
      <w:r w:rsidR="00B26A45" w:rsidRPr="00834780">
        <w:rPr>
          <w:rFonts w:cs="Arial"/>
          <w:szCs w:val="20"/>
        </w:rPr>
        <w:t>), the HRA contribution is treated as made ratably for each month of the period to which it relates</w:t>
      </w:r>
      <w:r w:rsidR="00F94C53" w:rsidRPr="00834780">
        <w:rPr>
          <w:rFonts w:cs="Arial"/>
          <w:szCs w:val="20"/>
        </w:rPr>
        <w:t>.</w:t>
      </w:r>
    </w:p>
    <w:p w14:paraId="6744B1F6" w14:textId="77777777" w:rsidR="00F94C53" w:rsidRPr="00834780" w:rsidRDefault="00F94C53" w:rsidP="00834780">
      <w:pPr>
        <w:ind w:left="720"/>
        <w:rPr>
          <w:rFonts w:cs="Arial"/>
          <w:szCs w:val="20"/>
        </w:rPr>
      </w:pPr>
    </w:p>
    <w:p w14:paraId="516C1EA8" w14:textId="77777777" w:rsidR="009D5052" w:rsidRPr="00834780" w:rsidRDefault="009D5052" w:rsidP="00834780">
      <w:pPr>
        <w:ind w:left="720"/>
        <w:rPr>
          <w:rFonts w:cs="Arial"/>
          <w:i/>
          <w:szCs w:val="20"/>
        </w:rPr>
      </w:pPr>
      <w:r w:rsidRPr="00834780">
        <w:rPr>
          <w:rFonts w:cs="Arial"/>
          <w:i/>
          <w:szCs w:val="20"/>
        </w:rPr>
        <w:t xml:space="preserve">NOTE – HRA amounts that can be used only for cost-sharing or other health benefits not covered by the plan (and not for premiums) do not count toward affordability, but rather </w:t>
      </w:r>
      <w:r w:rsidR="00F94C53" w:rsidRPr="00834780">
        <w:rPr>
          <w:rFonts w:cs="Arial"/>
          <w:i/>
          <w:szCs w:val="20"/>
        </w:rPr>
        <w:t>are</w:t>
      </w:r>
      <w:r w:rsidRPr="00834780">
        <w:rPr>
          <w:rFonts w:cs="Arial"/>
          <w:i/>
          <w:szCs w:val="20"/>
        </w:rPr>
        <w:t xml:space="preserve"> considered for purposes of determining minimum value</w:t>
      </w:r>
      <w:r w:rsidR="00F94C53" w:rsidRPr="00834780">
        <w:rPr>
          <w:rFonts w:cs="Arial"/>
          <w:i/>
          <w:szCs w:val="20"/>
        </w:rPr>
        <w:t>.</w:t>
      </w:r>
    </w:p>
    <w:p w14:paraId="3BE0E946" w14:textId="77777777" w:rsidR="00F94C53" w:rsidRPr="00834780" w:rsidRDefault="00F94C53" w:rsidP="00834780">
      <w:pPr>
        <w:ind w:left="720"/>
        <w:rPr>
          <w:rFonts w:cs="Arial"/>
          <w:i/>
          <w:szCs w:val="20"/>
        </w:rPr>
      </w:pPr>
    </w:p>
    <w:p w14:paraId="3E61FEE4" w14:textId="77777777" w:rsidR="00F94C53" w:rsidRPr="00834780" w:rsidRDefault="00F94C53" w:rsidP="00834780">
      <w:pPr>
        <w:ind w:left="720"/>
        <w:rPr>
          <w:rFonts w:cs="Arial"/>
          <w:szCs w:val="20"/>
          <w:u w:val="single"/>
        </w:rPr>
      </w:pPr>
      <w:r w:rsidRPr="00834780">
        <w:rPr>
          <w:rFonts w:cs="Arial"/>
          <w:szCs w:val="20"/>
          <w:u w:val="single"/>
        </w:rPr>
        <w:t>Flex Credits (Section 125 Plan)</w:t>
      </w:r>
    </w:p>
    <w:p w14:paraId="507C5036" w14:textId="77777777" w:rsidR="0049024F" w:rsidRPr="0049024F" w:rsidRDefault="00B26A45" w:rsidP="00834780">
      <w:pPr>
        <w:ind w:left="720"/>
        <w:rPr>
          <w:rFonts w:cs="Arial"/>
          <w:szCs w:val="20"/>
        </w:rPr>
      </w:pPr>
      <w:r w:rsidRPr="00834780">
        <w:rPr>
          <w:rFonts w:cs="Arial"/>
          <w:szCs w:val="20"/>
        </w:rPr>
        <w:t xml:space="preserve">Under a </w:t>
      </w:r>
      <w:r w:rsidRPr="0049024F">
        <w:rPr>
          <w:rFonts w:cs="Arial"/>
          <w:szCs w:val="20"/>
        </w:rPr>
        <w:t xml:space="preserve">Section 125 plan, </w:t>
      </w:r>
      <w:r w:rsidR="00A46212" w:rsidRPr="0049024F">
        <w:rPr>
          <w:rFonts w:cs="Arial"/>
          <w:szCs w:val="20"/>
        </w:rPr>
        <w:t xml:space="preserve">some employers provide a certain </w:t>
      </w:r>
      <w:r w:rsidR="00F94C53" w:rsidRPr="0049024F">
        <w:rPr>
          <w:rFonts w:cs="Arial"/>
          <w:szCs w:val="20"/>
        </w:rPr>
        <w:t xml:space="preserve">dollar </w:t>
      </w:r>
      <w:r w:rsidR="00A46212" w:rsidRPr="0049024F">
        <w:rPr>
          <w:rFonts w:cs="Arial"/>
          <w:szCs w:val="20"/>
        </w:rPr>
        <w:t xml:space="preserve">amount as </w:t>
      </w:r>
      <w:r w:rsidRPr="0049024F">
        <w:rPr>
          <w:rFonts w:cs="Arial"/>
          <w:szCs w:val="20"/>
        </w:rPr>
        <w:t>flex credits</w:t>
      </w:r>
      <w:r w:rsidR="00A46212" w:rsidRPr="0049024F">
        <w:rPr>
          <w:rFonts w:cs="Arial"/>
          <w:szCs w:val="20"/>
        </w:rPr>
        <w:t xml:space="preserve"> that may be used toward a variety of different benefit options.</w:t>
      </w:r>
      <w:r w:rsidR="00B55177" w:rsidRPr="0049024F">
        <w:rPr>
          <w:rFonts w:cs="Arial"/>
          <w:szCs w:val="20"/>
        </w:rPr>
        <w:t xml:space="preserve"> Whether such amounts may be </w:t>
      </w:r>
      <w:r w:rsidR="00BB261E" w:rsidRPr="0049024F">
        <w:rPr>
          <w:rFonts w:cs="Arial"/>
          <w:szCs w:val="20"/>
        </w:rPr>
        <w:t xml:space="preserve">counted </w:t>
      </w:r>
      <w:r w:rsidR="00B55177" w:rsidRPr="0049024F">
        <w:rPr>
          <w:rFonts w:cs="Arial"/>
          <w:szCs w:val="20"/>
        </w:rPr>
        <w:t xml:space="preserve">toward the employee’s required contribution depends upon whether they meet the definition of a health flex contribution. </w:t>
      </w:r>
      <w:r w:rsidR="00F94C53" w:rsidRPr="0049024F">
        <w:rPr>
          <w:rFonts w:cs="Arial"/>
          <w:szCs w:val="20"/>
        </w:rPr>
        <w:t>Amounts that are</w:t>
      </w:r>
      <w:r w:rsidR="0049024F" w:rsidRPr="0049024F">
        <w:rPr>
          <w:rFonts w:cs="Arial"/>
          <w:szCs w:val="20"/>
        </w:rPr>
        <w:t>:</w:t>
      </w:r>
    </w:p>
    <w:p w14:paraId="4C1E0A39" w14:textId="77777777" w:rsidR="0049024F" w:rsidRPr="0049024F" w:rsidRDefault="00F94C53" w:rsidP="001510B3">
      <w:pPr>
        <w:pStyle w:val="ListParagraph"/>
        <w:numPr>
          <w:ilvl w:val="0"/>
          <w:numId w:val="35"/>
        </w:numPr>
        <w:rPr>
          <w:rFonts w:ascii="Arial" w:hAnsi="Arial" w:cs="Arial"/>
          <w:sz w:val="20"/>
          <w:szCs w:val="20"/>
        </w:rPr>
      </w:pPr>
      <w:r w:rsidRPr="0049024F">
        <w:rPr>
          <w:rFonts w:ascii="Arial" w:hAnsi="Arial" w:cs="Arial"/>
          <w:sz w:val="20"/>
          <w:szCs w:val="20"/>
        </w:rPr>
        <w:t xml:space="preserve">non-cashable; </w:t>
      </w:r>
    </w:p>
    <w:p w14:paraId="377B080C" w14:textId="77777777" w:rsidR="0049024F" w:rsidRPr="0049024F" w:rsidRDefault="00F94C53" w:rsidP="001510B3">
      <w:pPr>
        <w:pStyle w:val="ListParagraph"/>
        <w:numPr>
          <w:ilvl w:val="0"/>
          <w:numId w:val="35"/>
        </w:numPr>
        <w:rPr>
          <w:rFonts w:ascii="Arial" w:hAnsi="Arial" w:cs="Arial"/>
          <w:sz w:val="20"/>
          <w:szCs w:val="20"/>
        </w:rPr>
      </w:pPr>
      <w:r w:rsidRPr="0049024F">
        <w:rPr>
          <w:rFonts w:ascii="Arial" w:hAnsi="Arial" w:cs="Arial"/>
          <w:sz w:val="20"/>
          <w:szCs w:val="20"/>
        </w:rPr>
        <w:t xml:space="preserve">may be used to purchase minimum essential coverage (MEC); and </w:t>
      </w:r>
    </w:p>
    <w:p w14:paraId="05F077F3" w14:textId="77777777" w:rsidR="0049024F" w:rsidRPr="0049024F" w:rsidRDefault="00F94C53" w:rsidP="001510B3">
      <w:pPr>
        <w:pStyle w:val="ListParagraph"/>
        <w:numPr>
          <w:ilvl w:val="0"/>
          <w:numId w:val="35"/>
        </w:numPr>
        <w:rPr>
          <w:rFonts w:ascii="Arial" w:hAnsi="Arial" w:cs="Arial"/>
          <w:sz w:val="20"/>
          <w:szCs w:val="20"/>
        </w:rPr>
      </w:pPr>
      <w:r w:rsidRPr="0049024F">
        <w:rPr>
          <w:rFonts w:ascii="Arial" w:hAnsi="Arial" w:cs="Arial"/>
          <w:sz w:val="20"/>
          <w:szCs w:val="20"/>
        </w:rPr>
        <w:t>are limited to payment of medical care as de</w:t>
      </w:r>
      <w:r w:rsidR="00BB261E" w:rsidRPr="0049024F">
        <w:rPr>
          <w:rFonts w:ascii="Arial" w:hAnsi="Arial" w:cs="Arial"/>
          <w:sz w:val="20"/>
          <w:szCs w:val="20"/>
        </w:rPr>
        <w:t>fined</w:t>
      </w:r>
      <w:r w:rsidRPr="0049024F">
        <w:rPr>
          <w:rFonts w:ascii="Arial" w:hAnsi="Arial" w:cs="Arial"/>
          <w:sz w:val="20"/>
          <w:szCs w:val="20"/>
        </w:rPr>
        <w:t xml:space="preserve"> under Section 213(d)</w:t>
      </w:r>
      <w:r w:rsidR="00B26A45" w:rsidRPr="0049024F">
        <w:rPr>
          <w:rFonts w:ascii="Arial" w:hAnsi="Arial" w:cs="Arial"/>
          <w:sz w:val="20"/>
          <w:szCs w:val="20"/>
        </w:rPr>
        <w:t xml:space="preserve"> are considered a “health flex contribution”</w:t>
      </w:r>
      <w:r w:rsidR="00B55177" w:rsidRPr="001510B3">
        <w:rPr>
          <w:rFonts w:ascii="Arial" w:hAnsi="Arial" w:cs="Arial"/>
          <w:sz w:val="20"/>
          <w:szCs w:val="20"/>
        </w:rPr>
        <w:t xml:space="preserve"> and may be counted toward the employee’s required contribution (and thus reduce the dollar amount of that required contribution).  </w:t>
      </w:r>
      <w:r w:rsidR="00B26A45" w:rsidRPr="001510B3">
        <w:rPr>
          <w:rFonts w:ascii="Arial" w:hAnsi="Arial" w:cs="Arial"/>
          <w:sz w:val="20"/>
          <w:szCs w:val="20"/>
        </w:rPr>
        <w:t xml:space="preserve"> </w:t>
      </w:r>
    </w:p>
    <w:p w14:paraId="7536529B" w14:textId="77777777" w:rsidR="0049024F" w:rsidRDefault="0049024F" w:rsidP="0049024F">
      <w:pPr>
        <w:ind w:left="780"/>
        <w:rPr>
          <w:rFonts w:cs="Arial"/>
          <w:szCs w:val="20"/>
        </w:rPr>
      </w:pPr>
    </w:p>
    <w:p w14:paraId="400C0064" w14:textId="77777777" w:rsidR="00B26A45" w:rsidRPr="001510B3" w:rsidRDefault="00B55177" w:rsidP="001510B3">
      <w:pPr>
        <w:ind w:left="780"/>
        <w:rPr>
          <w:rFonts w:cs="Arial"/>
          <w:szCs w:val="20"/>
        </w:rPr>
      </w:pPr>
      <w:r w:rsidRPr="0049024F">
        <w:rPr>
          <w:rFonts w:cs="Arial"/>
          <w:szCs w:val="20"/>
        </w:rPr>
        <w:t xml:space="preserve">On the other hand, flex contributions that are cashable and/or that may be used toward non-medical benefits may not be considered. </w:t>
      </w:r>
      <w:r w:rsidR="00B26A45" w:rsidRPr="0049024F">
        <w:rPr>
          <w:rFonts w:cs="Arial"/>
          <w:szCs w:val="20"/>
        </w:rPr>
        <w:t>For reporting purposes (Line 15</w:t>
      </w:r>
      <w:r w:rsidR="00BB261E" w:rsidRPr="0049024F">
        <w:rPr>
          <w:rFonts w:cs="Arial"/>
          <w:szCs w:val="20"/>
        </w:rPr>
        <w:t xml:space="preserve"> of Form 1095-C</w:t>
      </w:r>
      <w:r w:rsidR="00B26A45" w:rsidRPr="0049024F">
        <w:rPr>
          <w:rFonts w:cs="Arial"/>
          <w:szCs w:val="20"/>
        </w:rPr>
        <w:t>), the health flex contribution is treated as made ratably fo</w:t>
      </w:r>
      <w:r w:rsidR="00B26A45" w:rsidRPr="001510B3">
        <w:rPr>
          <w:rFonts w:cs="Arial"/>
          <w:szCs w:val="20"/>
        </w:rPr>
        <w:t>r each month of the period to which it relates</w:t>
      </w:r>
      <w:r w:rsidRPr="001510B3">
        <w:rPr>
          <w:rFonts w:cs="Arial"/>
          <w:szCs w:val="20"/>
        </w:rPr>
        <w:t>.</w:t>
      </w:r>
    </w:p>
    <w:p w14:paraId="2777CE60" w14:textId="77777777" w:rsidR="00B55177" w:rsidRPr="00834780" w:rsidRDefault="00B55177" w:rsidP="00834780">
      <w:pPr>
        <w:ind w:left="720"/>
        <w:rPr>
          <w:rFonts w:cs="Arial"/>
          <w:szCs w:val="20"/>
        </w:rPr>
      </w:pPr>
    </w:p>
    <w:p w14:paraId="3A350EBE" w14:textId="77777777" w:rsidR="00B26A45" w:rsidRPr="00834780" w:rsidRDefault="00B26A45" w:rsidP="00834780">
      <w:pPr>
        <w:ind w:left="720"/>
        <w:rPr>
          <w:rFonts w:cs="Arial"/>
          <w:szCs w:val="20"/>
        </w:rPr>
      </w:pPr>
      <w:r w:rsidRPr="00834780">
        <w:rPr>
          <w:rFonts w:cs="Arial"/>
          <w:szCs w:val="20"/>
        </w:rPr>
        <w:t xml:space="preserve">Transition relief – for purposes of </w:t>
      </w:r>
      <w:r w:rsidR="0049024F">
        <w:rPr>
          <w:rFonts w:cs="Arial"/>
          <w:szCs w:val="20"/>
        </w:rPr>
        <w:t>§4980H</w:t>
      </w:r>
      <w:r w:rsidRPr="00834780">
        <w:rPr>
          <w:rFonts w:cs="Arial"/>
          <w:szCs w:val="20"/>
        </w:rPr>
        <w:t xml:space="preserve">(b) penalties for plan years beginning </w:t>
      </w:r>
      <w:r w:rsidR="00B55177" w:rsidRPr="00834780">
        <w:rPr>
          <w:rFonts w:cs="Arial"/>
          <w:szCs w:val="20"/>
        </w:rPr>
        <w:t>prior to</w:t>
      </w:r>
      <w:r w:rsidRPr="00834780">
        <w:rPr>
          <w:rFonts w:cs="Arial"/>
          <w:szCs w:val="20"/>
        </w:rPr>
        <w:t xml:space="preserve"> Jan</w:t>
      </w:r>
      <w:r w:rsidR="00B55177" w:rsidRPr="00834780">
        <w:rPr>
          <w:rFonts w:cs="Arial"/>
          <w:szCs w:val="20"/>
        </w:rPr>
        <w:t>uary</w:t>
      </w:r>
      <w:r w:rsidRPr="00834780">
        <w:rPr>
          <w:rFonts w:cs="Arial"/>
          <w:szCs w:val="20"/>
        </w:rPr>
        <w:t xml:space="preserve"> 1, 2017, flex contributions (even those that do meet the definition of a health flex contribution) will </w:t>
      </w:r>
      <w:r w:rsidR="00B55177" w:rsidRPr="00834780">
        <w:rPr>
          <w:rFonts w:cs="Arial"/>
          <w:szCs w:val="20"/>
        </w:rPr>
        <w:t xml:space="preserve">generally </w:t>
      </w:r>
      <w:r w:rsidRPr="00834780">
        <w:rPr>
          <w:rFonts w:cs="Arial"/>
          <w:szCs w:val="20"/>
        </w:rPr>
        <w:t>be treated as reducing the amount of an employee’s required contribution</w:t>
      </w:r>
      <w:r w:rsidR="00B55177" w:rsidRPr="00834780">
        <w:rPr>
          <w:rFonts w:cs="Arial"/>
          <w:szCs w:val="20"/>
        </w:rPr>
        <w:t>, unless the arrangement</w:t>
      </w:r>
      <w:r w:rsidRPr="00834780">
        <w:rPr>
          <w:rFonts w:cs="Arial"/>
          <w:szCs w:val="20"/>
        </w:rPr>
        <w:t xml:space="preserve"> is adopted after December 16, 2015 or the amount of the flex contribution</w:t>
      </w:r>
      <w:r w:rsidR="00B55177" w:rsidRPr="00834780">
        <w:rPr>
          <w:rFonts w:cs="Arial"/>
          <w:szCs w:val="20"/>
        </w:rPr>
        <w:t xml:space="preserve"> is substantially increased</w:t>
      </w:r>
      <w:r w:rsidRPr="00834780">
        <w:rPr>
          <w:rFonts w:cs="Arial"/>
          <w:szCs w:val="20"/>
        </w:rPr>
        <w:t xml:space="preserve"> after December 16, 2015</w:t>
      </w:r>
      <w:r w:rsidR="00B55177" w:rsidRPr="00834780">
        <w:rPr>
          <w:rFonts w:cs="Arial"/>
          <w:szCs w:val="20"/>
        </w:rPr>
        <w:t xml:space="preserve">. </w:t>
      </w:r>
      <w:r w:rsidRPr="00834780">
        <w:rPr>
          <w:rFonts w:cs="Arial"/>
          <w:szCs w:val="20"/>
        </w:rPr>
        <w:t>During this transition relief period, employers may report by reducing the amount of the employee contribution</w:t>
      </w:r>
      <w:r w:rsidR="00466F5E">
        <w:rPr>
          <w:rFonts w:cs="Arial"/>
          <w:szCs w:val="20"/>
        </w:rPr>
        <w:t>,</w:t>
      </w:r>
      <w:r w:rsidRPr="00834780">
        <w:rPr>
          <w:rFonts w:cs="Arial"/>
          <w:szCs w:val="20"/>
        </w:rPr>
        <w:t xml:space="preserve"> including the non-health flex contributions</w:t>
      </w:r>
      <w:r w:rsidR="00466F5E">
        <w:rPr>
          <w:rFonts w:cs="Arial"/>
          <w:szCs w:val="20"/>
        </w:rPr>
        <w:t>;</w:t>
      </w:r>
      <w:r w:rsidRPr="00834780">
        <w:rPr>
          <w:rFonts w:cs="Arial"/>
          <w:szCs w:val="20"/>
        </w:rPr>
        <w:t xml:space="preserve"> but employers are encouraged</w:t>
      </w:r>
      <w:r w:rsidR="00B55177" w:rsidRPr="00834780">
        <w:rPr>
          <w:rFonts w:cs="Arial"/>
          <w:szCs w:val="20"/>
        </w:rPr>
        <w:t xml:space="preserve"> not</w:t>
      </w:r>
      <w:r w:rsidRPr="00834780">
        <w:rPr>
          <w:rFonts w:cs="Arial"/>
          <w:szCs w:val="20"/>
        </w:rPr>
        <w:t xml:space="preserve"> to do so</w:t>
      </w:r>
      <w:r w:rsidR="00466F5E">
        <w:rPr>
          <w:rFonts w:cs="Arial"/>
          <w:szCs w:val="20"/>
        </w:rPr>
        <w:t xml:space="preserve"> because</w:t>
      </w:r>
      <w:r w:rsidRPr="00834780">
        <w:rPr>
          <w:rFonts w:cs="Arial"/>
          <w:szCs w:val="20"/>
        </w:rPr>
        <w:t xml:space="preserve"> this may affect whether an employee is eligible for a subsidy. Rather, the IRS would prefer that employers report on Line 15 accurately (not according to the transition relief)</w:t>
      </w:r>
      <w:r w:rsidR="00466F5E">
        <w:rPr>
          <w:rFonts w:cs="Arial"/>
          <w:szCs w:val="20"/>
        </w:rPr>
        <w:t>,</w:t>
      </w:r>
      <w:r w:rsidRPr="00834780">
        <w:rPr>
          <w:rFonts w:cs="Arial"/>
          <w:szCs w:val="20"/>
        </w:rPr>
        <w:t xml:space="preserve"> and then reconciliation would be allowed and potential </w:t>
      </w:r>
      <w:r w:rsidR="0049024F">
        <w:rPr>
          <w:rFonts w:cs="Arial"/>
          <w:szCs w:val="20"/>
        </w:rPr>
        <w:t>§4980H</w:t>
      </w:r>
      <w:r w:rsidR="00BB261E" w:rsidRPr="00834780">
        <w:rPr>
          <w:rFonts w:cs="Arial"/>
          <w:szCs w:val="20"/>
        </w:rPr>
        <w:t xml:space="preserve">(b) </w:t>
      </w:r>
      <w:r w:rsidRPr="00834780">
        <w:rPr>
          <w:rFonts w:cs="Arial"/>
          <w:szCs w:val="20"/>
        </w:rPr>
        <w:t>penalties forgiven if applicable</w:t>
      </w:r>
      <w:r w:rsidR="00BB261E" w:rsidRPr="00834780">
        <w:rPr>
          <w:rFonts w:cs="Arial"/>
          <w:szCs w:val="20"/>
        </w:rPr>
        <w:t>.</w:t>
      </w:r>
    </w:p>
    <w:p w14:paraId="20836F02" w14:textId="77777777" w:rsidR="00B55177" w:rsidRPr="00834780" w:rsidRDefault="00B55177" w:rsidP="00834780">
      <w:pPr>
        <w:pStyle w:val="ListParagraph"/>
        <w:ind w:left="1440"/>
        <w:rPr>
          <w:rFonts w:ascii="Arial" w:hAnsi="Arial" w:cs="Arial"/>
          <w:color w:val="FF0000"/>
          <w:sz w:val="20"/>
          <w:szCs w:val="20"/>
        </w:rPr>
      </w:pPr>
    </w:p>
    <w:p w14:paraId="6D466D5A" w14:textId="77777777" w:rsidR="00B55177" w:rsidRPr="00834780" w:rsidRDefault="00B55177" w:rsidP="00834780">
      <w:pPr>
        <w:pStyle w:val="ListParagraph"/>
        <w:rPr>
          <w:rFonts w:ascii="Arial" w:hAnsi="Arial" w:cs="Arial"/>
          <w:sz w:val="20"/>
          <w:szCs w:val="20"/>
          <w:u w:val="single"/>
        </w:rPr>
      </w:pPr>
      <w:r w:rsidRPr="00834780">
        <w:rPr>
          <w:rFonts w:ascii="Arial" w:hAnsi="Arial" w:cs="Arial"/>
          <w:sz w:val="20"/>
          <w:szCs w:val="20"/>
          <w:u w:val="single"/>
        </w:rPr>
        <w:t>Opt-Out Payments</w:t>
      </w:r>
    </w:p>
    <w:p w14:paraId="41DDF66E" w14:textId="77777777" w:rsidR="00AD2459" w:rsidRPr="00834780" w:rsidRDefault="00BB0925" w:rsidP="00834780">
      <w:pPr>
        <w:pStyle w:val="ListParagraph"/>
        <w:rPr>
          <w:rFonts w:ascii="Arial" w:hAnsi="Arial" w:cs="Arial"/>
          <w:sz w:val="20"/>
          <w:szCs w:val="20"/>
        </w:rPr>
      </w:pPr>
      <w:r w:rsidRPr="00834780">
        <w:rPr>
          <w:rFonts w:ascii="Arial" w:hAnsi="Arial" w:cs="Arial"/>
          <w:sz w:val="20"/>
          <w:szCs w:val="20"/>
        </w:rPr>
        <w:lastRenderedPageBreak/>
        <w:t xml:space="preserve">Previous guidance indicated that cash opt-outs (or cash in lieu of benefits) should be included when determining affordability for purposes of the individual mandate, but there was not any guidance that specifically addressed opt-out payments for purposes of subsidy eligibility or the employer mandate under </w:t>
      </w:r>
      <w:r w:rsidR="0049024F">
        <w:rPr>
          <w:rFonts w:ascii="Arial" w:hAnsi="Arial" w:cs="Arial"/>
          <w:sz w:val="20"/>
          <w:szCs w:val="20"/>
        </w:rPr>
        <w:t>§4980H</w:t>
      </w:r>
      <w:r w:rsidRPr="00834780">
        <w:rPr>
          <w:rFonts w:ascii="Arial" w:hAnsi="Arial" w:cs="Arial"/>
          <w:sz w:val="20"/>
          <w:szCs w:val="20"/>
        </w:rPr>
        <w:t>. As many expected, the</w:t>
      </w:r>
      <w:r w:rsidR="005E5BF6" w:rsidRPr="00834780">
        <w:rPr>
          <w:rFonts w:ascii="Arial" w:hAnsi="Arial" w:cs="Arial"/>
          <w:sz w:val="20"/>
          <w:szCs w:val="20"/>
        </w:rPr>
        <w:t xml:space="preserve"> IRS promised that additional regulations are coming </w:t>
      </w:r>
      <w:r w:rsidRPr="00834780">
        <w:rPr>
          <w:rFonts w:ascii="Arial" w:hAnsi="Arial" w:cs="Arial"/>
          <w:sz w:val="20"/>
          <w:szCs w:val="20"/>
        </w:rPr>
        <w:t xml:space="preserve">soon that are likely to require similar treatment for purposes of determining affordability for subsidy eligibility and the employer mandate penalties under </w:t>
      </w:r>
      <w:r w:rsidR="0049024F">
        <w:rPr>
          <w:rFonts w:ascii="Arial" w:hAnsi="Arial" w:cs="Arial"/>
          <w:sz w:val="20"/>
          <w:szCs w:val="20"/>
        </w:rPr>
        <w:t>§4980H</w:t>
      </w:r>
      <w:r w:rsidRPr="00834780">
        <w:rPr>
          <w:rFonts w:ascii="Arial" w:hAnsi="Arial" w:cs="Arial"/>
          <w:sz w:val="20"/>
          <w:szCs w:val="20"/>
        </w:rPr>
        <w:t>(b).</w:t>
      </w:r>
    </w:p>
    <w:p w14:paraId="7B43A09D" w14:textId="77777777" w:rsidR="00AD2459" w:rsidRPr="00834780" w:rsidRDefault="00AD2459" w:rsidP="00834780">
      <w:pPr>
        <w:pStyle w:val="ListParagraph"/>
        <w:rPr>
          <w:rFonts w:ascii="Arial" w:hAnsi="Arial" w:cs="Arial"/>
          <w:sz w:val="20"/>
          <w:szCs w:val="20"/>
        </w:rPr>
      </w:pPr>
    </w:p>
    <w:p w14:paraId="6C75B240" w14:textId="77777777" w:rsidR="00AD2459" w:rsidRPr="00834780" w:rsidRDefault="00834780" w:rsidP="00834780">
      <w:pPr>
        <w:ind w:left="720"/>
        <w:rPr>
          <w:rFonts w:eastAsia="Times New Roman" w:cs="Arial"/>
          <w:szCs w:val="20"/>
          <w:lang w:bidi="ar-SA"/>
        </w:rPr>
      </w:pPr>
      <w:r w:rsidRPr="00834780">
        <w:rPr>
          <w:rFonts w:eastAsia="Times New Roman" w:cs="Arial"/>
          <w:color w:val="333333"/>
          <w:szCs w:val="20"/>
          <w:shd w:val="clear" w:color="auto" w:fill="FFFFFF"/>
          <w:lang w:bidi="ar-SA"/>
        </w:rPr>
        <w:t>I</w:t>
      </w:r>
      <w:r w:rsidR="0008672C" w:rsidRPr="00834780">
        <w:rPr>
          <w:rFonts w:eastAsia="Times New Roman" w:cs="Arial"/>
          <w:color w:val="333333"/>
          <w:szCs w:val="20"/>
          <w:shd w:val="clear" w:color="auto" w:fill="FFFFFF"/>
          <w:lang w:bidi="ar-SA"/>
        </w:rPr>
        <w:t>t appears that at least for unconditional opt-outs (</w:t>
      </w:r>
      <w:r w:rsidRPr="00834780">
        <w:rPr>
          <w:rFonts w:cs="Arial"/>
          <w:szCs w:val="20"/>
        </w:rPr>
        <w:t>payment conditioned solely on an employee waiving coverage under an employer’s health plan</w:t>
      </w:r>
      <w:r w:rsidRPr="00834780">
        <w:rPr>
          <w:rFonts w:eastAsia="Times New Roman" w:cs="Arial"/>
          <w:color w:val="333333"/>
          <w:szCs w:val="20"/>
          <w:shd w:val="clear" w:color="auto" w:fill="FFFFFF"/>
          <w:lang w:bidi="ar-SA"/>
        </w:rPr>
        <w:t>)</w:t>
      </w:r>
      <w:r w:rsidR="00AD2459" w:rsidRPr="00AD2459">
        <w:rPr>
          <w:rFonts w:eastAsia="Times New Roman" w:cs="Arial"/>
          <w:color w:val="333333"/>
          <w:szCs w:val="20"/>
          <w:shd w:val="clear" w:color="auto" w:fill="FFFFFF"/>
          <w:lang w:bidi="ar-SA"/>
        </w:rPr>
        <w:t xml:space="preserve">, </w:t>
      </w:r>
      <w:r w:rsidR="0008672C" w:rsidRPr="00834780">
        <w:rPr>
          <w:rFonts w:eastAsia="Times New Roman" w:cs="Arial"/>
          <w:color w:val="333333"/>
          <w:szCs w:val="20"/>
          <w:shd w:val="clear" w:color="auto" w:fill="FFFFFF"/>
          <w:lang w:bidi="ar-SA"/>
        </w:rPr>
        <w:t>the cash will</w:t>
      </w:r>
      <w:r w:rsidR="00AD2459" w:rsidRPr="00AD2459">
        <w:rPr>
          <w:rFonts w:eastAsia="Times New Roman" w:cs="Arial"/>
          <w:color w:val="333333"/>
          <w:szCs w:val="20"/>
          <w:shd w:val="clear" w:color="auto" w:fill="FFFFFF"/>
          <w:lang w:bidi="ar-SA"/>
        </w:rPr>
        <w:t xml:space="preserve"> need to be considered for purposes of affordability. </w:t>
      </w:r>
      <w:r w:rsidR="00AD2459" w:rsidRPr="00834780">
        <w:rPr>
          <w:rFonts w:eastAsia="Times New Roman" w:cs="Arial"/>
          <w:color w:val="333333"/>
          <w:szCs w:val="20"/>
          <w:bdr w:val="none" w:sz="0" w:space="0" w:color="auto" w:frame="1"/>
        </w:rPr>
        <w:t>For example, when the employee cost for health coverage is $</w:t>
      </w:r>
      <w:r w:rsidRPr="00834780">
        <w:rPr>
          <w:rFonts w:eastAsia="Times New Roman" w:cs="Arial"/>
          <w:color w:val="333333"/>
          <w:szCs w:val="20"/>
          <w:bdr w:val="none" w:sz="0" w:space="0" w:color="auto" w:frame="1"/>
        </w:rPr>
        <w:t>125</w:t>
      </w:r>
      <w:r w:rsidR="00AD2459" w:rsidRPr="00834780">
        <w:rPr>
          <w:rFonts w:eastAsia="Times New Roman" w:cs="Arial"/>
          <w:color w:val="333333"/>
          <w:szCs w:val="20"/>
          <w:bdr w:val="none" w:sz="0" w:space="0" w:color="auto" w:frame="1"/>
        </w:rPr>
        <w:t xml:space="preserve"> per month, but there is an </w:t>
      </w:r>
      <w:r w:rsidRPr="00834780">
        <w:rPr>
          <w:rFonts w:eastAsia="Times New Roman" w:cs="Arial"/>
          <w:color w:val="333333"/>
          <w:szCs w:val="20"/>
          <w:bdr w:val="none" w:sz="0" w:space="0" w:color="auto" w:frame="1"/>
        </w:rPr>
        <w:t xml:space="preserve">unconditional </w:t>
      </w:r>
      <w:r w:rsidR="00AD2459" w:rsidRPr="00834780">
        <w:rPr>
          <w:rFonts w:eastAsia="Times New Roman" w:cs="Arial"/>
          <w:color w:val="333333"/>
          <w:szCs w:val="20"/>
          <w:bdr w:val="none" w:sz="0" w:space="0" w:color="auto" w:frame="1"/>
        </w:rPr>
        <w:t xml:space="preserve">opt-out </w:t>
      </w:r>
      <w:r w:rsidRPr="00834780">
        <w:rPr>
          <w:rFonts w:eastAsia="Times New Roman" w:cs="Arial"/>
          <w:color w:val="333333"/>
          <w:szCs w:val="20"/>
          <w:bdr w:val="none" w:sz="0" w:space="0" w:color="auto" w:frame="1"/>
        </w:rPr>
        <w:t>payment</w:t>
      </w:r>
      <w:r w:rsidR="00AD2459" w:rsidRPr="00834780">
        <w:rPr>
          <w:rFonts w:eastAsia="Times New Roman" w:cs="Arial"/>
          <w:color w:val="333333"/>
          <w:szCs w:val="20"/>
          <w:bdr w:val="none" w:sz="0" w:space="0" w:color="auto" w:frame="1"/>
        </w:rPr>
        <w:t xml:space="preserve"> of $</w:t>
      </w:r>
      <w:r w:rsidRPr="00834780">
        <w:rPr>
          <w:rFonts w:eastAsia="Times New Roman" w:cs="Arial"/>
          <w:color w:val="333333"/>
          <w:szCs w:val="20"/>
          <w:bdr w:val="none" w:sz="0" w:space="0" w:color="auto" w:frame="1"/>
        </w:rPr>
        <w:t>75</w:t>
      </w:r>
      <w:r w:rsidR="00AD2459" w:rsidRPr="00834780">
        <w:rPr>
          <w:rFonts w:eastAsia="Times New Roman" w:cs="Arial"/>
          <w:color w:val="333333"/>
          <w:szCs w:val="20"/>
          <w:bdr w:val="none" w:sz="0" w:space="0" w:color="auto" w:frame="1"/>
        </w:rPr>
        <w:t xml:space="preserve"> per month if coverage is waived, the employee contribution for affordability purposes is $</w:t>
      </w:r>
      <w:r w:rsidRPr="00834780">
        <w:rPr>
          <w:rFonts w:eastAsia="Times New Roman" w:cs="Arial"/>
          <w:color w:val="333333"/>
          <w:szCs w:val="20"/>
          <w:bdr w:val="none" w:sz="0" w:space="0" w:color="auto" w:frame="1"/>
        </w:rPr>
        <w:t>200</w:t>
      </w:r>
      <w:r w:rsidR="00AD2459" w:rsidRPr="00834780">
        <w:rPr>
          <w:rFonts w:eastAsia="Times New Roman" w:cs="Arial"/>
          <w:color w:val="333333"/>
          <w:szCs w:val="20"/>
          <w:bdr w:val="none" w:sz="0" w:space="0" w:color="auto" w:frame="1"/>
        </w:rPr>
        <w:t xml:space="preserve"> ($</w:t>
      </w:r>
      <w:r w:rsidRPr="00834780">
        <w:rPr>
          <w:rFonts w:eastAsia="Times New Roman" w:cs="Arial"/>
          <w:color w:val="333333"/>
          <w:szCs w:val="20"/>
          <w:bdr w:val="none" w:sz="0" w:space="0" w:color="auto" w:frame="1"/>
        </w:rPr>
        <w:t>125 + $75</w:t>
      </w:r>
      <w:r w:rsidR="00AD2459" w:rsidRPr="00834780">
        <w:rPr>
          <w:rFonts w:eastAsia="Times New Roman" w:cs="Arial"/>
          <w:color w:val="333333"/>
          <w:szCs w:val="20"/>
          <w:bdr w:val="none" w:sz="0" w:space="0" w:color="auto" w:frame="1"/>
        </w:rPr>
        <w:t>).</w:t>
      </w:r>
      <w:r w:rsidRPr="00834780">
        <w:rPr>
          <w:rFonts w:eastAsia="Times New Roman" w:cs="Arial"/>
          <w:color w:val="333333"/>
          <w:szCs w:val="20"/>
          <w:bdr w:val="none" w:sz="0" w:space="0" w:color="auto" w:frame="1"/>
        </w:rPr>
        <w:t xml:space="preserve"> </w:t>
      </w:r>
      <w:r w:rsidRPr="00AD2459">
        <w:rPr>
          <w:rFonts w:eastAsia="Times New Roman" w:cs="Arial"/>
          <w:color w:val="333333"/>
          <w:szCs w:val="20"/>
          <w:shd w:val="clear" w:color="auto" w:fill="FFFFFF"/>
          <w:lang w:bidi="ar-SA"/>
        </w:rPr>
        <w:t xml:space="preserve">If the </w:t>
      </w:r>
      <w:r w:rsidRPr="00834780">
        <w:rPr>
          <w:rFonts w:eastAsia="Times New Roman" w:cs="Arial"/>
          <w:color w:val="333333"/>
          <w:szCs w:val="20"/>
          <w:shd w:val="clear" w:color="auto" w:fill="FFFFFF"/>
          <w:lang w:bidi="ar-SA"/>
        </w:rPr>
        <w:t>payment</w:t>
      </w:r>
      <w:r w:rsidRPr="00AD2459">
        <w:rPr>
          <w:rFonts w:eastAsia="Times New Roman" w:cs="Arial"/>
          <w:color w:val="333333"/>
          <w:szCs w:val="20"/>
          <w:shd w:val="clear" w:color="auto" w:fill="FFFFFF"/>
          <w:lang w:bidi="ar-SA"/>
        </w:rPr>
        <w:t xml:space="preserve"> is available to any employee who waives coverage, </w:t>
      </w:r>
      <w:r w:rsidRPr="00834780">
        <w:rPr>
          <w:rFonts w:eastAsia="Times New Roman" w:cs="Arial"/>
          <w:color w:val="333333"/>
          <w:szCs w:val="20"/>
          <w:shd w:val="clear" w:color="auto" w:fill="FFFFFF"/>
          <w:lang w:bidi="ar-SA"/>
        </w:rPr>
        <w:t xml:space="preserve">it </w:t>
      </w:r>
      <w:r w:rsidRPr="00AD2459">
        <w:rPr>
          <w:rFonts w:eastAsia="Times New Roman" w:cs="Arial"/>
          <w:color w:val="333333"/>
          <w:szCs w:val="20"/>
          <w:shd w:val="clear" w:color="auto" w:fill="FFFFFF"/>
          <w:lang w:bidi="ar-SA"/>
        </w:rPr>
        <w:t>should be used in calculating affordability for all eligible employees.</w:t>
      </w:r>
      <w:r w:rsidRPr="00834780">
        <w:rPr>
          <w:rFonts w:eastAsia="Times New Roman" w:cs="Arial"/>
          <w:szCs w:val="20"/>
          <w:lang w:bidi="ar-SA"/>
        </w:rPr>
        <w:t xml:space="preserve">  </w:t>
      </w:r>
    </w:p>
    <w:p w14:paraId="7A442DF8" w14:textId="77777777" w:rsidR="00AD2459" w:rsidRPr="00834780" w:rsidRDefault="00AD2459" w:rsidP="00834780">
      <w:pPr>
        <w:pStyle w:val="ListParagraph"/>
        <w:rPr>
          <w:rFonts w:ascii="Arial" w:hAnsi="Arial" w:cs="Arial"/>
          <w:sz w:val="20"/>
          <w:szCs w:val="20"/>
        </w:rPr>
      </w:pPr>
    </w:p>
    <w:p w14:paraId="24A47284" w14:textId="77777777" w:rsidR="00B26A45" w:rsidRPr="00834780" w:rsidRDefault="0008672C" w:rsidP="00834780">
      <w:pPr>
        <w:ind w:left="720"/>
        <w:textAlignment w:val="baseline"/>
        <w:rPr>
          <w:rFonts w:eastAsia="Times New Roman" w:cs="Arial"/>
          <w:color w:val="333333"/>
          <w:szCs w:val="20"/>
          <w:lang w:bidi="ar-SA"/>
        </w:rPr>
      </w:pPr>
      <w:r w:rsidRPr="00834780">
        <w:rPr>
          <w:rFonts w:cs="Arial"/>
          <w:szCs w:val="20"/>
        </w:rPr>
        <w:t>On the other hand, the IRS indicated that</w:t>
      </w:r>
      <w:r w:rsidR="00B26A45" w:rsidRPr="00834780">
        <w:rPr>
          <w:rFonts w:cs="Arial"/>
          <w:szCs w:val="20"/>
        </w:rPr>
        <w:t xml:space="preserve"> placing conditions</w:t>
      </w:r>
      <w:r w:rsidRPr="00834780">
        <w:rPr>
          <w:rFonts w:cs="Arial"/>
          <w:szCs w:val="20"/>
        </w:rPr>
        <w:t xml:space="preserve"> on the cash opt-out</w:t>
      </w:r>
      <w:r w:rsidR="00466F5E">
        <w:rPr>
          <w:rFonts w:cs="Arial"/>
          <w:szCs w:val="20"/>
        </w:rPr>
        <w:t>,</w:t>
      </w:r>
      <w:r w:rsidR="00B26A45" w:rsidRPr="00834780">
        <w:rPr>
          <w:rFonts w:cs="Arial"/>
          <w:szCs w:val="20"/>
        </w:rPr>
        <w:t xml:space="preserve"> such as proof of other group health coverage</w:t>
      </w:r>
      <w:r w:rsidR="00466F5E">
        <w:rPr>
          <w:rFonts w:cs="Arial"/>
          <w:szCs w:val="20"/>
        </w:rPr>
        <w:t>,</w:t>
      </w:r>
      <w:r w:rsidR="00B26A45" w:rsidRPr="00834780">
        <w:rPr>
          <w:rFonts w:cs="Arial"/>
          <w:szCs w:val="20"/>
        </w:rPr>
        <w:t xml:space="preserve"> may allow the opt-out not to be considered. </w:t>
      </w:r>
      <w:r w:rsidR="00834780" w:rsidRPr="00834780">
        <w:rPr>
          <w:rFonts w:cs="Arial"/>
          <w:szCs w:val="20"/>
        </w:rPr>
        <w:t>This makes sense because i</w:t>
      </w:r>
      <w:r w:rsidR="00834780" w:rsidRPr="00834780">
        <w:rPr>
          <w:rFonts w:eastAsia="Times New Roman" w:cs="Arial"/>
          <w:color w:val="333333"/>
          <w:szCs w:val="20"/>
          <w:bdr w:val="none" w:sz="0" w:space="0" w:color="auto" w:frame="1"/>
          <w:lang w:bidi="ar-SA"/>
        </w:rPr>
        <w:t>f the opt-out payment is limited only to employees who show proof of other group insurance, there is little or no 4980H(b) risk to the employer anyway because the opt-out payment would be provided only to employees who have other group coverage (and are therefore ineligible for subsidies through a public Exchange).</w:t>
      </w:r>
      <w:r w:rsidR="00B26A45" w:rsidRPr="00834780">
        <w:rPr>
          <w:rFonts w:cs="Arial"/>
          <w:szCs w:val="20"/>
        </w:rPr>
        <w:br/>
      </w:r>
    </w:p>
    <w:p w14:paraId="53C9E953" w14:textId="77777777" w:rsidR="00B26A45" w:rsidRPr="00834780" w:rsidRDefault="0008672C" w:rsidP="00834780">
      <w:pPr>
        <w:ind w:left="720"/>
        <w:rPr>
          <w:rFonts w:cs="Arial"/>
          <w:szCs w:val="20"/>
        </w:rPr>
      </w:pPr>
      <w:r w:rsidRPr="00834780">
        <w:rPr>
          <w:rFonts w:cs="Arial"/>
          <w:szCs w:val="20"/>
        </w:rPr>
        <w:t>Until further guidance is provided</w:t>
      </w:r>
      <w:r w:rsidR="00B26A45" w:rsidRPr="00834780">
        <w:rPr>
          <w:rFonts w:cs="Arial"/>
          <w:szCs w:val="20"/>
        </w:rPr>
        <w:t>, employers are not required to increase the amount of an employee’s required contribution by the amount of an opt-out payment, but individuals may treat it as increasing employee contributions for purposes of subsidy eligibility and the individual mandate</w:t>
      </w:r>
      <w:r w:rsidRPr="00834780">
        <w:rPr>
          <w:rFonts w:cs="Arial"/>
          <w:szCs w:val="20"/>
        </w:rPr>
        <w:t>.</w:t>
      </w:r>
    </w:p>
    <w:p w14:paraId="0408F7E9" w14:textId="77777777" w:rsidR="00B55177" w:rsidRPr="00834780" w:rsidRDefault="00B55177" w:rsidP="00834780">
      <w:pPr>
        <w:pStyle w:val="ListParagraph"/>
        <w:ind w:left="1440"/>
        <w:rPr>
          <w:rFonts w:ascii="Arial" w:hAnsi="Arial" w:cs="Arial"/>
          <w:sz w:val="20"/>
          <w:szCs w:val="20"/>
        </w:rPr>
      </w:pPr>
    </w:p>
    <w:p w14:paraId="671B688E" w14:textId="77777777" w:rsidR="00B26A45" w:rsidRDefault="00466F5E" w:rsidP="00834780">
      <w:pPr>
        <w:ind w:left="0"/>
      </w:pPr>
      <w:r w:rsidRPr="00110C02">
        <w:rPr>
          <w:rFonts w:cs="Arial"/>
          <w:szCs w:val="20"/>
        </w:rPr>
        <w:t>E</w:t>
      </w:r>
      <w:r w:rsidR="00B26A45" w:rsidRPr="00110C02">
        <w:rPr>
          <w:rFonts w:cs="Arial"/>
          <w:szCs w:val="20"/>
        </w:rPr>
        <w:t xml:space="preserve">mployers </w:t>
      </w:r>
      <w:r w:rsidRPr="00110C02">
        <w:rPr>
          <w:rFonts w:cs="Arial"/>
          <w:szCs w:val="20"/>
        </w:rPr>
        <w:t>who</w:t>
      </w:r>
      <w:r w:rsidR="00B26A45" w:rsidRPr="00110C02">
        <w:rPr>
          <w:rFonts w:cs="Arial"/>
          <w:szCs w:val="20"/>
        </w:rPr>
        <w:t xml:space="preserve"> choose to report a lower employee contribution amount due to transition relief </w:t>
      </w:r>
      <w:r w:rsidR="00BE6216" w:rsidRPr="00110C02">
        <w:rPr>
          <w:rFonts w:cs="Arial"/>
          <w:szCs w:val="20"/>
        </w:rPr>
        <w:t xml:space="preserve">for flex credits or opt-out payments as discussed above </w:t>
      </w:r>
      <w:r w:rsidRPr="00110C02">
        <w:rPr>
          <w:rFonts w:cs="Arial"/>
          <w:szCs w:val="20"/>
        </w:rPr>
        <w:t>(</w:t>
      </w:r>
      <w:r w:rsidR="00B26A45" w:rsidRPr="00110C02">
        <w:rPr>
          <w:rFonts w:cs="Arial"/>
          <w:szCs w:val="20"/>
        </w:rPr>
        <w:t>rather than reporting the higher amount</w:t>
      </w:r>
      <w:r w:rsidRPr="00110C02">
        <w:rPr>
          <w:rFonts w:cs="Arial"/>
          <w:szCs w:val="20"/>
        </w:rPr>
        <w:t>)</w:t>
      </w:r>
      <w:r w:rsidR="00B26A45" w:rsidRPr="00110C02">
        <w:rPr>
          <w:rFonts w:cs="Arial"/>
          <w:szCs w:val="20"/>
        </w:rPr>
        <w:t xml:space="preserve"> are encouraged to notify employees that they may obtain accurate information about their required contribution using the employer contact telephone number provided</w:t>
      </w:r>
      <w:r w:rsidR="00BE6216" w:rsidRPr="00110C02">
        <w:rPr>
          <w:rFonts w:cs="Arial"/>
          <w:szCs w:val="20"/>
        </w:rPr>
        <w:t xml:space="preserve"> to the employee on Form 1095-C. If </w:t>
      </w:r>
      <w:r w:rsidR="00B26A45" w:rsidRPr="00110C02">
        <w:rPr>
          <w:rFonts w:cs="Arial"/>
          <w:szCs w:val="20"/>
        </w:rPr>
        <w:t>the modified required contribution is not affordable</w:t>
      </w:r>
      <w:r w:rsidR="00BE6216" w:rsidRPr="00110C02">
        <w:rPr>
          <w:rFonts w:cs="Arial"/>
          <w:szCs w:val="20"/>
        </w:rPr>
        <w:t xml:space="preserve"> and the employee then may not qualify for a tax subsidy</w:t>
      </w:r>
      <w:r w:rsidR="00B26A45" w:rsidRPr="00110C02">
        <w:rPr>
          <w:rFonts w:cs="Arial"/>
          <w:szCs w:val="20"/>
        </w:rPr>
        <w:t>, the empl</w:t>
      </w:r>
      <w:r w:rsidR="00BE6216" w:rsidRPr="00110C02">
        <w:rPr>
          <w:rFonts w:cs="Arial"/>
          <w:szCs w:val="20"/>
        </w:rPr>
        <w:t xml:space="preserve">oyee may claim it on Form 8692 - </w:t>
      </w:r>
      <w:r w:rsidR="00B26A45" w:rsidRPr="00110C02">
        <w:rPr>
          <w:rFonts w:cs="Arial"/>
          <w:szCs w:val="20"/>
        </w:rPr>
        <w:t>Premium Tax Credit, which is filed with the employee’s annual income tax retur</w:t>
      </w:r>
      <w:r w:rsidR="00B26A45" w:rsidRPr="00110C02">
        <w:t>n</w:t>
      </w:r>
      <w:r w:rsidR="00BE6216" w:rsidRPr="00110C02">
        <w:t>.</w:t>
      </w:r>
      <w:r w:rsidR="00B26A45">
        <w:t xml:space="preserve"> </w:t>
      </w:r>
    </w:p>
    <w:p w14:paraId="2186F14B" w14:textId="77777777" w:rsidR="008700C0" w:rsidRPr="00BA321D" w:rsidRDefault="008700C0" w:rsidP="000D31AC">
      <w:pPr>
        <w:ind w:left="0"/>
      </w:pPr>
    </w:p>
    <w:p w14:paraId="50E39EB1" w14:textId="77777777" w:rsidR="00E03522" w:rsidRPr="003F4386" w:rsidRDefault="001A7955" w:rsidP="000D31AC">
      <w:pPr>
        <w:ind w:left="0"/>
        <w:rPr>
          <w:rFonts w:asciiTheme="minorHAnsi" w:hAnsiTheme="minorHAnsi" w:cs="Arial"/>
          <w:b/>
          <w:sz w:val="22"/>
        </w:rPr>
      </w:pPr>
      <w:r w:rsidRPr="003F4386">
        <w:rPr>
          <w:rFonts w:asciiTheme="minorHAnsi" w:hAnsiTheme="minorHAnsi" w:cs="Arial"/>
          <w:b/>
          <w:sz w:val="22"/>
        </w:rPr>
        <w:t>Summary</w:t>
      </w:r>
    </w:p>
    <w:p w14:paraId="474BBAFA" w14:textId="77777777" w:rsidR="0005280B" w:rsidRDefault="002E5CB6" w:rsidP="00F04017">
      <w:pPr>
        <w:ind w:left="0"/>
      </w:pPr>
      <w:r>
        <w:t>The notice provided some much</w:t>
      </w:r>
      <w:r w:rsidR="00466F5E">
        <w:t>-</w:t>
      </w:r>
      <w:r>
        <w:t xml:space="preserve">needed clarification and confirmation in regard to </w:t>
      </w:r>
      <w:r w:rsidR="0049024F">
        <w:t>§4980H</w:t>
      </w:r>
      <w:r>
        <w:t>, especially in regard to affordability and how to handle the reporting on Line 15 of Form 1095-C</w:t>
      </w:r>
      <w:r w:rsidR="00466F5E">
        <w:t>,</w:t>
      </w:r>
      <w:r>
        <w:t xml:space="preserve"> at least for now. </w:t>
      </w:r>
      <w:r w:rsidR="001002BD">
        <w:t xml:space="preserve">With </w:t>
      </w:r>
      <w:r w:rsidR="0049024F">
        <w:t>§4980H</w:t>
      </w:r>
      <w:r w:rsidR="001002BD">
        <w:t xml:space="preserve"> penalty amounts confirmed for 2016, </w:t>
      </w:r>
      <w:r w:rsidR="005D378D">
        <w:t xml:space="preserve">it is important for employers to understand how various employer contributions will affect affordability and </w:t>
      </w:r>
      <w:r w:rsidR="00466F5E">
        <w:t xml:space="preserve">to </w:t>
      </w:r>
      <w:r w:rsidR="005D378D">
        <w:t>plan accordingly.</w:t>
      </w:r>
      <w:r w:rsidR="001002BD">
        <w:t xml:space="preserve"> </w:t>
      </w:r>
    </w:p>
    <w:p w14:paraId="3F50D805" w14:textId="77777777" w:rsidR="00987818" w:rsidRDefault="00987818" w:rsidP="000D31AC">
      <w:pPr>
        <w:ind w:left="0"/>
      </w:pPr>
    </w:p>
    <w:p w14:paraId="1B7C116F" w14:textId="77777777" w:rsidR="00723257" w:rsidRDefault="00723257" w:rsidP="00723257">
      <w:pPr>
        <w:pStyle w:val="MediumShading1-Accent11"/>
        <w:ind w:left="0"/>
        <w:rPr>
          <w:rFonts w:cs="Arial"/>
          <w:szCs w:val="20"/>
        </w:rPr>
      </w:pPr>
    </w:p>
    <w:p w14:paraId="01B58C18" w14:textId="77777777" w:rsidR="00723257" w:rsidRDefault="00723257" w:rsidP="000D31AC">
      <w:pPr>
        <w:ind w:left="0"/>
      </w:pPr>
    </w:p>
    <w:p w14:paraId="2CCC341C" w14:textId="77777777" w:rsidR="00A6352B" w:rsidRDefault="00A6352B" w:rsidP="00A6352B">
      <w:pPr>
        <w:pStyle w:val="MediumGrid21"/>
        <w:rPr>
          <w:i/>
          <w:sz w:val="18"/>
          <w:szCs w:val="18"/>
          <w:lang w:val="en-US"/>
        </w:rPr>
      </w:pPr>
    </w:p>
    <w:p w14:paraId="30F7E347" w14:textId="77777777" w:rsidR="00723257" w:rsidRDefault="00723257" w:rsidP="00866B99">
      <w:pPr>
        <w:pStyle w:val="MediumShading1-Accent11"/>
        <w:ind w:left="0"/>
        <w:rPr>
          <w:i/>
          <w:sz w:val="16"/>
          <w:szCs w:val="16"/>
        </w:rPr>
      </w:pPr>
    </w:p>
    <w:p w14:paraId="30D6E1C0" w14:textId="77777777" w:rsidR="008362F4" w:rsidRDefault="0035725D" w:rsidP="00866B99">
      <w:pPr>
        <w:pStyle w:val="MediumShading1-Accent11"/>
        <w:ind w:left="0"/>
        <w:rPr>
          <w:i/>
          <w:sz w:val="16"/>
          <w:szCs w:val="16"/>
        </w:rPr>
      </w:pPr>
      <w:r w:rsidRPr="0033285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3E9F5D1D" w14:textId="77777777" w:rsidR="006F7F3E" w:rsidRDefault="006F7F3E" w:rsidP="00866B99">
      <w:pPr>
        <w:pStyle w:val="MediumShading1-Accent11"/>
        <w:ind w:left="0"/>
        <w:rPr>
          <w:i/>
          <w:sz w:val="16"/>
          <w:szCs w:val="16"/>
        </w:rPr>
      </w:pPr>
    </w:p>
    <w:p w14:paraId="02C3FDA0" w14:textId="77777777" w:rsidR="006F7F3E" w:rsidRPr="008362F4" w:rsidRDefault="006F7F3E" w:rsidP="006F7F3E">
      <w:pPr>
        <w:pStyle w:val="MediumShading1-Accent11"/>
        <w:ind w:left="0"/>
        <w:rPr>
          <w:rFonts w:cs="Arial"/>
          <w:szCs w:val="20"/>
        </w:rPr>
      </w:pPr>
    </w:p>
    <w:sectPr w:rsidR="006F7F3E" w:rsidRPr="008362F4" w:rsidSect="00E53468">
      <w:footerReference w:type="default" r:id="rId9"/>
      <w:headerReference w:type="first" r:id="rId10"/>
      <w:footerReference w:type="first" r:id="rId11"/>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9E9EB" w14:textId="77777777" w:rsidR="006C4FC7" w:rsidRDefault="006C4FC7" w:rsidP="006C7EC1">
      <w:r>
        <w:separator/>
      </w:r>
    </w:p>
  </w:endnote>
  <w:endnote w:type="continuationSeparator" w:id="0">
    <w:p w14:paraId="5723A1AC" w14:textId="77777777" w:rsidR="006C4FC7" w:rsidRDefault="006C4FC7" w:rsidP="006C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22B6" w14:textId="77777777" w:rsidR="001002BD" w:rsidRDefault="001002BD" w:rsidP="006C7EC1">
    <w:pPr>
      <w:pStyle w:val="Footer"/>
      <w:jc w:val="center"/>
      <w:rPr>
        <w:rFonts w:cs="Arial"/>
        <w:sz w:val="18"/>
        <w:szCs w:val="18"/>
      </w:rPr>
    </w:pPr>
  </w:p>
  <w:p w14:paraId="7A4863ED" w14:textId="77777777" w:rsidR="001002BD" w:rsidRDefault="001002BD" w:rsidP="006C7EC1">
    <w:pPr>
      <w:pStyle w:val="Footer"/>
      <w:jc w:val="center"/>
      <w:rPr>
        <w:sz w:val="18"/>
        <w:szCs w:val="18"/>
        <w:lang w:val="en-US"/>
      </w:rPr>
    </w:pPr>
    <w:r w:rsidRPr="006C7EC1">
      <w:rPr>
        <w:rFonts w:cs="Arial"/>
        <w:sz w:val="18"/>
        <w:szCs w:val="18"/>
      </w:rPr>
      <w:t>© 201</w:t>
    </w:r>
    <w:r>
      <w:rPr>
        <w:rFonts w:cs="Arial"/>
        <w:sz w:val="18"/>
        <w:szCs w:val="18"/>
        <w:lang w:val="en-US"/>
      </w:rPr>
      <w:t>5</w:t>
    </w:r>
    <w:r w:rsidRPr="006C7EC1">
      <w:rPr>
        <w:rFonts w:cs="Arial"/>
        <w:sz w:val="18"/>
        <w:szCs w:val="18"/>
      </w:rPr>
      <w:t xml:space="preserve"> </w:t>
    </w:r>
    <w:r>
      <w:rPr>
        <w:sz w:val="18"/>
        <w:szCs w:val="18"/>
      </w:rPr>
      <w:t>Benefit Comply, LLC</w:t>
    </w:r>
  </w:p>
  <w:p w14:paraId="462E7211" w14:textId="77777777" w:rsidR="001002BD" w:rsidRDefault="001002BD"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D15CB">
      <w:rPr>
        <w:noProof/>
        <w:sz w:val="18"/>
        <w:szCs w:val="18"/>
        <w:lang w:val="en-US"/>
      </w:rPr>
      <w:t>2</w:t>
    </w:r>
    <w:r w:rsidRPr="00866B99">
      <w:rPr>
        <w:sz w:val="18"/>
        <w:szCs w:val="18"/>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2A797" w14:textId="77777777" w:rsidR="001002BD" w:rsidRDefault="001002BD" w:rsidP="006C7EC1">
    <w:pPr>
      <w:pStyle w:val="Footer"/>
      <w:jc w:val="center"/>
      <w:rPr>
        <w:sz w:val="18"/>
        <w:szCs w:val="18"/>
        <w:lang w:val="en-US"/>
      </w:rPr>
    </w:pPr>
    <w:r>
      <w:rPr>
        <w:rFonts w:cs="Arial"/>
        <w:sz w:val="18"/>
        <w:szCs w:val="18"/>
      </w:rPr>
      <w:t>© 201</w:t>
    </w:r>
    <w:r>
      <w:rPr>
        <w:rFonts w:cs="Arial"/>
        <w:sz w:val="18"/>
        <w:szCs w:val="18"/>
        <w:lang w:val="en-US"/>
      </w:rPr>
      <w:t>5</w:t>
    </w:r>
    <w:r w:rsidRPr="006C7EC1">
      <w:rPr>
        <w:rFonts w:cs="Arial"/>
        <w:sz w:val="18"/>
        <w:szCs w:val="18"/>
      </w:rPr>
      <w:t xml:space="preserve"> </w:t>
    </w:r>
    <w:r>
      <w:rPr>
        <w:sz w:val="18"/>
        <w:szCs w:val="18"/>
      </w:rPr>
      <w:t>Benefit Comply, LLC</w:t>
    </w:r>
  </w:p>
  <w:p w14:paraId="0153FE49" w14:textId="77777777" w:rsidR="001002BD" w:rsidRPr="00866B99" w:rsidRDefault="001002BD"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EC2658">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DCE34" w14:textId="77777777" w:rsidR="006C4FC7" w:rsidRDefault="006C4FC7" w:rsidP="006C7EC1">
      <w:r>
        <w:separator/>
      </w:r>
    </w:p>
  </w:footnote>
  <w:footnote w:type="continuationSeparator" w:id="0">
    <w:p w14:paraId="409F0A91" w14:textId="77777777" w:rsidR="006C4FC7" w:rsidRDefault="006C4FC7" w:rsidP="006C7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5226" w14:textId="77777777" w:rsidR="001002BD" w:rsidRPr="006717AA" w:rsidRDefault="001002BD" w:rsidP="00373838">
    <w:pPr>
      <w:pStyle w:val="Header"/>
      <w:ind w:left="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DBA"/>
    <w:multiLevelType w:val="multilevel"/>
    <w:tmpl w:val="4920B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32F4"/>
    <w:multiLevelType w:val="hybridMultilevel"/>
    <w:tmpl w:val="9F0647AE"/>
    <w:lvl w:ilvl="0" w:tplc="71F65F4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ACF4CA3"/>
    <w:multiLevelType w:val="hybridMultilevel"/>
    <w:tmpl w:val="483E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15F0A"/>
    <w:multiLevelType w:val="hybridMultilevel"/>
    <w:tmpl w:val="B8760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47F5C"/>
    <w:multiLevelType w:val="hybridMultilevel"/>
    <w:tmpl w:val="951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052B0"/>
    <w:multiLevelType w:val="hybridMultilevel"/>
    <w:tmpl w:val="F57E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C46DB"/>
    <w:multiLevelType w:val="multilevel"/>
    <w:tmpl w:val="FBC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824BE"/>
    <w:multiLevelType w:val="hybridMultilevel"/>
    <w:tmpl w:val="76FAF48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630FBB"/>
    <w:multiLevelType w:val="multilevel"/>
    <w:tmpl w:val="57BE6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374B8E"/>
    <w:multiLevelType w:val="hybridMultilevel"/>
    <w:tmpl w:val="9C10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22B37"/>
    <w:multiLevelType w:val="multilevel"/>
    <w:tmpl w:val="2E1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F911B7"/>
    <w:multiLevelType w:val="hybridMultilevel"/>
    <w:tmpl w:val="B302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D6532"/>
    <w:multiLevelType w:val="hybridMultilevel"/>
    <w:tmpl w:val="E1C86A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746023"/>
    <w:multiLevelType w:val="hybridMultilevel"/>
    <w:tmpl w:val="D234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D5641"/>
    <w:multiLevelType w:val="hybridMultilevel"/>
    <w:tmpl w:val="AAC2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42F18"/>
    <w:multiLevelType w:val="hybridMultilevel"/>
    <w:tmpl w:val="E0D86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3A1EB5"/>
    <w:multiLevelType w:val="hybridMultilevel"/>
    <w:tmpl w:val="67F45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213FF7"/>
    <w:multiLevelType w:val="multilevel"/>
    <w:tmpl w:val="2C00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597FCE"/>
    <w:multiLevelType w:val="hybridMultilevel"/>
    <w:tmpl w:val="B07E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4110779"/>
    <w:multiLevelType w:val="hybridMultilevel"/>
    <w:tmpl w:val="D3920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F2E90"/>
    <w:multiLevelType w:val="hybridMultilevel"/>
    <w:tmpl w:val="2C02C6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F6412"/>
    <w:multiLevelType w:val="hybridMultilevel"/>
    <w:tmpl w:val="8D56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B70B1"/>
    <w:multiLevelType w:val="hybridMultilevel"/>
    <w:tmpl w:val="0A66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25665"/>
    <w:multiLevelType w:val="multilevel"/>
    <w:tmpl w:val="679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EE41B0"/>
    <w:multiLevelType w:val="hybridMultilevel"/>
    <w:tmpl w:val="7BA6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B0693"/>
    <w:multiLevelType w:val="hybridMultilevel"/>
    <w:tmpl w:val="BD26F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C07B1A"/>
    <w:multiLevelType w:val="hybridMultilevel"/>
    <w:tmpl w:val="BB76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27D41"/>
    <w:multiLevelType w:val="hybridMultilevel"/>
    <w:tmpl w:val="D57807CC"/>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8">
    <w:nsid w:val="72C82597"/>
    <w:multiLevelType w:val="hybridMultilevel"/>
    <w:tmpl w:val="9D22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65E5631"/>
    <w:multiLevelType w:val="multilevel"/>
    <w:tmpl w:val="CBFCFA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nsid w:val="78E4093D"/>
    <w:multiLevelType w:val="hybridMultilevel"/>
    <w:tmpl w:val="1C228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9E7AF3"/>
    <w:multiLevelType w:val="multilevel"/>
    <w:tmpl w:val="F886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BB61A7"/>
    <w:multiLevelType w:val="hybridMultilevel"/>
    <w:tmpl w:val="41DE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8"/>
  </w:num>
  <w:num w:numId="10">
    <w:abstractNumId w:val="24"/>
  </w:num>
  <w:num w:numId="11">
    <w:abstractNumId w:val="5"/>
  </w:num>
  <w:num w:numId="12">
    <w:abstractNumId w:val="25"/>
  </w:num>
  <w:num w:numId="13">
    <w:abstractNumId w:val="26"/>
  </w:num>
  <w:num w:numId="14">
    <w:abstractNumId w:val="3"/>
  </w:num>
  <w:num w:numId="15">
    <w:abstractNumId w:val="1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0"/>
  </w:num>
  <w:num w:numId="19">
    <w:abstractNumId w:val="27"/>
  </w:num>
  <w:num w:numId="20">
    <w:abstractNumId w:val="19"/>
  </w:num>
  <w:num w:numId="21">
    <w:abstractNumId w:val="32"/>
  </w:num>
  <w:num w:numId="22">
    <w:abstractNumId w:val="14"/>
  </w:num>
  <w:num w:numId="23">
    <w:abstractNumId w:val="30"/>
  </w:num>
  <w:num w:numId="24">
    <w:abstractNumId w:val="13"/>
  </w:num>
  <w:num w:numId="25">
    <w:abstractNumId w:val="11"/>
  </w:num>
  <w:num w:numId="26">
    <w:abstractNumId w:val="16"/>
  </w:num>
  <w:num w:numId="27">
    <w:abstractNumId w:val="21"/>
  </w:num>
  <w:num w:numId="28">
    <w:abstractNumId w:val="20"/>
  </w:num>
  <w:num w:numId="29">
    <w:abstractNumId w:val="9"/>
  </w:num>
  <w:num w:numId="30">
    <w:abstractNumId w:val="15"/>
  </w:num>
  <w:num w:numId="31">
    <w:abstractNumId w:val="2"/>
  </w:num>
  <w:num w:numId="32">
    <w:abstractNumId w:val="18"/>
  </w:num>
  <w:num w:numId="33">
    <w:abstractNumId w:val="29"/>
  </w:num>
  <w:num w:numId="34">
    <w:abstractNumId w:val="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81"/>
    <w:rsid w:val="000037D0"/>
    <w:rsid w:val="00005756"/>
    <w:rsid w:val="00012853"/>
    <w:rsid w:val="000130D1"/>
    <w:rsid w:val="00014763"/>
    <w:rsid w:val="000155E8"/>
    <w:rsid w:val="00015F0B"/>
    <w:rsid w:val="000166F5"/>
    <w:rsid w:val="00030A92"/>
    <w:rsid w:val="00040AB3"/>
    <w:rsid w:val="00041D34"/>
    <w:rsid w:val="00042D2A"/>
    <w:rsid w:val="00045F42"/>
    <w:rsid w:val="0005280B"/>
    <w:rsid w:val="00054026"/>
    <w:rsid w:val="0005618A"/>
    <w:rsid w:val="00056762"/>
    <w:rsid w:val="0006084A"/>
    <w:rsid w:val="0006208C"/>
    <w:rsid w:val="00063515"/>
    <w:rsid w:val="00065F15"/>
    <w:rsid w:val="000663CB"/>
    <w:rsid w:val="00071F3D"/>
    <w:rsid w:val="0008672C"/>
    <w:rsid w:val="00090998"/>
    <w:rsid w:val="00093B13"/>
    <w:rsid w:val="00096B1E"/>
    <w:rsid w:val="000A279E"/>
    <w:rsid w:val="000A697A"/>
    <w:rsid w:val="000C41B5"/>
    <w:rsid w:val="000C5473"/>
    <w:rsid w:val="000C6A59"/>
    <w:rsid w:val="000C721A"/>
    <w:rsid w:val="000D31AC"/>
    <w:rsid w:val="000E03AB"/>
    <w:rsid w:val="000E668C"/>
    <w:rsid w:val="000F3F23"/>
    <w:rsid w:val="000F5AC3"/>
    <w:rsid w:val="001002BD"/>
    <w:rsid w:val="0010150B"/>
    <w:rsid w:val="00103F85"/>
    <w:rsid w:val="00104680"/>
    <w:rsid w:val="0010781F"/>
    <w:rsid w:val="00110C02"/>
    <w:rsid w:val="00113F23"/>
    <w:rsid w:val="001146A5"/>
    <w:rsid w:val="00117A18"/>
    <w:rsid w:val="001257EE"/>
    <w:rsid w:val="00141AF2"/>
    <w:rsid w:val="001432A3"/>
    <w:rsid w:val="001446D8"/>
    <w:rsid w:val="00144A9C"/>
    <w:rsid w:val="00146F88"/>
    <w:rsid w:val="00147497"/>
    <w:rsid w:val="001510B3"/>
    <w:rsid w:val="00155720"/>
    <w:rsid w:val="00172882"/>
    <w:rsid w:val="001824D9"/>
    <w:rsid w:val="00184D42"/>
    <w:rsid w:val="00187547"/>
    <w:rsid w:val="00194FD3"/>
    <w:rsid w:val="001A569D"/>
    <w:rsid w:val="001A7955"/>
    <w:rsid w:val="001B1A88"/>
    <w:rsid w:val="001C256F"/>
    <w:rsid w:val="001C4860"/>
    <w:rsid w:val="001C68CC"/>
    <w:rsid w:val="001D58D8"/>
    <w:rsid w:val="001D5A0C"/>
    <w:rsid w:val="001D745D"/>
    <w:rsid w:val="001D77F4"/>
    <w:rsid w:val="001E2483"/>
    <w:rsid w:val="001E2972"/>
    <w:rsid w:val="001E345E"/>
    <w:rsid w:val="001E622E"/>
    <w:rsid w:val="001F0404"/>
    <w:rsid w:val="001F20E5"/>
    <w:rsid w:val="001F74F6"/>
    <w:rsid w:val="00200664"/>
    <w:rsid w:val="0020244B"/>
    <w:rsid w:val="00211FC6"/>
    <w:rsid w:val="00212E4A"/>
    <w:rsid w:val="00213DE7"/>
    <w:rsid w:val="002241F3"/>
    <w:rsid w:val="00226283"/>
    <w:rsid w:val="00231306"/>
    <w:rsid w:val="00247077"/>
    <w:rsid w:val="00255A5D"/>
    <w:rsid w:val="00261621"/>
    <w:rsid w:val="00267C12"/>
    <w:rsid w:val="00270D0F"/>
    <w:rsid w:val="00273D4E"/>
    <w:rsid w:val="002742E6"/>
    <w:rsid w:val="00277CAA"/>
    <w:rsid w:val="00294809"/>
    <w:rsid w:val="002A761A"/>
    <w:rsid w:val="002B089E"/>
    <w:rsid w:val="002C4ADB"/>
    <w:rsid w:val="002D6E4B"/>
    <w:rsid w:val="002E280D"/>
    <w:rsid w:val="002E5CB6"/>
    <w:rsid w:val="002E69BE"/>
    <w:rsid w:val="002F1D78"/>
    <w:rsid w:val="002F3FBC"/>
    <w:rsid w:val="002F5B6A"/>
    <w:rsid w:val="002F5FCD"/>
    <w:rsid w:val="00311D22"/>
    <w:rsid w:val="00314066"/>
    <w:rsid w:val="00315F0E"/>
    <w:rsid w:val="0031698C"/>
    <w:rsid w:val="003256A6"/>
    <w:rsid w:val="00332855"/>
    <w:rsid w:val="00334D30"/>
    <w:rsid w:val="00337651"/>
    <w:rsid w:val="00341E4C"/>
    <w:rsid w:val="00341F9B"/>
    <w:rsid w:val="00343D4C"/>
    <w:rsid w:val="00346D40"/>
    <w:rsid w:val="00351DAE"/>
    <w:rsid w:val="003536E9"/>
    <w:rsid w:val="0035725D"/>
    <w:rsid w:val="003606B3"/>
    <w:rsid w:val="00360C1E"/>
    <w:rsid w:val="003619F1"/>
    <w:rsid w:val="00373838"/>
    <w:rsid w:val="0037534B"/>
    <w:rsid w:val="00375AC7"/>
    <w:rsid w:val="00376D4E"/>
    <w:rsid w:val="00377A73"/>
    <w:rsid w:val="003902B9"/>
    <w:rsid w:val="0039272A"/>
    <w:rsid w:val="00393B70"/>
    <w:rsid w:val="00396BCA"/>
    <w:rsid w:val="00397F1D"/>
    <w:rsid w:val="003A15A0"/>
    <w:rsid w:val="003A7120"/>
    <w:rsid w:val="003B0730"/>
    <w:rsid w:val="003B2F3D"/>
    <w:rsid w:val="003B7105"/>
    <w:rsid w:val="003C2C45"/>
    <w:rsid w:val="003C50C6"/>
    <w:rsid w:val="003D3ABE"/>
    <w:rsid w:val="003D5BB6"/>
    <w:rsid w:val="003E1F9E"/>
    <w:rsid w:val="003E7F11"/>
    <w:rsid w:val="003F4386"/>
    <w:rsid w:val="003F7CF8"/>
    <w:rsid w:val="004019B7"/>
    <w:rsid w:val="00411B73"/>
    <w:rsid w:val="00417F5C"/>
    <w:rsid w:val="00421453"/>
    <w:rsid w:val="0044224C"/>
    <w:rsid w:val="00453723"/>
    <w:rsid w:val="00453816"/>
    <w:rsid w:val="00461B0E"/>
    <w:rsid w:val="00464CBE"/>
    <w:rsid w:val="00466F5E"/>
    <w:rsid w:val="00467E2A"/>
    <w:rsid w:val="00476F72"/>
    <w:rsid w:val="00485FE1"/>
    <w:rsid w:val="004870C3"/>
    <w:rsid w:val="0049024F"/>
    <w:rsid w:val="004A0E28"/>
    <w:rsid w:val="004A6635"/>
    <w:rsid w:val="004B1644"/>
    <w:rsid w:val="004B2781"/>
    <w:rsid w:val="004B4147"/>
    <w:rsid w:val="004B6441"/>
    <w:rsid w:val="004B6B3A"/>
    <w:rsid w:val="004B7C6C"/>
    <w:rsid w:val="004C685A"/>
    <w:rsid w:val="004C7E74"/>
    <w:rsid w:val="004E1B3E"/>
    <w:rsid w:val="004E530D"/>
    <w:rsid w:val="004E74C0"/>
    <w:rsid w:val="004E77C4"/>
    <w:rsid w:val="004F0122"/>
    <w:rsid w:val="004F38E5"/>
    <w:rsid w:val="004F4484"/>
    <w:rsid w:val="00517F1A"/>
    <w:rsid w:val="00526EED"/>
    <w:rsid w:val="00532F84"/>
    <w:rsid w:val="0053695B"/>
    <w:rsid w:val="00536F9B"/>
    <w:rsid w:val="005378A2"/>
    <w:rsid w:val="00540CCF"/>
    <w:rsid w:val="00544C20"/>
    <w:rsid w:val="00554D66"/>
    <w:rsid w:val="0055764A"/>
    <w:rsid w:val="0056000B"/>
    <w:rsid w:val="005660E9"/>
    <w:rsid w:val="005718A9"/>
    <w:rsid w:val="005718C3"/>
    <w:rsid w:val="00586252"/>
    <w:rsid w:val="00586571"/>
    <w:rsid w:val="00591725"/>
    <w:rsid w:val="005921C3"/>
    <w:rsid w:val="005926DA"/>
    <w:rsid w:val="005B0103"/>
    <w:rsid w:val="005C2382"/>
    <w:rsid w:val="005C57D7"/>
    <w:rsid w:val="005D297F"/>
    <w:rsid w:val="005D378D"/>
    <w:rsid w:val="005D6D8C"/>
    <w:rsid w:val="005E1161"/>
    <w:rsid w:val="005E255B"/>
    <w:rsid w:val="005E4301"/>
    <w:rsid w:val="005E5BF6"/>
    <w:rsid w:val="005F1248"/>
    <w:rsid w:val="005F1993"/>
    <w:rsid w:val="005F2269"/>
    <w:rsid w:val="005F4D3F"/>
    <w:rsid w:val="005F6AC8"/>
    <w:rsid w:val="005F6CE2"/>
    <w:rsid w:val="00600FC4"/>
    <w:rsid w:val="006034D7"/>
    <w:rsid w:val="00605355"/>
    <w:rsid w:val="006074BB"/>
    <w:rsid w:val="006102F4"/>
    <w:rsid w:val="006149F2"/>
    <w:rsid w:val="00616FD0"/>
    <w:rsid w:val="006226C6"/>
    <w:rsid w:val="00627583"/>
    <w:rsid w:val="00627F7D"/>
    <w:rsid w:val="00630D64"/>
    <w:rsid w:val="00633D0E"/>
    <w:rsid w:val="006466D7"/>
    <w:rsid w:val="006560E0"/>
    <w:rsid w:val="006577E9"/>
    <w:rsid w:val="00657FA9"/>
    <w:rsid w:val="00663919"/>
    <w:rsid w:val="00665BE0"/>
    <w:rsid w:val="00667445"/>
    <w:rsid w:val="006717AA"/>
    <w:rsid w:val="00675439"/>
    <w:rsid w:val="00681138"/>
    <w:rsid w:val="00685C8D"/>
    <w:rsid w:val="00694239"/>
    <w:rsid w:val="006B1545"/>
    <w:rsid w:val="006B23FC"/>
    <w:rsid w:val="006B28BC"/>
    <w:rsid w:val="006B45D0"/>
    <w:rsid w:val="006C4FC7"/>
    <w:rsid w:val="006C7B72"/>
    <w:rsid w:val="006C7EC1"/>
    <w:rsid w:val="006D0F80"/>
    <w:rsid w:val="006D13CD"/>
    <w:rsid w:val="006E1247"/>
    <w:rsid w:val="006F0025"/>
    <w:rsid w:val="006F72AD"/>
    <w:rsid w:val="006F7F3E"/>
    <w:rsid w:val="00713909"/>
    <w:rsid w:val="00714E7B"/>
    <w:rsid w:val="007226AF"/>
    <w:rsid w:val="00723257"/>
    <w:rsid w:val="00726F77"/>
    <w:rsid w:val="0072721D"/>
    <w:rsid w:val="00736A9B"/>
    <w:rsid w:val="007414D8"/>
    <w:rsid w:val="00746901"/>
    <w:rsid w:val="007508F7"/>
    <w:rsid w:val="007626B8"/>
    <w:rsid w:val="0076294C"/>
    <w:rsid w:val="007638BF"/>
    <w:rsid w:val="00771007"/>
    <w:rsid w:val="0077265F"/>
    <w:rsid w:val="00773AE3"/>
    <w:rsid w:val="00776816"/>
    <w:rsid w:val="00785AC8"/>
    <w:rsid w:val="007908B7"/>
    <w:rsid w:val="007914DE"/>
    <w:rsid w:val="007956BD"/>
    <w:rsid w:val="0079630C"/>
    <w:rsid w:val="007A03A0"/>
    <w:rsid w:val="007B4885"/>
    <w:rsid w:val="007C13DC"/>
    <w:rsid w:val="007C675D"/>
    <w:rsid w:val="007C77AA"/>
    <w:rsid w:val="007C7C7C"/>
    <w:rsid w:val="007C7D72"/>
    <w:rsid w:val="007D5827"/>
    <w:rsid w:val="007E2565"/>
    <w:rsid w:val="007F34B4"/>
    <w:rsid w:val="007F634F"/>
    <w:rsid w:val="007F7068"/>
    <w:rsid w:val="00800A0A"/>
    <w:rsid w:val="0080349F"/>
    <w:rsid w:val="00803687"/>
    <w:rsid w:val="008052A3"/>
    <w:rsid w:val="0081001F"/>
    <w:rsid w:val="00817AD7"/>
    <w:rsid w:val="0082069A"/>
    <w:rsid w:val="00822C04"/>
    <w:rsid w:val="00827418"/>
    <w:rsid w:val="0083063B"/>
    <w:rsid w:val="00834780"/>
    <w:rsid w:val="008362F4"/>
    <w:rsid w:val="00840509"/>
    <w:rsid w:val="008477BE"/>
    <w:rsid w:val="008615C4"/>
    <w:rsid w:val="0086304F"/>
    <w:rsid w:val="008655CD"/>
    <w:rsid w:val="00866B99"/>
    <w:rsid w:val="008700C0"/>
    <w:rsid w:val="00884649"/>
    <w:rsid w:val="00897617"/>
    <w:rsid w:val="008A43F2"/>
    <w:rsid w:val="008A5DF8"/>
    <w:rsid w:val="008C4542"/>
    <w:rsid w:val="008C712B"/>
    <w:rsid w:val="008D0598"/>
    <w:rsid w:val="008D3E7A"/>
    <w:rsid w:val="008D5BAD"/>
    <w:rsid w:val="008E0604"/>
    <w:rsid w:val="008E2D74"/>
    <w:rsid w:val="008E3D24"/>
    <w:rsid w:val="008E4B3D"/>
    <w:rsid w:val="008F2B0B"/>
    <w:rsid w:val="00902D54"/>
    <w:rsid w:val="00914A8A"/>
    <w:rsid w:val="00923103"/>
    <w:rsid w:val="009312C4"/>
    <w:rsid w:val="0093597C"/>
    <w:rsid w:val="00941ACE"/>
    <w:rsid w:val="00951D03"/>
    <w:rsid w:val="00952D8A"/>
    <w:rsid w:val="009536DD"/>
    <w:rsid w:val="00956886"/>
    <w:rsid w:val="009629D1"/>
    <w:rsid w:val="00967C19"/>
    <w:rsid w:val="0097001D"/>
    <w:rsid w:val="009704FD"/>
    <w:rsid w:val="00976EE7"/>
    <w:rsid w:val="00987818"/>
    <w:rsid w:val="00997C14"/>
    <w:rsid w:val="009A3B41"/>
    <w:rsid w:val="009A4AD6"/>
    <w:rsid w:val="009A65A0"/>
    <w:rsid w:val="009C3F26"/>
    <w:rsid w:val="009C5101"/>
    <w:rsid w:val="009D2536"/>
    <w:rsid w:val="009D30FA"/>
    <w:rsid w:val="009D5052"/>
    <w:rsid w:val="009D6B8F"/>
    <w:rsid w:val="009E2006"/>
    <w:rsid w:val="009F0EFE"/>
    <w:rsid w:val="009F1035"/>
    <w:rsid w:val="009F2234"/>
    <w:rsid w:val="009F5809"/>
    <w:rsid w:val="00A05A38"/>
    <w:rsid w:val="00A12F7D"/>
    <w:rsid w:val="00A21DC4"/>
    <w:rsid w:val="00A34FC3"/>
    <w:rsid w:val="00A36D84"/>
    <w:rsid w:val="00A403E9"/>
    <w:rsid w:val="00A44B63"/>
    <w:rsid w:val="00A44CEB"/>
    <w:rsid w:val="00A46212"/>
    <w:rsid w:val="00A50245"/>
    <w:rsid w:val="00A51D54"/>
    <w:rsid w:val="00A549AB"/>
    <w:rsid w:val="00A55E0C"/>
    <w:rsid w:val="00A56BB2"/>
    <w:rsid w:val="00A6352B"/>
    <w:rsid w:val="00A67099"/>
    <w:rsid w:val="00A671B6"/>
    <w:rsid w:val="00A76DDD"/>
    <w:rsid w:val="00A84C0E"/>
    <w:rsid w:val="00A94DC8"/>
    <w:rsid w:val="00A953DD"/>
    <w:rsid w:val="00A9585D"/>
    <w:rsid w:val="00AA3E90"/>
    <w:rsid w:val="00AA6A57"/>
    <w:rsid w:val="00AB0F84"/>
    <w:rsid w:val="00AB2DCF"/>
    <w:rsid w:val="00AB5E46"/>
    <w:rsid w:val="00AB7412"/>
    <w:rsid w:val="00AC0F82"/>
    <w:rsid w:val="00AC60D1"/>
    <w:rsid w:val="00AD2459"/>
    <w:rsid w:val="00AD32EA"/>
    <w:rsid w:val="00AD5E20"/>
    <w:rsid w:val="00AE1425"/>
    <w:rsid w:val="00AE2B47"/>
    <w:rsid w:val="00AE33B8"/>
    <w:rsid w:val="00AE38EE"/>
    <w:rsid w:val="00AE7C27"/>
    <w:rsid w:val="00AF0B9D"/>
    <w:rsid w:val="00B06E74"/>
    <w:rsid w:val="00B11B6F"/>
    <w:rsid w:val="00B14799"/>
    <w:rsid w:val="00B15106"/>
    <w:rsid w:val="00B15861"/>
    <w:rsid w:val="00B2325B"/>
    <w:rsid w:val="00B24F06"/>
    <w:rsid w:val="00B26A45"/>
    <w:rsid w:val="00B305F9"/>
    <w:rsid w:val="00B347E4"/>
    <w:rsid w:val="00B448AB"/>
    <w:rsid w:val="00B51719"/>
    <w:rsid w:val="00B55177"/>
    <w:rsid w:val="00B554D2"/>
    <w:rsid w:val="00B55BBA"/>
    <w:rsid w:val="00B57B5E"/>
    <w:rsid w:val="00B6090B"/>
    <w:rsid w:val="00B66B60"/>
    <w:rsid w:val="00B76B82"/>
    <w:rsid w:val="00B803FC"/>
    <w:rsid w:val="00B80971"/>
    <w:rsid w:val="00B826C0"/>
    <w:rsid w:val="00B90848"/>
    <w:rsid w:val="00B954EF"/>
    <w:rsid w:val="00BA321D"/>
    <w:rsid w:val="00BA3246"/>
    <w:rsid w:val="00BA3E33"/>
    <w:rsid w:val="00BA6FBA"/>
    <w:rsid w:val="00BB01DD"/>
    <w:rsid w:val="00BB04D8"/>
    <w:rsid w:val="00BB0925"/>
    <w:rsid w:val="00BB261E"/>
    <w:rsid w:val="00BC004D"/>
    <w:rsid w:val="00BC1E4F"/>
    <w:rsid w:val="00BC5BB5"/>
    <w:rsid w:val="00BC64AB"/>
    <w:rsid w:val="00BD15CB"/>
    <w:rsid w:val="00BD2EC1"/>
    <w:rsid w:val="00BD3EE9"/>
    <w:rsid w:val="00BE0984"/>
    <w:rsid w:val="00BE0BDC"/>
    <w:rsid w:val="00BE398F"/>
    <w:rsid w:val="00BE6216"/>
    <w:rsid w:val="00BE6BFF"/>
    <w:rsid w:val="00BE7C66"/>
    <w:rsid w:val="00BF434C"/>
    <w:rsid w:val="00BF49EF"/>
    <w:rsid w:val="00C07F42"/>
    <w:rsid w:val="00C12536"/>
    <w:rsid w:val="00C24151"/>
    <w:rsid w:val="00C30F3D"/>
    <w:rsid w:val="00C449AC"/>
    <w:rsid w:val="00C53B62"/>
    <w:rsid w:val="00C5571B"/>
    <w:rsid w:val="00C60F20"/>
    <w:rsid w:val="00C63A49"/>
    <w:rsid w:val="00C70F5A"/>
    <w:rsid w:val="00C849B8"/>
    <w:rsid w:val="00C87D79"/>
    <w:rsid w:val="00C90E9A"/>
    <w:rsid w:val="00C91322"/>
    <w:rsid w:val="00C91641"/>
    <w:rsid w:val="00CB08F7"/>
    <w:rsid w:val="00CB2087"/>
    <w:rsid w:val="00CB2A7B"/>
    <w:rsid w:val="00CB7F8B"/>
    <w:rsid w:val="00CD258B"/>
    <w:rsid w:val="00CD3AB1"/>
    <w:rsid w:val="00CD4988"/>
    <w:rsid w:val="00CD5422"/>
    <w:rsid w:val="00CD622F"/>
    <w:rsid w:val="00CE15AE"/>
    <w:rsid w:val="00CE712E"/>
    <w:rsid w:val="00CF44F7"/>
    <w:rsid w:val="00CF4A65"/>
    <w:rsid w:val="00D00064"/>
    <w:rsid w:val="00D0013D"/>
    <w:rsid w:val="00D00F60"/>
    <w:rsid w:val="00D01B46"/>
    <w:rsid w:val="00D0224C"/>
    <w:rsid w:val="00D06F47"/>
    <w:rsid w:val="00D12D97"/>
    <w:rsid w:val="00D20571"/>
    <w:rsid w:val="00D23F45"/>
    <w:rsid w:val="00D31672"/>
    <w:rsid w:val="00D34186"/>
    <w:rsid w:val="00D448E1"/>
    <w:rsid w:val="00D44E36"/>
    <w:rsid w:val="00D4574C"/>
    <w:rsid w:val="00D60973"/>
    <w:rsid w:val="00D636DB"/>
    <w:rsid w:val="00D63AD2"/>
    <w:rsid w:val="00D76D80"/>
    <w:rsid w:val="00D80B8E"/>
    <w:rsid w:val="00D80E1E"/>
    <w:rsid w:val="00D8475B"/>
    <w:rsid w:val="00D975E7"/>
    <w:rsid w:val="00D97ECB"/>
    <w:rsid w:val="00DA17C7"/>
    <w:rsid w:val="00DA1860"/>
    <w:rsid w:val="00DA5084"/>
    <w:rsid w:val="00DA6314"/>
    <w:rsid w:val="00DA739B"/>
    <w:rsid w:val="00DB00D9"/>
    <w:rsid w:val="00DB1126"/>
    <w:rsid w:val="00DB42E7"/>
    <w:rsid w:val="00DB46C3"/>
    <w:rsid w:val="00DB50A2"/>
    <w:rsid w:val="00DB553D"/>
    <w:rsid w:val="00DC50F5"/>
    <w:rsid w:val="00DD04FD"/>
    <w:rsid w:val="00DD0F1B"/>
    <w:rsid w:val="00DD1020"/>
    <w:rsid w:val="00DD1F73"/>
    <w:rsid w:val="00DD69C1"/>
    <w:rsid w:val="00DE2727"/>
    <w:rsid w:val="00DE428B"/>
    <w:rsid w:val="00DF24C0"/>
    <w:rsid w:val="00DF3CFC"/>
    <w:rsid w:val="00DF5D23"/>
    <w:rsid w:val="00E00E23"/>
    <w:rsid w:val="00E023A7"/>
    <w:rsid w:val="00E03088"/>
    <w:rsid w:val="00E03321"/>
    <w:rsid w:val="00E03522"/>
    <w:rsid w:val="00E0400B"/>
    <w:rsid w:val="00E10762"/>
    <w:rsid w:val="00E33680"/>
    <w:rsid w:val="00E377FE"/>
    <w:rsid w:val="00E429E7"/>
    <w:rsid w:val="00E4366B"/>
    <w:rsid w:val="00E43CCB"/>
    <w:rsid w:val="00E44F0B"/>
    <w:rsid w:val="00E457E7"/>
    <w:rsid w:val="00E46F87"/>
    <w:rsid w:val="00E50650"/>
    <w:rsid w:val="00E53468"/>
    <w:rsid w:val="00E76581"/>
    <w:rsid w:val="00E773C4"/>
    <w:rsid w:val="00E830A5"/>
    <w:rsid w:val="00E83CD0"/>
    <w:rsid w:val="00E85FF7"/>
    <w:rsid w:val="00EB2B80"/>
    <w:rsid w:val="00EB4518"/>
    <w:rsid w:val="00EB54CD"/>
    <w:rsid w:val="00EB6293"/>
    <w:rsid w:val="00EB6674"/>
    <w:rsid w:val="00EB7532"/>
    <w:rsid w:val="00EC2658"/>
    <w:rsid w:val="00EC5A7D"/>
    <w:rsid w:val="00EC6C15"/>
    <w:rsid w:val="00EF1C04"/>
    <w:rsid w:val="00EF7919"/>
    <w:rsid w:val="00F04017"/>
    <w:rsid w:val="00F0429B"/>
    <w:rsid w:val="00F06079"/>
    <w:rsid w:val="00F1742E"/>
    <w:rsid w:val="00F208D8"/>
    <w:rsid w:val="00F440C1"/>
    <w:rsid w:val="00F47EE2"/>
    <w:rsid w:val="00F51BB5"/>
    <w:rsid w:val="00F51DF1"/>
    <w:rsid w:val="00F535E7"/>
    <w:rsid w:val="00F55CEF"/>
    <w:rsid w:val="00F562CC"/>
    <w:rsid w:val="00F57124"/>
    <w:rsid w:val="00F5773D"/>
    <w:rsid w:val="00F617E4"/>
    <w:rsid w:val="00F65565"/>
    <w:rsid w:val="00F65964"/>
    <w:rsid w:val="00F67274"/>
    <w:rsid w:val="00F7135C"/>
    <w:rsid w:val="00F80D9C"/>
    <w:rsid w:val="00F83367"/>
    <w:rsid w:val="00F877B8"/>
    <w:rsid w:val="00F909F2"/>
    <w:rsid w:val="00F949F2"/>
    <w:rsid w:val="00F94C53"/>
    <w:rsid w:val="00FA0739"/>
    <w:rsid w:val="00FA1426"/>
    <w:rsid w:val="00FA31E7"/>
    <w:rsid w:val="00FA4C44"/>
    <w:rsid w:val="00FA4FD2"/>
    <w:rsid w:val="00FA5593"/>
    <w:rsid w:val="00FB0360"/>
    <w:rsid w:val="00FB6812"/>
    <w:rsid w:val="00FC0388"/>
    <w:rsid w:val="00FD0F26"/>
    <w:rsid w:val="00FD1E78"/>
    <w:rsid w:val="00FD20BF"/>
    <w:rsid w:val="00FF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DC5F5"/>
  <w14:defaultImageDpi w14:val="300"/>
  <w15:chartTrackingRefBased/>
  <w15:docId w15:val="{2B044F46-8DF9-4B85-BBC6-7F15E4E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F87"/>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1">
    <w:name w:val="Medium Grid 21"/>
    <w:basedOn w:val="Normal"/>
    <w:uiPriority w:val="1"/>
    <w:qFormat/>
    <w:rsid w:val="00A6352B"/>
    <w:pPr>
      <w:ind w:left="0"/>
    </w:pPr>
    <w:rPr>
      <w:lang w:val="x-none" w:eastAsia="x-none"/>
    </w:rPr>
  </w:style>
  <w:style w:type="paragraph" w:customStyle="1" w:styleId="MediumGrid1-Accent22">
    <w:name w:val="Medium Grid 1 - Accent 22"/>
    <w:basedOn w:val="Normal"/>
    <w:uiPriority w:val="34"/>
    <w:qFormat/>
    <w:rsid w:val="00A6352B"/>
    <w:pPr>
      <w:ind w:left="0"/>
      <w:contextualSpacing/>
    </w:pPr>
    <w:rPr>
      <w:szCs w:val="20"/>
    </w:rPr>
  </w:style>
  <w:style w:type="paragraph" w:styleId="ListParagraph">
    <w:name w:val="List Paragraph"/>
    <w:basedOn w:val="Normal"/>
    <w:uiPriority w:val="34"/>
    <w:qFormat/>
    <w:rsid w:val="0010781F"/>
    <w:pPr>
      <w:ind w:left="720"/>
    </w:pPr>
    <w:rPr>
      <w:rFonts w:ascii="Calibri" w:hAnsi="Calibri"/>
      <w:sz w:val="22"/>
      <w:lang w:bidi="ar-SA"/>
    </w:rPr>
  </w:style>
  <w:style w:type="paragraph" w:styleId="NormalWeb">
    <w:name w:val="Normal (Web)"/>
    <w:basedOn w:val="Normal"/>
    <w:uiPriority w:val="99"/>
    <w:unhideWhenUsed/>
    <w:rsid w:val="0082069A"/>
    <w:pPr>
      <w:spacing w:before="100" w:beforeAutospacing="1" w:after="100" w:afterAutospacing="1"/>
      <w:ind w:left="0"/>
    </w:pPr>
    <w:rPr>
      <w:rFonts w:ascii="Times New Roman" w:eastAsia="Times New Roman" w:hAnsi="Times New Roman"/>
      <w:sz w:val="24"/>
      <w:szCs w:val="24"/>
      <w:lang w:bidi="ar-SA"/>
    </w:rPr>
  </w:style>
  <w:style w:type="paragraph" w:styleId="PlainText">
    <w:name w:val="Plain Text"/>
    <w:basedOn w:val="Normal"/>
    <w:link w:val="PlainTextChar"/>
    <w:uiPriority w:val="99"/>
    <w:unhideWhenUsed/>
    <w:rsid w:val="000663CB"/>
    <w:pPr>
      <w:ind w:left="0"/>
    </w:pPr>
    <w:rPr>
      <w:rFonts w:ascii="Calibri" w:hAnsi="Calibri"/>
      <w:sz w:val="22"/>
      <w:lang w:bidi="ar-SA"/>
    </w:rPr>
  </w:style>
  <w:style w:type="character" w:customStyle="1" w:styleId="PlainTextChar">
    <w:name w:val="Plain Text Char"/>
    <w:link w:val="PlainText"/>
    <w:uiPriority w:val="99"/>
    <w:rsid w:val="000663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3302626">
      <w:bodyDiv w:val="1"/>
      <w:marLeft w:val="0"/>
      <w:marRight w:val="0"/>
      <w:marTop w:val="0"/>
      <w:marBottom w:val="0"/>
      <w:divBdr>
        <w:top w:val="none" w:sz="0" w:space="0" w:color="auto"/>
        <w:left w:val="none" w:sz="0" w:space="0" w:color="auto"/>
        <w:bottom w:val="none" w:sz="0" w:space="0" w:color="auto"/>
        <w:right w:val="none" w:sz="0" w:space="0" w:color="auto"/>
      </w:divBdr>
    </w:div>
    <w:div w:id="137959024">
      <w:bodyDiv w:val="1"/>
      <w:marLeft w:val="0"/>
      <w:marRight w:val="0"/>
      <w:marTop w:val="0"/>
      <w:marBottom w:val="0"/>
      <w:divBdr>
        <w:top w:val="none" w:sz="0" w:space="0" w:color="auto"/>
        <w:left w:val="none" w:sz="0" w:space="0" w:color="auto"/>
        <w:bottom w:val="none" w:sz="0" w:space="0" w:color="auto"/>
        <w:right w:val="none" w:sz="0" w:space="0" w:color="auto"/>
      </w:divBdr>
    </w:div>
    <w:div w:id="354042484">
      <w:bodyDiv w:val="1"/>
      <w:marLeft w:val="0"/>
      <w:marRight w:val="0"/>
      <w:marTop w:val="0"/>
      <w:marBottom w:val="0"/>
      <w:divBdr>
        <w:top w:val="none" w:sz="0" w:space="0" w:color="auto"/>
        <w:left w:val="none" w:sz="0" w:space="0" w:color="auto"/>
        <w:bottom w:val="none" w:sz="0" w:space="0" w:color="auto"/>
        <w:right w:val="none" w:sz="0" w:space="0" w:color="auto"/>
      </w:divBdr>
    </w:div>
    <w:div w:id="366030277">
      <w:bodyDiv w:val="1"/>
      <w:marLeft w:val="0"/>
      <w:marRight w:val="0"/>
      <w:marTop w:val="0"/>
      <w:marBottom w:val="0"/>
      <w:divBdr>
        <w:top w:val="none" w:sz="0" w:space="0" w:color="auto"/>
        <w:left w:val="none" w:sz="0" w:space="0" w:color="auto"/>
        <w:bottom w:val="none" w:sz="0" w:space="0" w:color="auto"/>
        <w:right w:val="none" w:sz="0" w:space="0" w:color="auto"/>
      </w:divBdr>
    </w:div>
    <w:div w:id="393284577">
      <w:bodyDiv w:val="1"/>
      <w:marLeft w:val="0"/>
      <w:marRight w:val="0"/>
      <w:marTop w:val="0"/>
      <w:marBottom w:val="0"/>
      <w:divBdr>
        <w:top w:val="none" w:sz="0" w:space="0" w:color="auto"/>
        <w:left w:val="none" w:sz="0" w:space="0" w:color="auto"/>
        <w:bottom w:val="none" w:sz="0" w:space="0" w:color="auto"/>
        <w:right w:val="none" w:sz="0" w:space="0" w:color="auto"/>
      </w:divBdr>
    </w:div>
    <w:div w:id="610209470">
      <w:bodyDiv w:val="1"/>
      <w:marLeft w:val="0"/>
      <w:marRight w:val="0"/>
      <w:marTop w:val="0"/>
      <w:marBottom w:val="0"/>
      <w:divBdr>
        <w:top w:val="none" w:sz="0" w:space="0" w:color="auto"/>
        <w:left w:val="none" w:sz="0" w:space="0" w:color="auto"/>
        <w:bottom w:val="none" w:sz="0" w:space="0" w:color="auto"/>
        <w:right w:val="none" w:sz="0" w:space="0" w:color="auto"/>
      </w:divBdr>
    </w:div>
    <w:div w:id="627395642">
      <w:bodyDiv w:val="1"/>
      <w:marLeft w:val="0"/>
      <w:marRight w:val="0"/>
      <w:marTop w:val="0"/>
      <w:marBottom w:val="0"/>
      <w:divBdr>
        <w:top w:val="none" w:sz="0" w:space="0" w:color="auto"/>
        <w:left w:val="none" w:sz="0" w:space="0" w:color="auto"/>
        <w:bottom w:val="none" w:sz="0" w:space="0" w:color="auto"/>
        <w:right w:val="none" w:sz="0" w:space="0" w:color="auto"/>
      </w:divBdr>
    </w:div>
    <w:div w:id="641274789">
      <w:bodyDiv w:val="1"/>
      <w:marLeft w:val="0"/>
      <w:marRight w:val="0"/>
      <w:marTop w:val="0"/>
      <w:marBottom w:val="0"/>
      <w:divBdr>
        <w:top w:val="none" w:sz="0" w:space="0" w:color="auto"/>
        <w:left w:val="none" w:sz="0" w:space="0" w:color="auto"/>
        <w:bottom w:val="none" w:sz="0" w:space="0" w:color="auto"/>
        <w:right w:val="none" w:sz="0" w:space="0" w:color="auto"/>
      </w:divBdr>
    </w:div>
    <w:div w:id="665789839">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883836423">
      <w:bodyDiv w:val="1"/>
      <w:marLeft w:val="0"/>
      <w:marRight w:val="0"/>
      <w:marTop w:val="0"/>
      <w:marBottom w:val="0"/>
      <w:divBdr>
        <w:top w:val="none" w:sz="0" w:space="0" w:color="auto"/>
        <w:left w:val="none" w:sz="0" w:space="0" w:color="auto"/>
        <w:bottom w:val="none" w:sz="0" w:space="0" w:color="auto"/>
        <w:right w:val="none" w:sz="0" w:space="0" w:color="auto"/>
      </w:divBdr>
    </w:div>
    <w:div w:id="1119759630">
      <w:bodyDiv w:val="1"/>
      <w:marLeft w:val="0"/>
      <w:marRight w:val="0"/>
      <w:marTop w:val="0"/>
      <w:marBottom w:val="0"/>
      <w:divBdr>
        <w:top w:val="none" w:sz="0" w:space="0" w:color="auto"/>
        <w:left w:val="none" w:sz="0" w:space="0" w:color="auto"/>
        <w:bottom w:val="none" w:sz="0" w:space="0" w:color="auto"/>
        <w:right w:val="none" w:sz="0" w:space="0" w:color="auto"/>
      </w:divBdr>
    </w:div>
    <w:div w:id="1205412951">
      <w:bodyDiv w:val="1"/>
      <w:marLeft w:val="0"/>
      <w:marRight w:val="0"/>
      <w:marTop w:val="0"/>
      <w:marBottom w:val="0"/>
      <w:divBdr>
        <w:top w:val="none" w:sz="0" w:space="0" w:color="auto"/>
        <w:left w:val="none" w:sz="0" w:space="0" w:color="auto"/>
        <w:bottom w:val="none" w:sz="0" w:space="0" w:color="auto"/>
        <w:right w:val="none" w:sz="0" w:space="0" w:color="auto"/>
      </w:divBdr>
    </w:div>
    <w:div w:id="1309676462">
      <w:bodyDiv w:val="1"/>
      <w:marLeft w:val="0"/>
      <w:marRight w:val="0"/>
      <w:marTop w:val="0"/>
      <w:marBottom w:val="0"/>
      <w:divBdr>
        <w:top w:val="none" w:sz="0" w:space="0" w:color="auto"/>
        <w:left w:val="none" w:sz="0" w:space="0" w:color="auto"/>
        <w:bottom w:val="none" w:sz="0" w:space="0" w:color="auto"/>
        <w:right w:val="none" w:sz="0" w:space="0" w:color="auto"/>
      </w:divBdr>
    </w:div>
    <w:div w:id="1342121686">
      <w:bodyDiv w:val="1"/>
      <w:marLeft w:val="0"/>
      <w:marRight w:val="0"/>
      <w:marTop w:val="0"/>
      <w:marBottom w:val="0"/>
      <w:divBdr>
        <w:top w:val="none" w:sz="0" w:space="0" w:color="auto"/>
        <w:left w:val="none" w:sz="0" w:space="0" w:color="auto"/>
        <w:bottom w:val="none" w:sz="0" w:space="0" w:color="auto"/>
        <w:right w:val="none" w:sz="0" w:space="0" w:color="auto"/>
      </w:divBdr>
    </w:div>
    <w:div w:id="1348022903">
      <w:bodyDiv w:val="1"/>
      <w:marLeft w:val="0"/>
      <w:marRight w:val="0"/>
      <w:marTop w:val="0"/>
      <w:marBottom w:val="0"/>
      <w:divBdr>
        <w:top w:val="none" w:sz="0" w:space="0" w:color="auto"/>
        <w:left w:val="none" w:sz="0" w:space="0" w:color="auto"/>
        <w:bottom w:val="none" w:sz="0" w:space="0" w:color="auto"/>
        <w:right w:val="none" w:sz="0" w:space="0" w:color="auto"/>
      </w:divBdr>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47701154">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1998722864">
      <w:bodyDiv w:val="1"/>
      <w:marLeft w:val="0"/>
      <w:marRight w:val="0"/>
      <w:marTop w:val="0"/>
      <w:marBottom w:val="0"/>
      <w:divBdr>
        <w:top w:val="none" w:sz="0" w:space="0" w:color="auto"/>
        <w:left w:val="none" w:sz="0" w:space="0" w:color="auto"/>
        <w:bottom w:val="none" w:sz="0" w:space="0" w:color="auto"/>
        <w:right w:val="none" w:sz="0" w:space="0" w:color="auto"/>
      </w:divBdr>
    </w:div>
    <w:div w:id="20111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43C2E-C444-FA4C-841C-87E8CBB7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1658</Words>
  <Characters>9454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11090</CharactersWithSpaces>
  <SharedDoc>false</SharedDoc>
  <HLinks>
    <vt:vector size="12" baseType="variant">
      <vt:variant>
        <vt:i4>5832719</vt:i4>
      </vt:variant>
      <vt:variant>
        <vt:i4>3</vt:i4>
      </vt:variant>
      <vt:variant>
        <vt:i4>0</vt:i4>
      </vt:variant>
      <vt:variant>
        <vt:i4>5</vt:i4>
      </vt:variant>
      <vt:variant>
        <vt:lpwstr>http://www.cms.gov/CCIIO/Resources/Regulations-and-Guidance/Downloads/transition-to-compliant-policies-03-06-2015.pdf</vt:lpwstr>
      </vt:variant>
      <vt:variant>
        <vt:lpwstr/>
      </vt:variant>
      <vt:variant>
        <vt:i4>8192111</vt:i4>
      </vt:variant>
      <vt:variant>
        <vt:i4>0</vt:i4>
      </vt:variant>
      <vt:variant>
        <vt:i4>0</vt:i4>
      </vt:variant>
      <vt:variant>
        <vt:i4>5</vt:i4>
      </vt:variant>
      <vt:variant>
        <vt:lpwstr>http://www.cms.gov/CCIIO/Resources/Fact-Sheets-and-FAQs/Downloads/Final-Master-FAQs-5-16-14.pdf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5</cp:revision>
  <cp:lastPrinted>2014-10-13T14:26:00Z</cp:lastPrinted>
  <dcterms:created xsi:type="dcterms:W3CDTF">2015-12-29T15:35:00Z</dcterms:created>
  <dcterms:modified xsi:type="dcterms:W3CDTF">2015-12-29T16:39:00Z</dcterms:modified>
</cp:coreProperties>
</file>