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C31F" w14:textId="77777777" w:rsidR="006C7EC1" w:rsidRPr="00605355" w:rsidRDefault="005158FE" w:rsidP="006C7EC1">
      <w:pPr>
        <w:jc w:val="center"/>
        <w:rPr>
          <w:b/>
          <w:szCs w:val="20"/>
        </w:rPr>
      </w:pPr>
      <w:r>
        <w:rPr>
          <w:b/>
          <w:noProof/>
          <w:szCs w:val="20"/>
          <w:lang w:bidi="ar-SA"/>
        </w:rPr>
        <mc:AlternateContent>
          <mc:Choice Requires="wps">
            <w:drawing>
              <wp:anchor distT="0" distB="0" distL="114300" distR="114300" simplePos="0" relativeHeight="251658240" behindDoc="0" locked="0" layoutInCell="1" allowOverlap="1" wp14:anchorId="3E250284" wp14:editId="2CDE44F1">
                <wp:simplePos x="0" y="0"/>
                <wp:positionH relativeFrom="column">
                  <wp:posOffset>2132965</wp:posOffset>
                </wp:positionH>
                <wp:positionV relativeFrom="paragraph">
                  <wp:posOffset>-604520</wp:posOffset>
                </wp:positionV>
                <wp:extent cx="4724400" cy="6051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EED966D" w14:textId="77777777" w:rsidR="00B442A5" w:rsidRPr="000B4DEA" w:rsidRDefault="00B442A5" w:rsidP="00746405">
                            <w:pPr>
                              <w:jc w:val="center"/>
                              <w:rPr>
                                <w:color w:val="FFFFFF"/>
                                <w:spacing w:val="40"/>
                                <w:sz w:val="44"/>
                                <w:szCs w:val="44"/>
                              </w:rPr>
                            </w:pPr>
                            <w:r>
                              <w:rPr>
                                <w:color w:val="FFFFFF"/>
                                <w:spacing w:val="40"/>
                                <w:sz w:val="44"/>
                                <w:szCs w:val="44"/>
                              </w:rPr>
                              <w:t>Compliance Alert</w:t>
                            </w:r>
                          </w:p>
                          <w:p w14:paraId="4BB07F95" w14:textId="77777777" w:rsidR="00B442A5" w:rsidRPr="00D636DB" w:rsidRDefault="00B442A5" w:rsidP="00746405">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167.95pt;margin-top:-47.6pt;width:372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mLRQIAAEc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" filled="f" stroked="f">
                <v:textbox>
                  <w:txbxContent>
                    <w:p w:rsidR="00B442A5" w:rsidRPr="000B4DEA" w:rsidRDefault="00B442A5" w:rsidP="00746405">
                      <w:pPr>
                        <w:jc w:val="center"/>
                        <w:rPr>
                          <w:color w:val="FFFFFF"/>
                          <w:spacing w:val="40"/>
                          <w:sz w:val="44"/>
                          <w:szCs w:val="44"/>
                        </w:rPr>
                      </w:pPr>
                      <w:r>
                        <w:rPr>
                          <w:color w:val="FFFFFF"/>
                          <w:spacing w:val="40"/>
                          <w:sz w:val="44"/>
                          <w:szCs w:val="44"/>
                        </w:rPr>
                        <w:t>Compliance Alert</w:t>
                      </w:r>
                    </w:p>
                    <w:p w:rsidR="00B442A5" w:rsidRPr="00D636DB" w:rsidRDefault="00B442A5" w:rsidP="00746405">
                      <w:pPr>
                        <w:jc w:val="center"/>
                        <w:rPr>
                          <w:color w:val="BFBFBF"/>
                          <w:sz w:val="72"/>
                          <w:szCs w:val="72"/>
                        </w:rPr>
                      </w:pPr>
                    </w:p>
                  </w:txbxContent>
                </v:textbox>
              </v:shape>
            </w:pict>
          </mc:Fallback>
        </mc:AlternateContent>
      </w:r>
      <w:r>
        <w:rPr>
          <w:b/>
          <w:noProof/>
          <w:szCs w:val="20"/>
          <w:lang w:bidi="ar-SA"/>
        </w:rPr>
        <w:drawing>
          <wp:anchor distT="0" distB="0" distL="114300" distR="114300" simplePos="0" relativeHeight="251659264" behindDoc="1" locked="0" layoutInCell="1" allowOverlap="1" wp14:anchorId="660793DC" wp14:editId="4BC0559C">
            <wp:simplePos x="0" y="0"/>
            <wp:positionH relativeFrom="column">
              <wp:posOffset>-914400</wp:posOffset>
            </wp:positionH>
            <wp:positionV relativeFrom="paragraph">
              <wp:posOffset>-802005</wp:posOffset>
            </wp:positionV>
            <wp:extent cx="7823200" cy="802640"/>
            <wp:effectExtent l="0" t="0" r="0" b="10160"/>
            <wp:wrapNone/>
            <wp:docPr id="11" name="Picture 11"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D65D5" w14:textId="77777777" w:rsidR="001824D9" w:rsidRPr="00605355" w:rsidRDefault="001824D9" w:rsidP="00DD1020">
      <w:pPr>
        <w:rPr>
          <w:b/>
          <w:szCs w:val="20"/>
        </w:rPr>
      </w:pPr>
    </w:p>
    <w:p w14:paraId="3BA89A09" w14:textId="77777777" w:rsidR="00BA6FBA" w:rsidRDefault="00BA6FBA" w:rsidP="00BA6FBA">
      <w:pPr>
        <w:ind w:left="90"/>
        <w:rPr>
          <w:rFonts w:cs="Arial"/>
          <w:b/>
          <w:sz w:val="24"/>
          <w:szCs w:val="24"/>
        </w:rPr>
      </w:pPr>
    </w:p>
    <w:p w14:paraId="4E2A1646" w14:textId="77777777" w:rsidR="00A6352B" w:rsidRDefault="00BF3B24" w:rsidP="00A6352B">
      <w:pPr>
        <w:ind w:left="0"/>
        <w:rPr>
          <w:b/>
          <w:sz w:val="28"/>
          <w:szCs w:val="28"/>
        </w:rPr>
      </w:pPr>
      <w:r>
        <w:rPr>
          <w:b/>
          <w:sz w:val="28"/>
          <w:szCs w:val="28"/>
        </w:rPr>
        <w:t>Form 1095 – Employee Communications</w:t>
      </w:r>
    </w:p>
    <w:p w14:paraId="3FA54E73" w14:textId="77777777" w:rsidR="00A6352B" w:rsidRPr="00B305F9" w:rsidRDefault="00A6352B" w:rsidP="00A6352B">
      <w:pPr>
        <w:ind w:left="0"/>
        <w:rPr>
          <w:rFonts w:ascii="Calibri" w:hAnsi="Calibri"/>
          <w:b/>
          <w:sz w:val="22"/>
        </w:rPr>
      </w:pPr>
    </w:p>
    <w:p w14:paraId="43BF7582" w14:textId="77777777" w:rsidR="00A6352B" w:rsidRPr="00300331" w:rsidRDefault="00A6352B" w:rsidP="00A6352B">
      <w:pPr>
        <w:ind w:left="0"/>
        <w:rPr>
          <w:rFonts w:cs="Arial"/>
          <w:b/>
          <w:szCs w:val="20"/>
        </w:rPr>
      </w:pPr>
      <w:r w:rsidRPr="00300331">
        <w:rPr>
          <w:rFonts w:cs="Arial"/>
          <w:b/>
          <w:szCs w:val="20"/>
        </w:rPr>
        <w:t xml:space="preserve">Issue Date: </w:t>
      </w:r>
      <w:r w:rsidR="00340789">
        <w:rPr>
          <w:rFonts w:cs="Arial"/>
          <w:b/>
          <w:szCs w:val="20"/>
        </w:rPr>
        <w:t>January 2016</w:t>
      </w:r>
    </w:p>
    <w:p w14:paraId="230BCD00" w14:textId="77777777" w:rsidR="00E03522" w:rsidRPr="00300331" w:rsidRDefault="00E03522" w:rsidP="00A6352B">
      <w:pPr>
        <w:ind w:left="0"/>
        <w:rPr>
          <w:rFonts w:cs="Arial"/>
          <w:color w:val="000000"/>
          <w:szCs w:val="20"/>
        </w:rPr>
      </w:pPr>
    </w:p>
    <w:p w14:paraId="16C44B80" w14:textId="3D133591" w:rsidR="00F65964" w:rsidRPr="00300331" w:rsidRDefault="00BF3B24" w:rsidP="00F65964">
      <w:pPr>
        <w:ind w:left="0"/>
        <w:rPr>
          <w:rFonts w:cs="Arial"/>
          <w:color w:val="000000"/>
          <w:szCs w:val="20"/>
          <w:lang w:bidi="ar-SA"/>
        </w:rPr>
      </w:pPr>
      <w:r>
        <w:rPr>
          <w:rFonts w:cs="Arial"/>
          <w:color w:val="333333"/>
          <w:szCs w:val="20"/>
          <w:shd w:val="clear" w:color="auto" w:fill="FFFFFF"/>
        </w:rPr>
        <w:t xml:space="preserve">Many employers </w:t>
      </w:r>
      <w:r w:rsidR="00A66335">
        <w:rPr>
          <w:rFonts w:cs="Arial"/>
          <w:color w:val="333333"/>
          <w:szCs w:val="20"/>
          <w:shd w:val="clear" w:color="auto" w:fill="FFFFFF"/>
        </w:rPr>
        <w:t>want</w:t>
      </w:r>
      <w:r>
        <w:rPr>
          <w:rFonts w:cs="Arial"/>
          <w:color w:val="333333"/>
          <w:szCs w:val="20"/>
          <w:shd w:val="clear" w:color="auto" w:fill="FFFFFF"/>
        </w:rPr>
        <w:t xml:space="preserve"> to provide some type of communication along with</w:t>
      </w:r>
      <w:r w:rsidR="00183F00">
        <w:rPr>
          <w:rFonts w:cs="Arial"/>
          <w:color w:val="333333"/>
          <w:szCs w:val="20"/>
          <w:shd w:val="clear" w:color="auto" w:fill="FFFFFF"/>
        </w:rPr>
        <w:t>,</w:t>
      </w:r>
      <w:r>
        <w:rPr>
          <w:rFonts w:cs="Arial"/>
          <w:color w:val="333333"/>
          <w:szCs w:val="20"/>
          <w:shd w:val="clear" w:color="auto" w:fill="FFFFFF"/>
        </w:rPr>
        <w:t xml:space="preserve"> or </w:t>
      </w:r>
      <w:r w:rsidR="00A66335">
        <w:rPr>
          <w:rFonts w:cs="Arial"/>
          <w:color w:val="333333"/>
          <w:szCs w:val="20"/>
          <w:shd w:val="clear" w:color="auto" w:fill="FFFFFF"/>
        </w:rPr>
        <w:t>before</w:t>
      </w:r>
      <w:r w:rsidR="00183F00">
        <w:rPr>
          <w:rFonts w:cs="Arial"/>
          <w:color w:val="333333"/>
          <w:szCs w:val="20"/>
          <w:shd w:val="clear" w:color="auto" w:fill="FFFFFF"/>
        </w:rPr>
        <w:t>,</w:t>
      </w:r>
      <w:r>
        <w:rPr>
          <w:rFonts w:cs="Arial"/>
          <w:color w:val="333333"/>
          <w:szCs w:val="20"/>
          <w:shd w:val="clear" w:color="auto" w:fill="FFFFFF"/>
        </w:rPr>
        <w:t xml:space="preserve"> </w:t>
      </w:r>
      <w:r w:rsidR="00A1717C">
        <w:rPr>
          <w:rFonts w:cs="Arial"/>
          <w:color w:val="333333"/>
          <w:szCs w:val="20"/>
          <w:shd w:val="clear" w:color="auto" w:fill="FFFFFF"/>
        </w:rPr>
        <w:t xml:space="preserve">the </w:t>
      </w:r>
      <w:r>
        <w:rPr>
          <w:rFonts w:cs="Arial"/>
          <w:color w:val="333333"/>
          <w:szCs w:val="20"/>
          <w:shd w:val="clear" w:color="auto" w:fill="FFFFFF"/>
        </w:rPr>
        <w:t>distributi</w:t>
      </w:r>
      <w:r w:rsidR="00A1717C">
        <w:rPr>
          <w:rFonts w:cs="Arial"/>
          <w:color w:val="333333"/>
          <w:szCs w:val="20"/>
          <w:shd w:val="clear" w:color="auto" w:fill="FFFFFF"/>
        </w:rPr>
        <w:t>on of</w:t>
      </w:r>
      <w:r>
        <w:rPr>
          <w:rFonts w:cs="Arial"/>
          <w:color w:val="333333"/>
          <w:szCs w:val="20"/>
          <w:shd w:val="clear" w:color="auto" w:fill="FFFFFF"/>
        </w:rPr>
        <w:t xml:space="preserve"> Form 1095s to </w:t>
      </w:r>
      <w:r w:rsidR="00676F6C">
        <w:rPr>
          <w:rFonts w:cs="Arial"/>
          <w:color w:val="333333"/>
          <w:szCs w:val="20"/>
          <w:shd w:val="clear" w:color="auto" w:fill="FFFFFF"/>
        </w:rPr>
        <w:t xml:space="preserve">relevant </w:t>
      </w:r>
      <w:r w:rsidR="00183F00">
        <w:rPr>
          <w:rFonts w:cs="Arial"/>
          <w:color w:val="333333"/>
          <w:szCs w:val="20"/>
          <w:shd w:val="clear" w:color="auto" w:fill="FFFFFF"/>
        </w:rPr>
        <w:t>employees</w:t>
      </w:r>
      <w:r w:rsidR="00676F6C">
        <w:rPr>
          <w:rFonts w:cs="Arial"/>
          <w:color w:val="333333"/>
          <w:szCs w:val="20"/>
          <w:shd w:val="clear" w:color="auto" w:fill="FFFFFF"/>
        </w:rPr>
        <w:t xml:space="preserve">. </w:t>
      </w:r>
      <w:r w:rsidR="00A1717C">
        <w:rPr>
          <w:rFonts w:cs="Arial"/>
          <w:color w:val="333333"/>
          <w:szCs w:val="20"/>
          <w:shd w:val="clear" w:color="auto" w:fill="FFFFFF"/>
        </w:rPr>
        <w:t>Although</w:t>
      </w:r>
      <w:r w:rsidR="00632AE0">
        <w:rPr>
          <w:rFonts w:cs="Arial"/>
          <w:color w:val="333333"/>
          <w:szCs w:val="20"/>
          <w:shd w:val="clear" w:color="auto" w:fill="FFFFFF"/>
        </w:rPr>
        <w:t xml:space="preserve"> any employee communication must be tailored to meet the employer’s specific circumstances, some general concepts </w:t>
      </w:r>
      <w:r w:rsidR="00A66335">
        <w:rPr>
          <w:rFonts w:cs="Arial"/>
          <w:color w:val="333333"/>
          <w:szCs w:val="20"/>
          <w:shd w:val="clear" w:color="auto" w:fill="FFFFFF"/>
        </w:rPr>
        <w:t xml:space="preserve">are </w:t>
      </w:r>
      <w:r w:rsidR="00632AE0">
        <w:rPr>
          <w:rFonts w:cs="Arial"/>
          <w:color w:val="333333"/>
          <w:szCs w:val="20"/>
          <w:shd w:val="clear" w:color="auto" w:fill="FFFFFF"/>
        </w:rPr>
        <w:t>addressed here that can be adjusted as appropriate to help employees understand why Form 1095s are being provided, what type of information they provide, and how they are to be used.</w:t>
      </w:r>
    </w:p>
    <w:p w14:paraId="03912075" w14:textId="77777777" w:rsidR="000D31AC" w:rsidRPr="00300331" w:rsidRDefault="000D31AC" w:rsidP="000D31AC">
      <w:pPr>
        <w:ind w:left="0"/>
        <w:rPr>
          <w:rFonts w:cs="Arial"/>
          <w:color w:val="000000"/>
          <w:szCs w:val="20"/>
        </w:rPr>
      </w:pPr>
    </w:p>
    <w:p w14:paraId="7196C965" w14:textId="77777777" w:rsidR="00A6352B" w:rsidRPr="00300331" w:rsidRDefault="00A6352B" w:rsidP="000D31AC">
      <w:pPr>
        <w:pStyle w:val="Heading2"/>
        <w:spacing w:before="0"/>
        <w:ind w:left="0"/>
        <w:rPr>
          <w:rFonts w:ascii="Arial" w:hAnsi="Arial" w:cs="Arial"/>
          <w:sz w:val="20"/>
          <w:szCs w:val="20"/>
        </w:rPr>
      </w:pPr>
      <w:r w:rsidRPr="00300331">
        <w:rPr>
          <w:rFonts w:ascii="Arial" w:hAnsi="Arial" w:cs="Arial"/>
          <w:sz w:val="20"/>
          <w:szCs w:val="20"/>
        </w:rPr>
        <w:t>Background</w:t>
      </w:r>
    </w:p>
    <w:p w14:paraId="40B91DEE" w14:textId="77777777" w:rsidR="00FD6B27" w:rsidRDefault="00746405" w:rsidP="00FD6B27">
      <w:pPr>
        <w:ind w:left="0"/>
        <w:rPr>
          <w:rFonts w:cs="Arial"/>
          <w:szCs w:val="20"/>
        </w:rPr>
      </w:pPr>
      <w:bookmarkStart w:id="0" w:name="HCRFRMq3954z1"/>
      <w:bookmarkStart w:id="1" w:name="cade1d0c15d56417b0acf4d5c34e0612"/>
      <w:bookmarkStart w:id="2" w:name="HCRFRMq3955z1"/>
      <w:bookmarkStart w:id="3" w:name="9d57e226c5f9617ecddae46a52220818"/>
      <w:bookmarkEnd w:id="0"/>
      <w:bookmarkEnd w:id="1"/>
      <w:bookmarkEnd w:id="2"/>
      <w:bookmarkEnd w:id="3"/>
      <w:r>
        <w:rPr>
          <w:rFonts w:cs="Arial"/>
          <w:szCs w:val="20"/>
        </w:rPr>
        <w:t>Reporting of plan and coverage i</w:t>
      </w:r>
      <w:r w:rsidRPr="00746405">
        <w:rPr>
          <w:rFonts w:cs="Arial"/>
          <w:szCs w:val="20"/>
        </w:rPr>
        <w:t>nformation</w:t>
      </w:r>
      <w:r>
        <w:rPr>
          <w:rFonts w:cs="Arial"/>
          <w:szCs w:val="20"/>
        </w:rPr>
        <w:t xml:space="preserve"> using Forms 1094 and 1095 is required to provide the IRS with the information necessary</w:t>
      </w:r>
      <w:r w:rsidRPr="00746405">
        <w:rPr>
          <w:rFonts w:cs="Arial"/>
          <w:szCs w:val="20"/>
        </w:rPr>
        <w:t xml:space="preserve"> to </w:t>
      </w:r>
      <w:r>
        <w:rPr>
          <w:rFonts w:cs="Arial"/>
          <w:szCs w:val="20"/>
        </w:rPr>
        <w:t>administer and regulate the following:</w:t>
      </w:r>
    </w:p>
    <w:p w14:paraId="18BDFF37" w14:textId="24FAD451" w:rsidR="00746405" w:rsidRPr="00746405" w:rsidRDefault="00746405" w:rsidP="00746405">
      <w:pPr>
        <w:pStyle w:val="ListParagraph"/>
        <w:numPr>
          <w:ilvl w:val="0"/>
          <w:numId w:val="34"/>
        </w:numPr>
      </w:pPr>
      <w:r>
        <w:rPr>
          <w:u w:val="single"/>
        </w:rPr>
        <w:t>Individual Mandate</w:t>
      </w:r>
      <w:r>
        <w:t xml:space="preserve"> – </w:t>
      </w:r>
      <w:r w:rsidR="00A66335">
        <w:t>I</w:t>
      </w:r>
      <w:r>
        <w:t xml:space="preserve">ndividuals are </w:t>
      </w:r>
      <w:r w:rsidRPr="00746405">
        <w:t>required to be enrolled in minimum essential coverage (a “MEC” plan) for all months during the year to avoid potential penalties under the individual mandate unless they meet a specified exemption.</w:t>
      </w:r>
    </w:p>
    <w:p w14:paraId="4BF4ACF5" w14:textId="45AFFCB2" w:rsidR="00746405" w:rsidRPr="00746405" w:rsidRDefault="00746405" w:rsidP="00746405">
      <w:pPr>
        <w:pStyle w:val="ListParagraph"/>
        <w:numPr>
          <w:ilvl w:val="0"/>
          <w:numId w:val="34"/>
        </w:numPr>
      </w:pPr>
      <w:r>
        <w:rPr>
          <w:u w:val="single"/>
        </w:rPr>
        <w:t>Employer Mandate</w:t>
      </w:r>
      <w:r>
        <w:t xml:space="preserve"> – </w:t>
      </w:r>
      <w:r w:rsidR="00A66335">
        <w:t>A</w:t>
      </w:r>
      <w:r>
        <w:t>pplicable large employers (ALEs), those with 50 or more full-time equivalents (FTEs)</w:t>
      </w:r>
      <w:r w:rsidR="00A66335">
        <w:t>,</w:t>
      </w:r>
      <w:r>
        <w:t xml:space="preserve"> are required to offer full-time employees and their dependent children minimum value, affordable coverage to avoid potential penalties under Section 4980H (aka the “employer mandate”).</w:t>
      </w:r>
    </w:p>
    <w:p w14:paraId="049C13E4" w14:textId="0AEE83C9" w:rsidR="00746405" w:rsidRPr="00746405" w:rsidRDefault="00746405" w:rsidP="00746405">
      <w:pPr>
        <w:pStyle w:val="ListParagraph"/>
        <w:numPr>
          <w:ilvl w:val="0"/>
          <w:numId w:val="34"/>
        </w:numPr>
      </w:pPr>
      <w:r>
        <w:rPr>
          <w:u w:val="single"/>
        </w:rPr>
        <w:t>Individual eligibility for a tax credit/subsidy through a public Exchange or Marketplace</w:t>
      </w:r>
      <w:r>
        <w:t xml:space="preserve"> – </w:t>
      </w:r>
      <w:r w:rsidR="00A66335">
        <w:t>I</w:t>
      </w:r>
      <w:r>
        <w:t xml:space="preserve">ndividuals </w:t>
      </w:r>
      <w:r w:rsidR="00E764CF">
        <w:t>who</w:t>
      </w:r>
      <w:r>
        <w:t xml:space="preserve"> choose to enroll through a public Exchange or Marketplace may qualify for a tax credit/subsidy to help pay for such coverage if the individual is no</w:t>
      </w:r>
      <w:r w:rsidR="0057783D">
        <w:t xml:space="preserve">t </w:t>
      </w:r>
      <w:r>
        <w:t xml:space="preserve">enrolled in </w:t>
      </w:r>
      <w:r w:rsidR="00B30600">
        <w:t xml:space="preserve">a </w:t>
      </w:r>
      <w:r w:rsidR="0057783D">
        <w:t>MEC plan</w:t>
      </w:r>
      <w:r>
        <w:t xml:space="preserve"> </w:t>
      </w:r>
      <w:r w:rsidR="0057783D">
        <w:t>or</w:t>
      </w:r>
      <w:r>
        <w:t xml:space="preserve"> </w:t>
      </w:r>
      <w:r w:rsidR="00635072">
        <w:t xml:space="preserve">is not </w:t>
      </w:r>
      <w:bookmarkStart w:id="4" w:name="_GoBack"/>
      <w:bookmarkEnd w:id="4"/>
      <w:r>
        <w:t xml:space="preserve">eligible for employer-sponsored </w:t>
      </w:r>
      <w:r w:rsidR="00B30600">
        <w:t xml:space="preserve">affordable, minimum value </w:t>
      </w:r>
      <w:r>
        <w:t xml:space="preserve">coverage </w:t>
      </w:r>
      <w:r w:rsidR="0057783D">
        <w:t>and</w:t>
      </w:r>
      <w:r w:rsidR="00D0588D">
        <w:t xml:space="preserve"> meets certain household income requirements.</w:t>
      </w:r>
    </w:p>
    <w:p w14:paraId="72B3BFFB" w14:textId="77777777" w:rsidR="00746405" w:rsidRDefault="00746405" w:rsidP="00FD6B27">
      <w:pPr>
        <w:ind w:left="0"/>
        <w:rPr>
          <w:rFonts w:cs="Arial"/>
          <w:szCs w:val="20"/>
        </w:rPr>
      </w:pPr>
    </w:p>
    <w:p w14:paraId="74D8FC30" w14:textId="25774590" w:rsidR="00D0588D" w:rsidRDefault="0057783D" w:rsidP="00FD6B27">
      <w:pPr>
        <w:ind w:left="0"/>
        <w:rPr>
          <w:rFonts w:cs="Arial"/>
          <w:szCs w:val="20"/>
        </w:rPr>
      </w:pPr>
      <w:r>
        <w:rPr>
          <w:rFonts w:cs="Arial"/>
          <w:szCs w:val="20"/>
        </w:rPr>
        <w:t xml:space="preserve">All providers of </w:t>
      </w:r>
      <w:r w:rsidR="00A66335">
        <w:rPr>
          <w:rFonts w:cs="Arial"/>
          <w:szCs w:val="20"/>
        </w:rPr>
        <w:t>an</w:t>
      </w:r>
      <w:r>
        <w:rPr>
          <w:rFonts w:cs="Arial"/>
          <w:szCs w:val="20"/>
        </w:rPr>
        <w:t xml:space="preserve"> MEC plan (e.g. insurance carrier or employer sponsoring a self-funded plan) are required to report on any individuals covered under such plan.</w:t>
      </w:r>
    </w:p>
    <w:p w14:paraId="434FAEF4" w14:textId="77777777" w:rsidR="0057783D" w:rsidRDefault="0057783D" w:rsidP="00FD6B27">
      <w:pPr>
        <w:ind w:left="0"/>
        <w:rPr>
          <w:rFonts w:cs="Arial"/>
          <w:szCs w:val="20"/>
        </w:rPr>
      </w:pPr>
    </w:p>
    <w:p w14:paraId="62F7A7AC" w14:textId="77777777" w:rsidR="0057783D" w:rsidRDefault="0057783D" w:rsidP="00FD6B27">
      <w:pPr>
        <w:ind w:left="0"/>
        <w:rPr>
          <w:rFonts w:cs="Arial"/>
          <w:szCs w:val="20"/>
        </w:rPr>
      </w:pPr>
      <w:r>
        <w:rPr>
          <w:rFonts w:cs="Arial"/>
          <w:szCs w:val="20"/>
        </w:rPr>
        <w:t>In addition, all ALE</w:t>
      </w:r>
      <w:r w:rsidR="00676F6C">
        <w:rPr>
          <w:rFonts w:cs="Arial"/>
          <w:szCs w:val="20"/>
        </w:rPr>
        <w:t>s</w:t>
      </w:r>
      <w:r>
        <w:rPr>
          <w:rFonts w:cs="Arial"/>
          <w:szCs w:val="20"/>
        </w:rPr>
        <w:t xml:space="preserve"> are required to report offer of coverage information for any employees </w:t>
      </w:r>
      <w:r w:rsidR="00183F00">
        <w:rPr>
          <w:rFonts w:cs="Arial"/>
          <w:szCs w:val="20"/>
        </w:rPr>
        <w:t>who</w:t>
      </w:r>
      <w:r>
        <w:rPr>
          <w:rFonts w:cs="Arial"/>
          <w:szCs w:val="20"/>
        </w:rPr>
        <w:t xml:space="preserve"> were full-time for any month during the year.</w:t>
      </w:r>
    </w:p>
    <w:p w14:paraId="51E853F0" w14:textId="77777777" w:rsidR="0057783D" w:rsidRDefault="0057783D" w:rsidP="00FD6B27">
      <w:pPr>
        <w:ind w:left="0"/>
        <w:rPr>
          <w:rFonts w:cs="Arial"/>
          <w:szCs w:val="20"/>
        </w:rPr>
      </w:pPr>
    </w:p>
    <w:p w14:paraId="58E911F3" w14:textId="77777777" w:rsidR="0057783D" w:rsidRDefault="0057783D" w:rsidP="00FD6B27">
      <w:pPr>
        <w:ind w:left="0"/>
        <w:rPr>
          <w:rFonts w:cs="Arial"/>
          <w:szCs w:val="20"/>
        </w:rPr>
      </w:pPr>
      <w:r>
        <w:rPr>
          <w:rFonts w:cs="Arial"/>
          <w:szCs w:val="20"/>
        </w:rPr>
        <w:t>Form 1094 and all associated Form 1095s must be reported to the IRS</w:t>
      </w:r>
      <w:r w:rsidR="00B30600">
        <w:rPr>
          <w:rFonts w:cs="Arial"/>
          <w:szCs w:val="20"/>
        </w:rPr>
        <w:t>,</w:t>
      </w:r>
      <w:r>
        <w:rPr>
          <w:rFonts w:cs="Arial"/>
          <w:szCs w:val="20"/>
        </w:rPr>
        <w:t xml:space="preserve"> and a copy of Form 1095 (or an alternative statement) must be provided to all full-time employees and any covered individuals.</w:t>
      </w:r>
    </w:p>
    <w:p w14:paraId="00628979" w14:textId="77777777" w:rsidR="00746405" w:rsidRDefault="00746405" w:rsidP="00FD6B27">
      <w:pPr>
        <w:ind w:left="0"/>
        <w:rPr>
          <w:rFonts w:cs="Arial"/>
          <w:szCs w:val="20"/>
        </w:rPr>
      </w:pPr>
    </w:p>
    <w:p w14:paraId="5F40938A" w14:textId="77777777" w:rsidR="00C30578" w:rsidRDefault="00BF3B24" w:rsidP="000D31AC">
      <w:pPr>
        <w:ind w:left="0"/>
        <w:rPr>
          <w:rFonts w:cs="Arial"/>
          <w:b/>
          <w:szCs w:val="20"/>
        </w:rPr>
      </w:pPr>
      <w:r>
        <w:rPr>
          <w:rFonts w:cs="Arial"/>
          <w:b/>
          <w:szCs w:val="20"/>
        </w:rPr>
        <w:t>Important Information to Address</w:t>
      </w:r>
      <w:r w:rsidR="00632AE0">
        <w:rPr>
          <w:rFonts w:cs="Arial"/>
          <w:b/>
          <w:szCs w:val="20"/>
        </w:rPr>
        <w:t xml:space="preserve"> in Employee Communications</w:t>
      </w:r>
    </w:p>
    <w:p w14:paraId="4B68F1E5" w14:textId="77777777" w:rsidR="00EA1059" w:rsidRPr="00B30600" w:rsidRDefault="003C0609" w:rsidP="00C30578">
      <w:pPr>
        <w:pStyle w:val="ListParagraph"/>
        <w:numPr>
          <w:ilvl w:val="0"/>
          <w:numId w:val="33"/>
        </w:numPr>
        <w:rPr>
          <w:u w:val="single"/>
        </w:rPr>
      </w:pPr>
      <w:r w:rsidRPr="00B30600">
        <w:rPr>
          <w:u w:val="single"/>
        </w:rPr>
        <w:t>Affordable Care Act (ACA) Requirements</w:t>
      </w:r>
      <w:r w:rsidR="00C30578" w:rsidRPr="00B30600">
        <w:rPr>
          <w:u w:val="single"/>
        </w:rPr>
        <w:t xml:space="preserve"> </w:t>
      </w:r>
    </w:p>
    <w:p w14:paraId="1414C179" w14:textId="0217FF8A" w:rsidR="003C0609" w:rsidRPr="003C0609" w:rsidRDefault="003C0609" w:rsidP="003C0609">
      <w:pPr>
        <w:pStyle w:val="ListParagraph"/>
        <w:numPr>
          <w:ilvl w:val="1"/>
          <w:numId w:val="33"/>
        </w:numPr>
        <w:rPr>
          <w:b/>
        </w:rPr>
      </w:pPr>
      <w:r>
        <w:t xml:space="preserve">Individuals are </w:t>
      </w:r>
      <w:r w:rsidRPr="00746405">
        <w:t>required to be enrolled in minimum essential coverage (</w:t>
      </w:r>
      <w:r w:rsidR="00A66335">
        <w:t>an</w:t>
      </w:r>
      <w:r w:rsidRPr="00746405">
        <w:t xml:space="preserve"> “MEC” plan) for all months during the year to avoid potential penalties under the individual mandate unless they meet a specified exemption.</w:t>
      </w:r>
      <w:r>
        <w:t xml:space="preserve"> Individuals will need to indicate whether or not they were enrolled in MEC for all 12 months when filing their personal tax returns.</w:t>
      </w:r>
    </w:p>
    <w:p w14:paraId="7B4F0C48" w14:textId="00B4ACCA" w:rsidR="003C0609" w:rsidRPr="00B442A5" w:rsidRDefault="003C0609" w:rsidP="003C0609">
      <w:pPr>
        <w:pStyle w:val="ListParagraph"/>
        <w:numPr>
          <w:ilvl w:val="1"/>
          <w:numId w:val="33"/>
        </w:numPr>
        <w:rPr>
          <w:b/>
        </w:rPr>
      </w:pPr>
      <w:r>
        <w:t>Individuals</w:t>
      </w:r>
      <w:r w:rsidR="00676F6C">
        <w:t xml:space="preserve"> who are </w:t>
      </w:r>
      <w:r>
        <w:t xml:space="preserve">enrolled </w:t>
      </w:r>
      <w:r w:rsidR="00676F6C">
        <w:t xml:space="preserve">in </w:t>
      </w:r>
      <w:r w:rsidR="00183F00">
        <w:t>individual coverage</w:t>
      </w:r>
      <w:r>
        <w:t xml:space="preserve"> through a public Exchange or Marketplace may not qualify for a tax credit/</w:t>
      </w:r>
      <w:r w:rsidR="00183F00">
        <w:t>subsidy if</w:t>
      </w:r>
      <w:r>
        <w:t xml:space="preserve"> </w:t>
      </w:r>
      <w:r w:rsidR="00A66335">
        <w:t>they are</w:t>
      </w:r>
      <w:r w:rsidR="00183F00">
        <w:t xml:space="preserve"> enrolled</w:t>
      </w:r>
      <w:r>
        <w:t xml:space="preserve"> in </w:t>
      </w:r>
      <w:r w:rsidR="00A66335">
        <w:t>an</w:t>
      </w:r>
      <w:r w:rsidR="00676F6C">
        <w:t xml:space="preserve"> </w:t>
      </w:r>
      <w:r>
        <w:t xml:space="preserve">MEC plan or </w:t>
      </w:r>
      <w:r w:rsidR="00A66335">
        <w:t>are</w:t>
      </w:r>
      <w:r w:rsidR="00183F00">
        <w:t xml:space="preserve"> </w:t>
      </w:r>
      <w:r>
        <w:t>eligible for</w:t>
      </w:r>
      <w:r w:rsidR="00676F6C">
        <w:t xml:space="preserve"> affordable</w:t>
      </w:r>
      <w:r w:rsidR="00B30600">
        <w:t>,</w:t>
      </w:r>
      <w:r w:rsidR="00676F6C">
        <w:t xml:space="preserve"> minimum </w:t>
      </w:r>
      <w:r w:rsidR="00183F00">
        <w:t>value employer</w:t>
      </w:r>
      <w:r>
        <w:t>-sponsored coverage</w:t>
      </w:r>
      <w:r w:rsidR="00676F6C">
        <w:t>.</w:t>
      </w:r>
      <w:r>
        <w:t xml:space="preserve"> For individuals </w:t>
      </w:r>
      <w:r w:rsidR="00183F00">
        <w:t>who were</w:t>
      </w:r>
      <w:r>
        <w:t xml:space="preserve"> provided with such a tax credit/subsidy</w:t>
      </w:r>
      <w:r w:rsidR="00183F00">
        <w:t>,</w:t>
      </w:r>
      <w:r>
        <w:t xml:space="preserve"> </w:t>
      </w:r>
      <w:r w:rsidR="00183F00">
        <w:t xml:space="preserve">but were ineligible </w:t>
      </w:r>
      <w:r w:rsidR="00B30600">
        <w:t xml:space="preserve">for any </w:t>
      </w:r>
      <w:r w:rsidR="00183F00">
        <w:t>part of the year, any</w:t>
      </w:r>
      <w:r>
        <w:t xml:space="preserve"> applicable reconciliation will be handled on the personal tax return.</w:t>
      </w:r>
    </w:p>
    <w:p w14:paraId="22971161" w14:textId="77777777" w:rsidR="00B442A5" w:rsidRPr="00C30578" w:rsidRDefault="00B442A5" w:rsidP="00B442A5">
      <w:pPr>
        <w:pStyle w:val="ListParagraph"/>
        <w:numPr>
          <w:ilvl w:val="0"/>
          <w:numId w:val="0"/>
        </w:numPr>
        <w:ind w:left="1440"/>
        <w:rPr>
          <w:b/>
        </w:rPr>
      </w:pPr>
    </w:p>
    <w:p w14:paraId="18828D62" w14:textId="77777777" w:rsidR="003C0609" w:rsidRPr="00B30600" w:rsidRDefault="003C0609" w:rsidP="003C0609">
      <w:pPr>
        <w:pStyle w:val="ListParagraph"/>
        <w:numPr>
          <w:ilvl w:val="0"/>
          <w:numId w:val="33"/>
        </w:numPr>
        <w:rPr>
          <w:u w:val="single"/>
        </w:rPr>
      </w:pPr>
      <w:r w:rsidRPr="00B30600">
        <w:rPr>
          <w:u w:val="single"/>
        </w:rPr>
        <w:t>Form Descriptions</w:t>
      </w:r>
    </w:p>
    <w:p w14:paraId="6376A597" w14:textId="77777777" w:rsidR="00B442A5" w:rsidRPr="00B442A5" w:rsidRDefault="00B442A5" w:rsidP="00B442A5">
      <w:pPr>
        <w:pStyle w:val="ListParagraph"/>
        <w:numPr>
          <w:ilvl w:val="1"/>
          <w:numId w:val="33"/>
        </w:numPr>
        <w:rPr>
          <w:b/>
        </w:rPr>
      </w:pPr>
      <w:r>
        <w:t xml:space="preserve">For </w:t>
      </w:r>
      <w:r w:rsidR="00FC16FC">
        <w:t xml:space="preserve">small </w:t>
      </w:r>
      <w:r>
        <w:t>employers</w:t>
      </w:r>
      <w:r w:rsidR="00FC16FC">
        <w:t xml:space="preserve"> (less than 50 FTEs)</w:t>
      </w:r>
      <w:r>
        <w:t xml:space="preserve"> offering a fully-insured MEC plan:</w:t>
      </w:r>
    </w:p>
    <w:p w14:paraId="59BB8C83" w14:textId="77777777" w:rsidR="00B442A5" w:rsidRPr="00FC16FC" w:rsidRDefault="00B30600" w:rsidP="00B442A5">
      <w:pPr>
        <w:pStyle w:val="ListParagraph"/>
        <w:numPr>
          <w:ilvl w:val="2"/>
          <w:numId w:val="33"/>
        </w:numPr>
        <w:rPr>
          <w:b/>
        </w:rPr>
      </w:pPr>
      <w:r>
        <w:t xml:space="preserve">Anyone actually </w:t>
      </w:r>
      <w:r w:rsidR="00B442A5">
        <w:t>enrolled in the employer’s medical plan will receive a Form 1095-B from the insurance carrier indicating any months of coverage for the employee and any covered dependents.</w:t>
      </w:r>
    </w:p>
    <w:p w14:paraId="0B0A64B2" w14:textId="77777777" w:rsidR="00FC16FC" w:rsidRPr="00B442A5" w:rsidRDefault="00FC16FC" w:rsidP="00FC16FC">
      <w:pPr>
        <w:pStyle w:val="ListParagraph"/>
        <w:numPr>
          <w:ilvl w:val="0"/>
          <w:numId w:val="0"/>
        </w:numPr>
        <w:ind w:left="2160"/>
        <w:rPr>
          <w:b/>
        </w:rPr>
      </w:pPr>
    </w:p>
    <w:p w14:paraId="28C5B1BE" w14:textId="77777777" w:rsidR="00B442A5" w:rsidRPr="00B442A5" w:rsidRDefault="00B442A5" w:rsidP="00B442A5">
      <w:pPr>
        <w:pStyle w:val="ListParagraph"/>
        <w:numPr>
          <w:ilvl w:val="1"/>
          <w:numId w:val="33"/>
        </w:numPr>
        <w:rPr>
          <w:b/>
        </w:rPr>
      </w:pPr>
      <w:r>
        <w:t>For small employers (</w:t>
      </w:r>
      <w:r w:rsidR="00FC16FC">
        <w:t>less than 50</w:t>
      </w:r>
      <w:r>
        <w:t xml:space="preserve"> FTEs) offering a self-funded MEC plan:</w:t>
      </w:r>
    </w:p>
    <w:p w14:paraId="43409EE3" w14:textId="2E5571CA" w:rsidR="00B442A5" w:rsidRPr="00FC16FC" w:rsidRDefault="00B30600" w:rsidP="00B442A5">
      <w:pPr>
        <w:pStyle w:val="ListParagraph"/>
        <w:numPr>
          <w:ilvl w:val="2"/>
          <w:numId w:val="33"/>
        </w:numPr>
        <w:rPr>
          <w:b/>
        </w:rPr>
      </w:pPr>
      <w:r>
        <w:t xml:space="preserve">Anyone actually </w:t>
      </w:r>
      <w:r w:rsidR="00B442A5">
        <w:t xml:space="preserve">enrolled in the employer’s medical plan will receive a Form 1095-B from the employer </w:t>
      </w:r>
      <w:r w:rsidR="002A13A4">
        <w:t>(</w:t>
      </w:r>
      <w:r w:rsidR="00B442A5">
        <w:t>or third</w:t>
      </w:r>
      <w:r w:rsidR="00A66335">
        <w:t>-</w:t>
      </w:r>
      <w:r w:rsidR="00B442A5">
        <w:t>party vendor</w:t>
      </w:r>
      <w:r w:rsidR="002A13A4">
        <w:t xml:space="preserve"> hired by the employer to provide the forms)</w:t>
      </w:r>
      <w:r w:rsidR="00B442A5">
        <w:t xml:space="preserve"> indicating any months of coverage for the employee and any covered dependents.</w:t>
      </w:r>
    </w:p>
    <w:p w14:paraId="211C54A4" w14:textId="77777777" w:rsidR="00FC16FC" w:rsidRPr="00B442A5" w:rsidRDefault="00FC16FC" w:rsidP="00FC16FC">
      <w:pPr>
        <w:pStyle w:val="ListParagraph"/>
        <w:numPr>
          <w:ilvl w:val="0"/>
          <w:numId w:val="0"/>
        </w:numPr>
        <w:ind w:left="2160"/>
        <w:rPr>
          <w:b/>
        </w:rPr>
      </w:pPr>
    </w:p>
    <w:p w14:paraId="56E7D9D0" w14:textId="77777777" w:rsidR="00B442A5" w:rsidRPr="00FC16FC" w:rsidRDefault="00B442A5" w:rsidP="003C0609">
      <w:pPr>
        <w:pStyle w:val="ListParagraph"/>
        <w:numPr>
          <w:ilvl w:val="1"/>
          <w:numId w:val="33"/>
        </w:numPr>
        <w:rPr>
          <w:b/>
        </w:rPr>
      </w:pPr>
      <w:r>
        <w:t>For ALEs</w:t>
      </w:r>
      <w:r w:rsidR="00FC16FC">
        <w:t xml:space="preserve"> (50 or more FTEs) offering a fully-insured MEC plan:</w:t>
      </w:r>
    </w:p>
    <w:p w14:paraId="179BF049" w14:textId="1EFB12E6" w:rsidR="00B442A5" w:rsidRPr="00FC16FC" w:rsidRDefault="00FC16FC" w:rsidP="00FC16FC">
      <w:pPr>
        <w:pStyle w:val="ListParagraph"/>
        <w:numPr>
          <w:ilvl w:val="2"/>
          <w:numId w:val="33"/>
        </w:numPr>
        <w:rPr>
          <w:b/>
        </w:rPr>
      </w:pPr>
      <w:r>
        <w:t>All</w:t>
      </w:r>
      <w:r w:rsidR="00B442A5">
        <w:t xml:space="preserve"> full-time employees</w:t>
      </w:r>
      <w:r w:rsidR="002A13A4">
        <w:t xml:space="preserve">, whether they enroll in the plan or </w:t>
      </w:r>
      <w:r w:rsidR="006A7883">
        <w:t>not, will</w:t>
      </w:r>
      <w:r w:rsidR="00B442A5">
        <w:t xml:space="preserve"> receive a Form 1095-C </w:t>
      </w:r>
      <w:r w:rsidR="00676F6C">
        <w:t xml:space="preserve">from the employer </w:t>
      </w:r>
      <w:r w:rsidR="002A13A4">
        <w:t>(or third</w:t>
      </w:r>
      <w:r w:rsidR="00A66335">
        <w:t>-</w:t>
      </w:r>
      <w:r w:rsidR="002A13A4">
        <w:t xml:space="preserve">party vendor hired by the employer to provide the forms) </w:t>
      </w:r>
      <w:r w:rsidR="00B442A5">
        <w:t>indicating whether or not the employee was offered a plan that met both minimum value and affordability requirements.</w:t>
      </w:r>
    </w:p>
    <w:p w14:paraId="545DCD53" w14:textId="77777777" w:rsidR="00FC16FC" w:rsidRPr="00B442A5" w:rsidRDefault="00B30600" w:rsidP="00FC16FC">
      <w:pPr>
        <w:pStyle w:val="ListParagraph"/>
        <w:numPr>
          <w:ilvl w:val="2"/>
          <w:numId w:val="33"/>
        </w:numPr>
        <w:rPr>
          <w:b/>
        </w:rPr>
      </w:pPr>
      <w:r>
        <w:t xml:space="preserve">In addition, anyone actually </w:t>
      </w:r>
      <w:r w:rsidR="00FC16FC">
        <w:t>enrolled in the employer’s medical plan will receive a Form 1095-B from the insurance carrier indicating any months of coverage for the employee and any covered dependents.</w:t>
      </w:r>
    </w:p>
    <w:p w14:paraId="2D9ADAD2" w14:textId="77777777" w:rsidR="00FC16FC" w:rsidRDefault="00FC16FC" w:rsidP="00FC16FC">
      <w:pPr>
        <w:pStyle w:val="ListParagraph"/>
        <w:numPr>
          <w:ilvl w:val="0"/>
          <w:numId w:val="0"/>
        </w:numPr>
        <w:ind w:left="1800"/>
      </w:pPr>
    </w:p>
    <w:p w14:paraId="28C972D2" w14:textId="1CF8C7BC" w:rsidR="00FC16FC" w:rsidRDefault="00FC16FC" w:rsidP="00FC16FC">
      <w:pPr>
        <w:pStyle w:val="ListParagraph"/>
        <w:numPr>
          <w:ilvl w:val="0"/>
          <w:numId w:val="0"/>
        </w:numPr>
        <w:ind w:left="1800"/>
      </w:pPr>
      <w:r>
        <w:t xml:space="preserve">Note – employees </w:t>
      </w:r>
      <w:r w:rsidR="00E764CF">
        <w:t xml:space="preserve">who </w:t>
      </w:r>
      <w:r>
        <w:t xml:space="preserve">are both full-time and enrolled in the employer’s medical plan will receive both Form 1095-B </w:t>
      </w:r>
      <w:r w:rsidR="002A13A4">
        <w:t xml:space="preserve">from the insurance company </w:t>
      </w:r>
      <w:r>
        <w:t>and Form 1095-C</w:t>
      </w:r>
      <w:r w:rsidR="002A13A4">
        <w:t xml:space="preserve"> from the employer</w:t>
      </w:r>
      <w:r>
        <w:t>.</w:t>
      </w:r>
    </w:p>
    <w:p w14:paraId="5346B589" w14:textId="77777777" w:rsidR="00FC16FC" w:rsidRPr="00FC16FC" w:rsidRDefault="00FC16FC" w:rsidP="00FC16FC">
      <w:pPr>
        <w:pStyle w:val="ListParagraph"/>
        <w:numPr>
          <w:ilvl w:val="0"/>
          <w:numId w:val="0"/>
        </w:numPr>
        <w:ind w:left="1800"/>
      </w:pPr>
    </w:p>
    <w:p w14:paraId="5AAF1B0A" w14:textId="77777777" w:rsidR="00FC16FC" w:rsidRPr="00FC16FC" w:rsidRDefault="00FC16FC" w:rsidP="00FC16FC">
      <w:pPr>
        <w:pStyle w:val="ListParagraph"/>
        <w:numPr>
          <w:ilvl w:val="1"/>
          <w:numId w:val="33"/>
        </w:numPr>
        <w:rPr>
          <w:b/>
        </w:rPr>
      </w:pPr>
      <w:r>
        <w:t>For ALEs (50 or more FTEs) offering a self-funded MEC plan:</w:t>
      </w:r>
    </w:p>
    <w:p w14:paraId="0AAD3969" w14:textId="0F133A66" w:rsidR="00B442A5" w:rsidRPr="00FC16FC" w:rsidRDefault="00FC16FC" w:rsidP="00FC16FC">
      <w:pPr>
        <w:pStyle w:val="ListParagraph"/>
        <w:numPr>
          <w:ilvl w:val="2"/>
          <w:numId w:val="33"/>
        </w:numPr>
        <w:rPr>
          <w:b/>
        </w:rPr>
      </w:pPr>
      <w:r>
        <w:t>All full-time employees</w:t>
      </w:r>
      <w:r w:rsidR="002A13A4">
        <w:t>,</w:t>
      </w:r>
      <w:r>
        <w:t xml:space="preserve"> as well as </w:t>
      </w:r>
      <w:r w:rsidR="00183F00">
        <w:t>anyone actually</w:t>
      </w:r>
      <w:r>
        <w:t xml:space="preserve"> enrolled in the employer’s medical plan</w:t>
      </w:r>
      <w:r w:rsidR="00A66335">
        <w:t>,</w:t>
      </w:r>
      <w:r>
        <w:t xml:space="preserve"> will receive a Form 1095-C </w:t>
      </w:r>
      <w:r w:rsidR="00C9270E">
        <w:t>from the employer (or third</w:t>
      </w:r>
      <w:r w:rsidR="00A66335">
        <w:t>-</w:t>
      </w:r>
      <w:r w:rsidR="00C9270E">
        <w:t xml:space="preserve">party vendor hired by the employer to provide the forms) </w:t>
      </w:r>
      <w:r>
        <w:t xml:space="preserve">indicating (a) whether or not the employee was offered a plan that met both minimum value and affordability requirements; and (b) any months of coverage for the employee and any covered dependents. </w:t>
      </w:r>
    </w:p>
    <w:p w14:paraId="32801E67" w14:textId="77777777" w:rsidR="00B442A5" w:rsidRPr="00B442A5" w:rsidRDefault="00B442A5" w:rsidP="00B442A5">
      <w:pPr>
        <w:ind w:left="720"/>
      </w:pPr>
    </w:p>
    <w:p w14:paraId="781B242A" w14:textId="6FB414A2" w:rsidR="00183F00" w:rsidRDefault="00183F00" w:rsidP="003C0609">
      <w:pPr>
        <w:pStyle w:val="ListParagraph"/>
        <w:numPr>
          <w:ilvl w:val="0"/>
          <w:numId w:val="33"/>
        </w:numPr>
        <w:rPr>
          <w:b/>
        </w:rPr>
      </w:pPr>
      <w:r>
        <w:rPr>
          <w:b/>
        </w:rPr>
        <w:t xml:space="preserve">Using 2015 Information </w:t>
      </w:r>
      <w:r w:rsidR="00A66335">
        <w:rPr>
          <w:b/>
        </w:rPr>
        <w:t>W</w:t>
      </w:r>
      <w:r>
        <w:rPr>
          <w:b/>
        </w:rPr>
        <w:t>hen Filing Personal Taxes</w:t>
      </w:r>
    </w:p>
    <w:p w14:paraId="44475BCA" w14:textId="77777777" w:rsidR="00183F00" w:rsidRPr="00B30600" w:rsidRDefault="00C9270E" w:rsidP="00B30600">
      <w:pPr>
        <w:ind w:left="720"/>
        <w:rPr>
          <w:b/>
        </w:rPr>
      </w:pPr>
      <w:r>
        <w:t>I</w:t>
      </w:r>
      <w:r w:rsidR="00BF3B24" w:rsidRPr="007C089B">
        <w:t>ndividuals will use Form 1095-B and</w:t>
      </w:r>
      <w:r>
        <w:t>/or</w:t>
      </w:r>
      <w:r w:rsidR="00B30600">
        <w:t xml:space="preserve"> C</w:t>
      </w:r>
      <w:r w:rsidR="00BF3B24" w:rsidRPr="007C089B">
        <w:t xml:space="preserve"> </w:t>
      </w:r>
      <w:r>
        <w:t>as documentation that</w:t>
      </w:r>
      <w:r w:rsidR="00BF3B24" w:rsidRPr="007C089B">
        <w:t xml:space="preserve"> the</w:t>
      </w:r>
      <w:r w:rsidR="00B30600">
        <w:t>y were</w:t>
      </w:r>
      <w:r w:rsidR="00BF3B24" w:rsidRPr="007C089B">
        <w:t xml:space="preserve"> enrolled in minimum essential coverage (MEC) to comply with the individual mandate and whether or not the individual was eligible for a tax subsidy if enrolled through a public Exchange.</w:t>
      </w:r>
    </w:p>
    <w:p w14:paraId="00992A08" w14:textId="6A888E89" w:rsidR="00183F00" w:rsidRPr="00B30600" w:rsidRDefault="00C9270E" w:rsidP="00B30600">
      <w:pPr>
        <w:pStyle w:val="ListParagraph"/>
        <w:numPr>
          <w:ilvl w:val="1"/>
          <w:numId w:val="33"/>
        </w:numPr>
        <w:rPr>
          <w:b/>
        </w:rPr>
      </w:pPr>
      <w:r>
        <w:t>I</w:t>
      </w:r>
      <w:r w:rsidRPr="00C9270E">
        <w:t xml:space="preserve">nformation </w:t>
      </w:r>
      <w:r>
        <w:t xml:space="preserve">regarding coverage and subsidy eligibility </w:t>
      </w:r>
      <w:r w:rsidRPr="00C9270E">
        <w:t xml:space="preserve">is needed to complete </w:t>
      </w:r>
      <w:r>
        <w:t xml:space="preserve">an </w:t>
      </w:r>
      <w:r w:rsidRPr="00C9270E">
        <w:t>individual’s personal tax return</w:t>
      </w:r>
      <w:r>
        <w:t xml:space="preserve">, but the </w:t>
      </w:r>
      <w:r w:rsidR="00BF3B24" w:rsidRPr="007C089B">
        <w:t>Form 1095 does not need to be submitted with the personal tax return</w:t>
      </w:r>
      <w:r>
        <w:t xml:space="preserve">. Copies of 1095s </w:t>
      </w:r>
      <w:r w:rsidR="00BF3B24" w:rsidRPr="007C089B">
        <w:t>will be provided to the IRS by the employer (or third</w:t>
      </w:r>
      <w:r w:rsidR="00A66335">
        <w:t>-</w:t>
      </w:r>
      <w:r w:rsidR="00BF3B24" w:rsidRPr="007C089B">
        <w:t>party vendor) or insurance carrier as applicable</w:t>
      </w:r>
      <w:r>
        <w:t xml:space="preserve">. </w:t>
      </w:r>
    </w:p>
    <w:p w14:paraId="0EEE19A0" w14:textId="712265E6" w:rsidR="00183F00" w:rsidRPr="00183F00" w:rsidRDefault="00183F00" w:rsidP="00183F00">
      <w:pPr>
        <w:pStyle w:val="ListParagraph"/>
        <w:numPr>
          <w:ilvl w:val="1"/>
          <w:numId w:val="33"/>
        </w:numPr>
        <w:rPr>
          <w:b/>
        </w:rPr>
      </w:pPr>
      <w:r>
        <w:t>Individuals</w:t>
      </w:r>
      <w:r w:rsidR="00C9270E">
        <w:t xml:space="preserve"> should keep copies of 1095s</w:t>
      </w:r>
      <w:r w:rsidR="00BF3B24" w:rsidRPr="007C089B">
        <w:t xml:space="preserve"> on file </w:t>
      </w:r>
      <w:r w:rsidR="00A66335">
        <w:t xml:space="preserve">to verify offer and coverage information </w:t>
      </w:r>
      <w:r w:rsidR="00BF3B24" w:rsidRPr="007C089B">
        <w:t xml:space="preserve">in case </w:t>
      </w:r>
      <w:r w:rsidR="00A66335">
        <w:t>an</w:t>
      </w:r>
      <w:r w:rsidR="00BF3B24" w:rsidRPr="007C089B">
        <w:t xml:space="preserve"> audit</w:t>
      </w:r>
      <w:r w:rsidR="00A66335">
        <w:t xml:space="preserve"> is conducted in the future</w:t>
      </w:r>
      <w:r w:rsidR="00BF3B24" w:rsidRPr="007C089B">
        <w:t>.</w:t>
      </w:r>
    </w:p>
    <w:p w14:paraId="5F59C2C0" w14:textId="77777777" w:rsidR="00183F00" w:rsidRPr="00183F00" w:rsidRDefault="00183F00" w:rsidP="00183F00">
      <w:pPr>
        <w:pStyle w:val="ListParagraph"/>
        <w:numPr>
          <w:ilvl w:val="0"/>
          <w:numId w:val="0"/>
        </w:numPr>
        <w:ind w:left="720"/>
        <w:rPr>
          <w:b/>
        </w:rPr>
      </w:pPr>
    </w:p>
    <w:p w14:paraId="11912ADD" w14:textId="19BE7692" w:rsidR="00C9270E" w:rsidRPr="00B30600" w:rsidRDefault="00BF3B24" w:rsidP="00B30600">
      <w:pPr>
        <w:ind w:left="720"/>
        <w:rPr>
          <w:b/>
        </w:rPr>
      </w:pPr>
      <w:r w:rsidRPr="007C089B">
        <w:t>Also note</w:t>
      </w:r>
      <w:r w:rsidR="00A66335">
        <w:t xml:space="preserve"> that</w:t>
      </w:r>
      <w:r w:rsidRPr="007C089B">
        <w:t xml:space="preserve"> due to the extension of the reporting deadlines for 2016, employees may not receive a Form 1095 prior to filing their personal tax returns. </w:t>
      </w:r>
      <w:r w:rsidR="007C089B" w:rsidRPr="007C089B">
        <w:t xml:space="preserve">Since Form 1095 is </w:t>
      </w:r>
      <w:r w:rsidRPr="007C089B">
        <w:t>not actually required for an individual to file their personal tax return</w:t>
      </w:r>
      <w:r w:rsidR="007C089B" w:rsidRPr="007C089B">
        <w:t>, this shouldn’t delay the filing of personal tax returns</w:t>
      </w:r>
      <w:r w:rsidRPr="007C089B">
        <w:t xml:space="preserve">.  </w:t>
      </w:r>
    </w:p>
    <w:p w14:paraId="092619AF" w14:textId="7AF13DC8" w:rsidR="00BF3B24" w:rsidRPr="00B30600" w:rsidRDefault="00C9270E" w:rsidP="00B30600">
      <w:pPr>
        <w:pStyle w:val="ListParagraph"/>
        <w:numPr>
          <w:ilvl w:val="0"/>
          <w:numId w:val="0"/>
        </w:numPr>
        <w:ind w:left="720"/>
      </w:pPr>
      <w:r>
        <w:t>I</w:t>
      </w:r>
      <w:r w:rsidR="00BF3B24" w:rsidRPr="007C089B">
        <w:t xml:space="preserve">f Form 1095 is not available at the time the individual is preparing the personal tax return, the individual may request the information from the insurance carrier or employer. </w:t>
      </w:r>
      <w:r>
        <w:t>T</w:t>
      </w:r>
      <w:r w:rsidR="00BF3B24" w:rsidRPr="00632AE0">
        <w:t xml:space="preserve">he IRS indicated </w:t>
      </w:r>
      <w:r w:rsidR="00B30600">
        <w:t>in Notice 2016-4</w:t>
      </w:r>
      <w:r>
        <w:t xml:space="preserve"> </w:t>
      </w:r>
      <w:r w:rsidR="00BF3B24" w:rsidRPr="00632AE0">
        <w:t xml:space="preserve">that </w:t>
      </w:r>
      <w:r w:rsidR="00BF3B24" w:rsidRPr="00632AE0">
        <w:rPr>
          <w:shd w:val="clear" w:color="auto" w:fill="FFFFFF"/>
        </w:rPr>
        <w:t xml:space="preserve">for </w:t>
      </w:r>
      <w:r w:rsidR="00B30600">
        <w:rPr>
          <w:shd w:val="clear" w:color="auto" w:fill="FFFFFF"/>
        </w:rPr>
        <w:t xml:space="preserve">the </w:t>
      </w:r>
      <w:r w:rsidR="00BF3B24" w:rsidRPr="00632AE0">
        <w:rPr>
          <w:shd w:val="clear" w:color="auto" w:fill="FFFFFF"/>
        </w:rPr>
        <w:t xml:space="preserve">2015 </w:t>
      </w:r>
      <w:r>
        <w:rPr>
          <w:shd w:val="clear" w:color="auto" w:fill="FFFFFF"/>
        </w:rPr>
        <w:t xml:space="preserve">tax </w:t>
      </w:r>
      <w:r w:rsidR="00183F00">
        <w:rPr>
          <w:shd w:val="clear" w:color="auto" w:fill="FFFFFF"/>
        </w:rPr>
        <w:t>year</w:t>
      </w:r>
      <w:r w:rsidR="00BF3B24" w:rsidRPr="00632AE0">
        <w:rPr>
          <w:shd w:val="clear" w:color="auto" w:fill="FFFFFF"/>
        </w:rPr>
        <w:t xml:space="preserve">, individuals who do not receive a Form 1095 prior to filing their tax returns may rely on other sources of information (e.g. from the employer or insurance carrier) </w:t>
      </w:r>
      <w:r w:rsidR="00A66335">
        <w:rPr>
          <w:shd w:val="clear" w:color="auto" w:fill="FFFFFF"/>
        </w:rPr>
        <w:t xml:space="preserve">for these purposes </w:t>
      </w:r>
      <w:r w:rsidR="00BF3B24" w:rsidRPr="00632AE0">
        <w:rPr>
          <w:shd w:val="clear" w:color="auto" w:fill="FFFFFF"/>
        </w:rPr>
        <w:t>and will not be required to file an amended return if they subsequently receive a Form 1095 containing different information.</w:t>
      </w:r>
    </w:p>
    <w:p w14:paraId="15B4074C" w14:textId="77777777" w:rsidR="00BE7C66" w:rsidRPr="00300331" w:rsidRDefault="00BE7C66" w:rsidP="000D31AC">
      <w:pPr>
        <w:ind w:left="0"/>
        <w:rPr>
          <w:rFonts w:cs="Arial"/>
          <w:b/>
          <w:szCs w:val="20"/>
        </w:rPr>
      </w:pPr>
    </w:p>
    <w:p w14:paraId="3688B558" w14:textId="77777777" w:rsidR="00E03522" w:rsidRPr="00300331" w:rsidRDefault="001A7955" w:rsidP="000D31AC">
      <w:pPr>
        <w:ind w:left="0"/>
        <w:rPr>
          <w:rFonts w:cs="Arial"/>
          <w:b/>
          <w:szCs w:val="20"/>
        </w:rPr>
      </w:pPr>
      <w:r w:rsidRPr="00300331">
        <w:rPr>
          <w:rFonts w:cs="Arial"/>
          <w:b/>
          <w:szCs w:val="20"/>
        </w:rPr>
        <w:t>Summary</w:t>
      </w:r>
    </w:p>
    <w:p w14:paraId="35A1B66E" w14:textId="00257A00" w:rsidR="00FE4F0F" w:rsidRDefault="00C06B62" w:rsidP="00723257">
      <w:pPr>
        <w:pStyle w:val="MediumShading1-Accent11"/>
        <w:ind w:left="0"/>
        <w:rPr>
          <w:rFonts w:cs="Arial"/>
          <w:szCs w:val="20"/>
          <w:lang w:val="en-US"/>
        </w:rPr>
      </w:pPr>
      <w:r>
        <w:rPr>
          <w:rFonts w:cs="Arial"/>
          <w:szCs w:val="20"/>
          <w:lang w:val="en-US"/>
        </w:rPr>
        <w:t>Employer</w:t>
      </w:r>
      <w:r w:rsidR="00C9270E">
        <w:rPr>
          <w:rFonts w:cs="Arial"/>
          <w:szCs w:val="20"/>
          <w:lang w:val="en-US"/>
        </w:rPr>
        <w:t>s</w:t>
      </w:r>
      <w:r>
        <w:rPr>
          <w:rFonts w:cs="Arial"/>
          <w:szCs w:val="20"/>
          <w:lang w:val="en-US"/>
        </w:rPr>
        <w:t xml:space="preserve"> may be able to avoid some of the confusion and proactively answer employee questions by providing some type of employee communication in regard to the Form 1095s that will be provided to individuals for the first time early in 2016. The information provided here</w:t>
      </w:r>
      <w:r w:rsidR="00FE4F0F">
        <w:rPr>
          <w:rFonts w:cs="Arial"/>
          <w:szCs w:val="20"/>
          <w:lang w:val="en-US"/>
        </w:rPr>
        <w:t xml:space="preserve"> is meant to provide some general information that may be adjusted to match the employer’s situation.  </w:t>
      </w:r>
    </w:p>
    <w:p w14:paraId="17E05C0D" w14:textId="77777777" w:rsidR="00FE4F0F" w:rsidRDefault="00FE4F0F" w:rsidP="00723257">
      <w:pPr>
        <w:pStyle w:val="MediumShading1-Accent11"/>
        <w:ind w:left="0"/>
        <w:rPr>
          <w:rFonts w:cs="Arial"/>
          <w:szCs w:val="20"/>
          <w:lang w:val="en-US"/>
        </w:rPr>
      </w:pPr>
    </w:p>
    <w:p w14:paraId="15381A25" w14:textId="38C5F7C4" w:rsidR="00FE4F0F" w:rsidRDefault="00FE4F0F" w:rsidP="00723257">
      <w:pPr>
        <w:pStyle w:val="MediumShading1-Accent11"/>
        <w:ind w:left="0"/>
        <w:rPr>
          <w:rFonts w:cs="Arial"/>
          <w:szCs w:val="20"/>
          <w:lang w:val="en-US"/>
        </w:rPr>
      </w:pPr>
      <w:r>
        <w:rPr>
          <w:rFonts w:cs="Arial"/>
          <w:szCs w:val="20"/>
          <w:lang w:val="en-US"/>
        </w:rPr>
        <w:t xml:space="preserve">More detailed information in regard to employer reporting requirements can be found in our employer reporting guide found </w:t>
      </w:r>
      <w:hyperlink r:id="rId9" w:history="1">
        <w:r>
          <w:rPr>
            <w:rStyle w:val="Hyperlink"/>
            <w:rFonts w:cs="Arial"/>
            <w:szCs w:val="20"/>
            <w:lang w:val="en-US"/>
          </w:rPr>
          <w:t>here</w:t>
        </w:r>
      </w:hyperlink>
      <w:r>
        <w:rPr>
          <w:rFonts w:cs="Arial"/>
          <w:szCs w:val="20"/>
          <w:lang w:val="en-US"/>
        </w:rPr>
        <w:t>.</w:t>
      </w:r>
    </w:p>
    <w:p w14:paraId="244FB27E" w14:textId="77777777" w:rsidR="00FE4F0F" w:rsidRDefault="00FE4F0F" w:rsidP="00723257">
      <w:pPr>
        <w:pStyle w:val="MediumShading1-Accent11"/>
        <w:ind w:left="0"/>
        <w:rPr>
          <w:rFonts w:cs="Arial"/>
          <w:szCs w:val="20"/>
          <w:lang w:val="en-US"/>
        </w:rPr>
      </w:pPr>
    </w:p>
    <w:p w14:paraId="207F5654" w14:textId="77777777" w:rsidR="00FE4F0F" w:rsidRDefault="00FE4F0F" w:rsidP="00723257">
      <w:pPr>
        <w:pStyle w:val="MediumShading1-Accent11"/>
        <w:ind w:left="0"/>
        <w:rPr>
          <w:rFonts w:cs="Arial"/>
          <w:szCs w:val="20"/>
          <w:lang w:val="en-US"/>
        </w:rPr>
      </w:pPr>
      <w:r>
        <w:rPr>
          <w:rFonts w:cs="Arial"/>
          <w:szCs w:val="20"/>
          <w:lang w:val="en-US"/>
        </w:rPr>
        <w:t xml:space="preserve">Specific information about 2016 extended deadlines may be found </w:t>
      </w:r>
      <w:hyperlink r:id="rId10" w:history="1">
        <w:r>
          <w:rPr>
            <w:rStyle w:val="Hyperlink"/>
            <w:rFonts w:cs="Arial"/>
            <w:szCs w:val="20"/>
            <w:lang w:val="en-US"/>
          </w:rPr>
          <w:t>here</w:t>
        </w:r>
      </w:hyperlink>
      <w:r>
        <w:rPr>
          <w:rFonts w:cs="Arial"/>
          <w:szCs w:val="20"/>
          <w:lang w:val="en-US"/>
        </w:rPr>
        <w:t>.</w:t>
      </w:r>
    </w:p>
    <w:p w14:paraId="501FA417" w14:textId="77777777" w:rsidR="00FE4F0F" w:rsidRDefault="00FE4F0F" w:rsidP="00723257">
      <w:pPr>
        <w:pStyle w:val="MediumShading1-Accent11"/>
        <w:ind w:left="0"/>
        <w:rPr>
          <w:rFonts w:cs="Arial"/>
          <w:szCs w:val="20"/>
          <w:lang w:val="en-US"/>
        </w:rPr>
      </w:pPr>
    </w:p>
    <w:p w14:paraId="68E6DC72" w14:textId="77777777" w:rsidR="00723257" w:rsidRPr="00C06B62" w:rsidRDefault="00FE4F0F" w:rsidP="00723257">
      <w:pPr>
        <w:pStyle w:val="MediumShading1-Accent11"/>
        <w:ind w:left="0"/>
        <w:rPr>
          <w:rFonts w:cs="Arial"/>
          <w:szCs w:val="20"/>
          <w:lang w:val="en-US"/>
        </w:rPr>
      </w:pPr>
      <w:r>
        <w:rPr>
          <w:rFonts w:cs="Arial"/>
          <w:szCs w:val="20"/>
          <w:lang w:val="en-US"/>
        </w:rPr>
        <w:t xml:space="preserve"> </w:t>
      </w:r>
    </w:p>
    <w:p w14:paraId="7BA3F64D" w14:textId="77777777" w:rsidR="00723257" w:rsidRDefault="00723257" w:rsidP="00866B99">
      <w:pPr>
        <w:pStyle w:val="MediumShading1-Accent11"/>
        <w:ind w:left="0"/>
        <w:rPr>
          <w:i/>
          <w:sz w:val="16"/>
          <w:szCs w:val="16"/>
        </w:rPr>
      </w:pPr>
    </w:p>
    <w:p w14:paraId="5C2CCF99" w14:textId="77777777" w:rsidR="008362F4" w:rsidRDefault="0035725D" w:rsidP="00866B99">
      <w:pPr>
        <w:pStyle w:val="MediumShading1-Accent11"/>
        <w:ind w:left="0"/>
        <w:rPr>
          <w:i/>
          <w:sz w:val="16"/>
          <w:szCs w:val="16"/>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Sect="00E53468">
      <w:footerReference w:type="default" r:id="rId11"/>
      <w:headerReference w:type="first" r:id="rId12"/>
      <w:footerReference w:type="first" r:id="rId13"/>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CD322" w14:textId="77777777" w:rsidR="00D901E1" w:rsidRDefault="00D901E1" w:rsidP="006C7EC1">
      <w:r>
        <w:separator/>
      </w:r>
    </w:p>
  </w:endnote>
  <w:endnote w:type="continuationSeparator" w:id="0">
    <w:p w14:paraId="0E971061" w14:textId="77777777" w:rsidR="00D901E1" w:rsidRDefault="00D901E1" w:rsidP="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98AC" w14:textId="77777777" w:rsidR="00B442A5" w:rsidRDefault="00B442A5" w:rsidP="006C7EC1">
    <w:pPr>
      <w:pStyle w:val="Footer"/>
      <w:jc w:val="center"/>
      <w:rPr>
        <w:rFonts w:cs="Arial"/>
        <w:sz w:val="18"/>
        <w:szCs w:val="18"/>
      </w:rPr>
    </w:pPr>
  </w:p>
  <w:p w14:paraId="1C0FDEFF" w14:textId="77777777" w:rsidR="00B442A5" w:rsidRDefault="00B442A5" w:rsidP="006C7EC1">
    <w:pPr>
      <w:pStyle w:val="Footer"/>
      <w:jc w:val="center"/>
      <w:rPr>
        <w:sz w:val="18"/>
        <w:szCs w:val="18"/>
        <w:lang w:val="en-US"/>
      </w:rPr>
    </w:pPr>
    <w:r w:rsidRPr="006C7EC1">
      <w:rPr>
        <w:rFonts w:cs="Arial"/>
        <w:sz w:val="18"/>
        <w:szCs w:val="18"/>
      </w:rPr>
      <w:t>© 201</w:t>
    </w:r>
    <w:r>
      <w:rPr>
        <w:rFonts w:cs="Arial"/>
        <w:sz w:val="18"/>
        <w:szCs w:val="18"/>
        <w:lang w:val="en-US"/>
      </w:rPr>
      <w:t>5</w:t>
    </w:r>
    <w:r w:rsidRPr="006C7EC1">
      <w:rPr>
        <w:rFonts w:cs="Arial"/>
        <w:sz w:val="18"/>
        <w:szCs w:val="18"/>
      </w:rPr>
      <w:t xml:space="preserve"> </w:t>
    </w:r>
    <w:r>
      <w:rPr>
        <w:sz w:val="18"/>
        <w:szCs w:val="18"/>
      </w:rPr>
      <w:t>Benefit Comply, LLC</w:t>
    </w:r>
  </w:p>
  <w:p w14:paraId="27EA8E51" w14:textId="250F8358" w:rsidR="00B442A5" w:rsidRDefault="00B442A5"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635072">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5063" w14:textId="77777777" w:rsidR="00B442A5" w:rsidRDefault="00B442A5" w:rsidP="006C7EC1">
    <w:pPr>
      <w:pStyle w:val="Footer"/>
      <w:jc w:val="center"/>
      <w:rPr>
        <w:sz w:val="18"/>
        <w:szCs w:val="18"/>
        <w:lang w:val="en-US"/>
      </w:rPr>
    </w:pPr>
    <w:r>
      <w:rPr>
        <w:rFonts w:cs="Arial"/>
        <w:sz w:val="18"/>
        <w:szCs w:val="18"/>
      </w:rPr>
      <w:t>© 201</w:t>
    </w:r>
    <w:r>
      <w:rPr>
        <w:rFonts w:cs="Arial"/>
        <w:sz w:val="18"/>
        <w:szCs w:val="18"/>
        <w:lang w:val="en-US"/>
      </w:rPr>
      <w:t>6</w:t>
    </w:r>
    <w:r w:rsidRPr="006C7EC1">
      <w:rPr>
        <w:rFonts w:cs="Arial"/>
        <w:sz w:val="18"/>
        <w:szCs w:val="18"/>
      </w:rPr>
      <w:t xml:space="preserve"> </w:t>
    </w:r>
    <w:r>
      <w:rPr>
        <w:sz w:val="18"/>
        <w:szCs w:val="18"/>
      </w:rPr>
      <w:t>Benefit Comply, LLC</w:t>
    </w:r>
  </w:p>
  <w:p w14:paraId="08BECFFE" w14:textId="5F8BEA6F" w:rsidR="00B442A5" w:rsidRPr="00866B99" w:rsidRDefault="00B442A5"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635072">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E7148" w14:textId="77777777" w:rsidR="00D901E1" w:rsidRDefault="00D901E1" w:rsidP="006C7EC1">
      <w:r>
        <w:separator/>
      </w:r>
    </w:p>
  </w:footnote>
  <w:footnote w:type="continuationSeparator" w:id="0">
    <w:p w14:paraId="30BBEF21" w14:textId="77777777" w:rsidR="00D901E1" w:rsidRDefault="00D901E1" w:rsidP="006C7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2F45" w14:textId="77777777" w:rsidR="00B442A5" w:rsidRPr="006717AA" w:rsidRDefault="00B442A5" w:rsidP="00373838">
    <w:pPr>
      <w:pStyle w:val="Header"/>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DBA"/>
    <w:multiLevelType w:val="multilevel"/>
    <w:tmpl w:val="4920B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F4CA3"/>
    <w:multiLevelType w:val="hybridMultilevel"/>
    <w:tmpl w:val="483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04720"/>
    <w:multiLevelType w:val="hybridMultilevel"/>
    <w:tmpl w:val="B962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5F0A"/>
    <w:multiLevelType w:val="hybridMultilevel"/>
    <w:tmpl w:val="B876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052B0"/>
    <w:multiLevelType w:val="hybridMultilevel"/>
    <w:tmpl w:val="F57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F5185"/>
    <w:multiLevelType w:val="multilevel"/>
    <w:tmpl w:val="20A6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46DB"/>
    <w:multiLevelType w:val="multilevel"/>
    <w:tmpl w:val="FBC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824BE"/>
    <w:multiLevelType w:val="hybridMultilevel"/>
    <w:tmpl w:val="76FAF48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630FBB"/>
    <w:multiLevelType w:val="multilevel"/>
    <w:tmpl w:val="57BE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74B8E"/>
    <w:multiLevelType w:val="hybridMultilevel"/>
    <w:tmpl w:val="9C10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22B37"/>
    <w:multiLevelType w:val="multilevel"/>
    <w:tmpl w:val="2E1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F911B7"/>
    <w:multiLevelType w:val="hybridMultilevel"/>
    <w:tmpl w:val="B302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D6532"/>
    <w:multiLevelType w:val="hybridMultilevel"/>
    <w:tmpl w:val="E1C86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746023"/>
    <w:multiLevelType w:val="hybridMultilevel"/>
    <w:tmpl w:val="D234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D5641"/>
    <w:multiLevelType w:val="hybridMultilevel"/>
    <w:tmpl w:val="AAC2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42F18"/>
    <w:multiLevelType w:val="hybridMultilevel"/>
    <w:tmpl w:val="E0D8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3A1EB5"/>
    <w:multiLevelType w:val="hybridMultilevel"/>
    <w:tmpl w:val="67F45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213FF7"/>
    <w:multiLevelType w:val="multilevel"/>
    <w:tmpl w:val="2C0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10779"/>
    <w:multiLevelType w:val="hybridMultilevel"/>
    <w:tmpl w:val="691A87C2"/>
    <w:lvl w:ilvl="0" w:tplc="B76C4D3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F2E90"/>
    <w:multiLevelType w:val="hybridMultilevel"/>
    <w:tmpl w:val="2C02C6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44574"/>
    <w:multiLevelType w:val="hybridMultilevel"/>
    <w:tmpl w:val="74FC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F6412"/>
    <w:multiLevelType w:val="hybridMultilevel"/>
    <w:tmpl w:val="8D56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B70B1"/>
    <w:multiLevelType w:val="hybridMultilevel"/>
    <w:tmpl w:val="0A66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25665"/>
    <w:multiLevelType w:val="multilevel"/>
    <w:tmpl w:val="679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EE41B0"/>
    <w:multiLevelType w:val="hybridMultilevel"/>
    <w:tmpl w:val="7BA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B0693"/>
    <w:multiLevelType w:val="hybridMultilevel"/>
    <w:tmpl w:val="BD26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07B1A"/>
    <w:multiLevelType w:val="hybridMultilevel"/>
    <w:tmpl w:val="BB76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27D41"/>
    <w:multiLevelType w:val="hybridMultilevel"/>
    <w:tmpl w:val="D57807CC"/>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8">
    <w:nsid w:val="72C82597"/>
    <w:multiLevelType w:val="hybridMultilevel"/>
    <w:tmpl w:val="9D22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6CC43D8"/>
    <w:multiLevelType w:val="hybridMultilevel"/>
    <w:tmpl w:val="CD6E7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E4093D"/>
    <w:multiLevelType w:val="hybridMultilevel"/>
    <w:tmpl w:val="1C22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9E7AF3"/>
    <w:multiLevelType w:val="multilevel"/>
    <w:tmpl w:val="F886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B61A7"/>
    <w:multiLevelType w:val="hybridMultilevel"/>
    <w:tmpl w:val="41D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8"/>
  </w:num>
  <w:num w:numId="10">
    <w:abstractNumId w:val="24"/>
  </w:num>
  <w:num w:numId="11">
    <w:abstractNumId w:val="4"/>
  </w:num>
  <w:num w:numId="12">
    <w:abstractNumId w:val="25"/>
  </w:num>
  <w:num w:numId="13">
    <w:abstractNumId w:val="26"/>
  </w:num>
  <w:num w:numId="14">
    <w:abstractNumId w:val="3"/>
  </w:num>
  <w:num w:numId="15">
    <w:abstractNumId w:val="1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27"/>
  </w:num>
  <w:num w:numId="20">
    <w:abstractNumId w:val="18"/>
  </w:num>
  <w:num w:numId="21">
    <w:abstractNumId w:val="32"/>
  </w:num>
  <w:num w:numId="22">
    <w:abstractNumId w:val="14"/>
  </w:num>
  <w:num w:numId="23">
    <w:abstractNumId w:val="30"/>
  </w:num>
  <w:num w:numId="24">
    <w:abstractNumId w:val="13"/>
  </w:num>
  <w:num w:numId="25">
    <w:abstractNumId w:val="11"/>
  </w:num>
  <w:num w:numId="26">
    <w:abstractNumId w:val="16"/>
  </w:num>
  <w:num w:numId="27">
    <w:abstractNumId w:val="21"/>
  </w:num>
  <w:num w:numId="28">
    <w:abstractNumId w:val="19"/>
  </w:num>
  <w:num w:numId="29">
    <w:abstractNumId w:val="9"/>
  </w:num>
  <w:num w:numId="30">
    <w:abstractNumId w:val="15"/>
  </w:num>
  <w:num w:numId="31">
    <w:abstractNumId w:val="1"/>
  </w:num>
  <w:num w:numId="3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81"/>
    <w:rsid w:val="000037D0"/>
    <w:rsid w:val="00005756"/>
    <w:rsid w:val="00012853"/>
    <w:rsid w:val="000130D1"/>
    <w:rsid w:val="00014763"/>
    <w:rsid w:val="000155E8"/>
    <w:rsid w:val="00015F0B"/>
    <w:rsid w:val="000166F5"/>
    <w:rsid w:val="00030A92"/>
    <w:rsid w:val="00040AB3"/>
    <w:rsid w:val="00041D34"/>
    <w:rsid w:val="00042D2A"/>
    <w:rsid w:val="00045F42"/>
    <w:rsid w:val="0005280B"/>
    <w:rsid w:val="00054026"/>
    <w:rsid w:val="00056762"/>
    <w:rsid w:val="0006084A"/>
    <w:rsid w:val="0006208C"/>
    <w:rsid w:val="00063515"/>
    <w:rsid w:val="00065F15"/>
    <w:rsid w:val="000663CB"/>
    <w:rsid w:val="00071F3D"/>
    <w:rsid w:val="00090998"/>
    <w:rsid w:val="00093B13"/>
    <w:rsid w:val="00096B1E"/>
    <w:rsid w:val="000A279E"/>
    <w:rsid w:val="000A697A"/>
    <w:rsid w:val="000C41B5"/>
    <w:rsid w:val="000C5473"/>
    <w:rsid w:val="000C721A"/>
    <w:rsid w:val="000D31AC"/>
    <w:rsid w:val="000E03AB"/>
    <w:rsid w:val="000E668C"/>
    <w:rsid w:val="000F3F23"/>
    <w:rsid w:val="000F5AC3"/>
    <w:rsid w:val="0010150B"/>
    <w:rsid w:val="00103F85"/>
    <w:rsid w:val="00104680"/>
    <w:rsid w:val="0010781F"/>
    <w:rsid w:val="00113F23"/>
    <w:rsid w:val="001146A5"/>
    <w:rsid w:val="00117A18"/>
    <w:rsid w:val="00125471"/>
    <w:rsid w:val="001257EE"/>
    <w:rsid w:val="00131018"/>
    <w:rsid w:val="00141AF2"/>
    <w:rsid w:val="001432A3"/>
    <w:rsid w:val="001446D8"/>
    <w:rsid w:val="00144A9C"/>
    <w:rsid w:val="00146F88"/>
    <w:rsid w:val="00147497"/>
    <w:rsid w:val="00155720"/>
    <w:rsid w:val="00172882"/>
    <w:rsid w:val="001824D9"/>
    <w:rsid w:val="00183F00"/>
    <w:rsid w:val="00184D42"/>
    <w:rsid w:val="00187547"/>
    <w:rsid w:val="00194FD3"/>
    <w:rsid w:val="001A569D"/>
    <w:rsid w:val="001A7955"/>
    <w:rsid w:val="001B1A88"/>
    <w:rsid w:val="001C256F"/>
    <w:rsid w:val="001C4860"/>
    <w:rsid w:val="001C68CC"/>
    <w:rsid w:val="001D58D8"/>
    <w:rsid w:val="001D5A0C"/>
    <w:rsid w:val="001D745D"/>
    <w:rsid w:val="001D77F4"/>
    <w:rsid w:val="001E2483"/>
    <w:rsid w:val="001E2972"/>
    <w:rsid w:val="001E345E"/>
    <w:rsid w:val="001E622E"/>
    <w:rsid w:val="001F0404"/>
    <w:rsid w:val="001F20E5"/>
    <w:rsid w:val="001F74F6"/>
    <w:rsid w:val="00200664"/>
    <w:rsid w:val="0020244B"/>
    <w:rsid w:val="00211FC6"/>
    <w:rsid w:val="00212E4A"/>
    <w:rsid w:val="002241F3"/>
    <w:rsid w:val="00226283"/>
    <w:rsid w:val="00231306"/>
    <w:rsid w:val="00247077"/>
    <w:rsid w:val="002532D0"/>
    <w:rsid w:val="00255A5D"/>
    <w:rsid w:val="002564DA"/>
    <w:rsid w:val="00261621"/>
    <w:rsid w:val="00267C12"/>
    <w:rsid w:val="00270D0F"/>
    <w:rsid w:val="00273D4E"/>
    <w:rsid w:val="002742E6"/>
    <w:rsid w:val="00277CAA"/>
    <w:rsid w:val="00294809"/>
    <w:rsid w:val="002A13A4"/>
    <w:rsid w:val="002A761A"/>
    <w:rsid w:val="002B089E"/>
    <w:rsid w:val="002C4ADB"/>
    <w:rsid w:val="002D6E4B"/>
    <w:rsid w:val="002E280D"/>
    <w:rsid w:val="002E69BE"/>
    <w:rsid w:val="002F1D78"/>
    <w:rsid w:val="002F3FBC"/>
    <w:rsid w:val="002F5B6A"/>
    <w:rsid w:val="002F5FCD"/>
    <w:rsid w:val="00300331"/>
    <w:rsid w:val="00311D22"/>
    <w:rsid w:val="00314066"/>
    <w:rsid w:val="00315F0E"/>
    <w:rsid w:val="0031698C"/>
    <w:rsid w:val="003256A6"/>
    <w:rsid w:val="00332855"/>
    <w:rsid w:val="00334D30"/>
    <w:rsid w:val="00337651"/>
    <w:rsid w:val="00340789"/>
    <w:rsid w:val="00341E4C"/>
    <w:rsid w:val="00341F9B"/>
    <w:rsid w:val="00343D4C"/>
    <w:rsid w:val="00346D40"/>
    <w:rsid w:val="00351DAE"/>
    <w:rsid w:val="003536E9"/>
    <w:rsid w:val="0035612D"/>
    <w:rsid w:val="0035725D"/>
    <w:rsid w:val="003606B3"/>
    <w:rsid w:val="00360C1E"/>
    <w:rsid w:val="003619F1"/>
    <w:rsid w:val="00373838"/>
    <w:rsid w:val="0037534B"/>
    <w:rsid w:val="00375AC7"/>
    <w:rsid w:val="00376D4E"/>
    <w:rsid w:val="00377A73"/>
    <w:rsid w:val="00384B28"/>
    <w:rsid w:val="003874D6"/>
    <w:rsid w:val="003902B9"/>
    <w:rsid w:val="0039272A"/>
    <w:rsid w:val="00393B70"/>
    <w:rsid w:val="00396BCA"/>
    <w:rsid w:val="00397F1D"/>
    <w:rsid w:val="003A15A0"/>
    <w:rsid w:val="003A7120"/>
    <w:rsid w:val="003B0730"/>
    <w:rsid w:val="003B2F3D"/>
    <w:rsid w:val="003B7105"/>
    <w:rsid w:val="003C0609"/>
    <w:rsid w:val="003C2C45"/>
    <w:rsid w:val="003C50C6"/>
    <w:rsid w:val="003D3ABE"/>
    <w:rsid w:val="003D5BB6"/>
    <w:rsid w:val="003E1F9E"/>
    <w:rsid w:val="003E7F11"/>
    <w:rsid w:val="003F4386"/>
    <w:rsid w:val="004019B7"/>
    <w:rsid w:val="00403FA4"/>
    <w:rsid w:val="00411B73"/>
    <w:rsid w:val="00417F5C"/>
    <w:rsid w:val="00421453"/>
    <w:rsid w:val="0044224C"/>
    <w:rsid w:val="00453723"/>
    <w:rsid w:val="00453816"/>
    <w:rsid w:val="00461B0E"/>
    <w:rsid w:val="00464CBE"/>
    <w:rsid w:val="00467E2A"/>
    <w:rsid w:val="00476F72"/>
    <w:rsid w:val="00485FE1"/>
    <w:rsid w:val="004870C3"/>
    <w:rsid w:val="004A33D5"/>
    <w:rsid w:val="004A6635"/>
    <w:rsid w:val="004B1644"/>
    <w:rsid w:val="004B2781"/>
    <w:rsid w:val="004B4147"/>
    <w:rsid w:val="004B6441"/>
    <w:rsid w:val="004B7C6C"/>
    <w:rsid w:val="004C685A"/>
    <w:rsid w:val="004C7E74"/>
    <w:rsid w:val="004E1B3E"/>
    <w:rsid w:val="004E530D"/>
    <w:rsid w:val="004E74C0"/>
    <w:rsid w:val="004E77C4"/>
    <w:rsid w:val="004F0122"/>
    <w:rsid w:val="004F38E5"/>
    <w:rsid w:val="004F4484"/>
    <w:rsid w:val="005158FE"/>
    <w:rsid w:val="00517F1A"/>
    <w:rsid w:val="00526EED"/>
    <w:rsid w:val="00532F84"/>
    <w:rsid w:val="0053695B"/>
    <w:rsid w:val="00536F9B"/>
    <w:rsid w:val="005378A2"/>
    <w:rsid w:val="00540CCF"/>
    <w:rsid w:val="00544C20"/>
    <w:rsid w:val="00554D66"/>
    <w:rsid w:val="0055764A"/>
    <w:rsid w:val="0056000B"/>
    <w:rsid w:val="005660E9"/>
    <w:rsid w:val="005718A9"/>
    <w:rsid w:val="005718C3"/>
    <w:rsid w:val="0057783D"/>
    <w:rsid w:val="00586252"/>
    <w:rsid w:val="00586571"/>
    <w:rsid w:val="00591725"/>
    <w:rsid w:val="005921C3"/>
    <w:rsid w:val="005926DA"/>
    <w:rsid w:val="005B0103"/>
    <w:rsid w:val="005C2382"/>
    <w:rsid w:val="005C57D7"/>
    <w:rsid w:val="005D297F"/>
    <w:rsid w:val="005D6D8C"/>
    <w:rsid w:val="005E1161"/>
    <w:rsid w:val="005E255B"/>
    <w:rsid w:val="005E4301"/>
    <w:rsid w:val="005F1993"/>
    <w:rsid w:val="005F2269"/>
    <w:rsid w:val="005F4D3F"/>
    <w:rsid w:val="005F6AC8"/>
    <w:rsid w:val="005F6CE2"/>
    <w:rsid w:val="00600FC4"/>
    <w:rsid w:val="006034D7"/>
    <w:rsid w:val="00605355"/>
    <w:rsid w:val="006074BB"/>
    <w:rsid w:val="006102F4"/>
    <w:rsid w:val="006149F2"/>
    <w:rsid w:val="00616FD0"/>
    <w:rsid w:val="006226C6"/>
    <w:rsid w:val="00627583"/>
    <w:rsid w:val="00627F7D"/>
    <w:rsid w:val="00630D64"/>
    <w:rsid w:val="00632AE0"/>
    <w:rsid w:val="00633D0E"/>
    <w:rsid w:val="00635072"/>
    <w:rsid w:val="006466D7"/>
    <w:rsid w:val="006560E0"/>
    <w:rsid w:val="006577E9"/>
    <w:rsid w:val="00657FA9"/>
    <w:rsid w:val="00663919"/>
    <w:rsid w:val="00667445"/>
    <w:rsid w:val="006717AA"/>
    <w:rsid w:val="00675439"/>
    <w:rsid w:val="00676F6C"/>
    <w:rsid w:val="00681138"/>
    <w:rsid w:val="00685C8D"/>
    <w:rsid w:val="00694239"/>
    <w:rsid w:val="006A7883"/>
    <w:rsid w:val="006B1545"/>
    <w:rsid w:val="006B23FC"/>
    <w:rsid w:val="006B28BC"/>
    <w:rsid w:val="006B45D0"/>
    <w:rsid w:val="006C4A13"/>
    <w:rsid w:val="006C7B72"/>
    <w:rsid w:val="006C7EC1"/>
    <w:rsid w:val="006D13CD"/>
    <w:rsid w:val="006E1247"/>
    <w:rsid w:val="006F0025"/>
    <w:rsid w:val="006F72AD"/>
    <w:rsid w:val="006F7F3E"/>
    <w:rsid w:val="00713909"/>
    <w:rsid w:val="00714E7B"/>
    <w:rsid w:val="00721B36"/>
    <w:rsid w:val="007226AF"/>
    <w:rsid w:val="00723257"/>
    <w:rsid w:val="00726F77"/>
    <w:rsid w:val="0072721D"/>
    <w:rsid w:val="00736A9B"/>
    <w:rsid w:val="007414D8"/>
    <w:rsid w:val="00746405"/>
    <w:rsid w:val="00746901"/>
    <w:rsid w:val="007508F7"/>
    <w:rsid w:val="007626B8"/>
    <w:rsid w:val="0076294C"/>
    <w:rsid w:val="007638BF"/>
    <w:rsid w:val="00771007"/>
    <w:rsid w:val="0077265F"/>
    <w:rsid w:val="00773AE3"/>
    <w:rsid w:val="00776816"/>
    <w:rsid w:val="00785AC8"/>
    <w:rsid w:val="007908B7"/>
    <w:rsid w:val="007914DE"/>
    <w:rsid w:val="007956BD"/>
    <w:rsid w:val="0079630C"/>
    <w:rsid w:val="007A03A0"/>
    <w:rsid w:val="007B4885"/>
    <w:rsid w:val="007C089B"/>
    <w:rsid w:val="007C13DC"/>
    <w:rsid w:val="007C675D"/>
    <w:rsid w:val="007C77AA"/>
    <w:rsid w:val="007C7C7C"/>
    <w:rsid w:val="007C7D72"/>
    <w:rsid w:val="007D5827"/>
    <w:rsid w:val="007E2565"/>
    <w:rsid w:val="007E33AD"/>
    <w:rsid w:val="007F34B4"/>
    <w:rsid w:val="007F634F"/>
    <w:rsid w:val="00800A0A"/>
    <w:rsid w:val="0080349F"/>
    <w:rsid w:val="00803687"/>
    <w:rsid w:val="008052A3"/>
    <w:rsid w:val="0081001F"/>
    <w:rsid w:val="00817AD7"/>
    <w:rsid w:val="0082069A"/>
    <w:rsid w:val="00822C04"/>
    <w:rsid w:val="00827418"/>
    <w:rsid w:val="0083063B"/>
    <w:rsid w:val="008308CB"/>
    <w:rsid w:val="008362F4"/>
    <w:rsid w:val="00840509"/>
    <w:rsid w:val="008477BE"/>
    <w:rsid w:val="008615C4"/>
    <w:rsid w:val="0086304F"/>
    <w:rsid w:val="008655CD"/>
    <w:rsid w:val="00866B99"/>
    <w:rsid w:val="0088352B"/>
    <w:rsid w:val="00884649"/>
    <w:rsid w:val="00897617"/>
    <w:rsid w:val="008A43F2"/>
    <w:rsid w:val="008A5DF8"/>
    <w:rsid w:val="008C4542"/>
    <w:rsid w:val="008C712B"/>
    <w:rsid w:val="008C7432"/>
    <w:rsid w:val="008D0598"/>
    <w:rsid w:val="008D3E7A"/>
    <w:rsid w:val="008D5BAD"/>
    <w:rsid w:val="008E0604"/>
    <w:rsid w:val="008E2D74"/>
    <w:rsid w:val="008E3D24"/>
    <w:rsid w:val="008E4B3D"/>
    <w:rsid w:val="008F2B0B"/>
    <w:rsid w:val="00902D54"/>
    <w:rsid w:val="00914A8A"/>
    <w:rsid w:val="00923103"/>
    <w:rsid w:val="009312C4"/>
    <w:rsid w:val="0093597C"/>
    <w:rsid w:val="00941ACE"/>
    <w:rsid w:val="00942EFA"/>
    <w:rsid w:val="00951D03"/>
    <w:rsid w:val="00952D8A"/>
    <w:rsid w:val="009536DD"/>
    <w:rsid w:val="00956886"/>
    <w:rsid w:val="009629D1"/>
    <w:rsid w:val="00967C19"/>
    <w:rsid w:val="0097001D"/>
    <w:rsid w:val="009704FD"/>
    <w:rsid w:val="00976EE7"/>
    <w:rsid w:val="00987818"/>
    <w:rsid w:val="00997C14"/>
    <w:rsid w:val="009A4AD6"/>
    <w:rsid w:val="009A65A0"/>
    <w:rsid w:val="009C3F26"/>
    <w:rsid w:val="009D2536"/>
    <w:rsid w:val="009D30FA"/>
    <w:rsid w:val="009D6B8F"/>
    <w:rsid w:val="009E2006"/>
    <w:rsid w:val="009F0EFE"/>
    <w:rsid w:val="009F1035"/>
    <w:rsid w:val="009F2234"/>
    <w:rsid w:val="009F5809"/>
    <w:rsid w:val="00A05A38"/>
    <w:rsid w:val="00A12F7D"/>
    <w:rsid w:val="00A1717C"/>
    <w:rsid w:val="00A21DC4"/>
    <w:rsid w:val="00A34FC3"/>
    <w:rsid w:val="00A36D84"/>
    <w:rsid w:val="00A403E9"/>
    <w:rsid w:val="00A44B63"/>
    <w:rsid w:val="00A44CEB"/>
    <w:rsid w:val="00A50245"/>
    <w:rsid w:val="00A51D54"/>
    <w:rsid w:val="00A549AB"/>
    <w:rsid w:val="00A55E0C"/>
    <w:rsid w:val="00A56BB2"/>
    <w:rsid w:val="00A6352B"/>
    <w:rsid w:val="00A66335"/>
    <w:rsid w:val="00A67099"/>
    <w:rsid w:val="00A671B6"/>
    <w:rsid w:val="00A76DDD"/>
    <w:rsid w:val="00A84C0E"/>
    <w:rsid w:val="00A94DC8"/>
    <w:rsid w:val="00A953DD"/>
    <w:rsid w:val="00A9585D"/>
    <w:rsid w:val="00AA3E90"/>
    <w:rsid w:val="00AA6A57"/>
    <w:rsid w:val="00AB0F84"/>
    <w:rsid w:val="00AB2DCF"/>
    <w:rsid w:val="00AB5E46"/>
    <w:rsid w:val="00AB7412"/>
    <w:rsid w:val="00AC0F82"/>
    <w:rsid w:val="00AC60D1"/>
    <w:rsid w:val="00AD32EA"/>
    <w:rsid w:val="00AD5E20"/>
    <w:rsid w:val="00AE1425"/>
    <w:rsid w:val="00AE2B47"/>
    <w:rsid w:val="00AE33B8"/>
    <w:rsid w:val="00AE38EE"/>
    <w:rsid w:val="00AE7C27"/>
    <w:rsid w:val="00AF0B9D"/>
    <w:rsid w:val="00B06E74"/>
    <w:rsid w:val="00B11B6F"/>
    <w:rsid w:val="00B14799"/>
    <w:rsid w:val="00B15106"/>
    <w:rsid w:val="00B15861"/>
    <w:rsid w:val="00B2325B"/>
    <w:rsid w:val="00B24F06"/>
    <w:rsid w:val="00B305F9"/>
    <w:rsid w:val="00B30600"/>
    <w:rsid w:val="00B347E4"/>
    <w:rsid w:val="00B442A5"/>
    <w:rsid w:val="00B448AB"/>
    <w:rsid w:val="00B51719"/>
    <w:rsid w:val="00B554D2"/>
    <w:rsid w:val="00B55BBA"/>
    <w:rsid w:val="00B57B5E"/>
    <w:rsid w:val="00B6028C"/>
    <w:rsid w:val="00B6090B"/>
    <w:rsid w:val="00B66B60"/>
    <w:rsid w:val="00B76B82"/>
    <w:rsid w:val="00B803FC"/>
    <w:rsid w:val="00B80971"/>
    <w:rsid w:val="00B826C0"/>
    <w:rsid w:val="00B86CCB"/>
    <w:rsid w:val="00B90848"/>
    <w:rsid w:val="00B91754"/>
    <w:rsid w:val="00B954EF"/>
    <w:rsid w:val="00B96CAB"/>
    <w:rsid w:val="00BA3246"/>
    <w:rsid w:val="00BA3E33"/>
    <w:rsid w:val="00BA6FBA"/>
    <w:rsid w:val="00BB01DD"/>
    <w:rsid w:val="00BB04D8"/>
    <w:rsid w:val="00BC004D"/>
    <w:rsid w:val="00BC1E4F"/>
    <w:rsid w:val="00BC5BB5"/>
    <w:rsid w:val="00BC64AB"/>
    <w:rsid w:val="00BD2EC1"/>
    <w:rsid w:val="00BD3EE9"/>
    <w:rsid w:val="00BE0984"/>
    <w:rsid w:val="00BE0BDC"/>
    <w:rsid w:val="00BE398F"/>
    <w:rsid w:val="00BE3F09"/>
    <w:rsid w:val="00BE7C66"/>
    <w:rsid w:val="00BF3B24"/>
    <w:rsid w:val="00BF434C"/>
    <w:rsid w:val="00BF49EF"/>
    <w:rsid w:val="00C06B62"/>
    <w:rsid w:val="00C07F42"/>
    <w:rsid w:val="00C12536"/>
    <w:rsid w:val="00C24151"/>
    <w:rsid w:val="00C30578"/>
    <w:rsid w:val="00C30F3D"/>
    <w:rsid w:val="00C4346F"/>
    <w:rsid w:val="00C449AC"/>
    <w:rsid w:val="00C53B62"/>
    <w:rsid w:val="00C5571B"/>
    <w:rsid w:val="00C60F20"/>
    <w:rsid w:val="00C63A49"/>
    <w:rsid w:val="00C70F5A"/>
    <w:rsid w:val="00C849B8"/>
    <w:rsid w:val="00C87D79"/>
    <w:rsid w:val="00C90E9A"/>
    <w:rsid w:val="00C91641"/>
    <w:rsid w:val="00C9270E"/>
    <w:rsid w:val="00CB08F7"/>
    <w:rsid w:val="00CB2087"/>
    <w:rsid w:val="00CB2A7B"/>
    <w:rsid w:val="00CB7F8B"/>
    <w:rsid w:val="00CD258B"/>
    <w:rsid w:val="00CD3AB1"/>
    <w:rsid w:val="00CD4988"/>
    <w:rsid w:val="00CD5422"/>
    <w:rsid w:val="00CD5E90"/>
    <w:rsid w:val="00CD622F"/>
    <w:rsid w:val="00CE15AE"/>
    <w:rsid w:val="00CE712E"/>
    <w:rsid w:val="00CF44F7"/>
    <w:rsid w:val="00CF4A65"/>
    <w:rsid w:val="00D00064"/>
    <w:rsid w:val="00D0013D"/>
    <w:rsid w:val="00D00F60"/>
    <w:rsid w:val="00D01B46"/>
    <w:rsid w:val="00D0224C"/>
    <w:rsid w:val="00D0588D"/>
    <w:rsid w:val="00D06F47"/>
    <w:rsid w:val="00D12D97"/>
    <w:rsid w:val="00D17920"/>
    <w:rsid w:val="00D20571"/>
    <w:rsid w:val="00D23F45"/>
    <w:rsid w:val="00D31672"/>
    <w:rsid w:val="00D34186"/>
    <w:rsid w:val="00D448E1"/>
    <w:rsid w:val="00D44E36"/>
    <w:rsid w:val="00D4574C"/>
    <w:rsid w:val="00D60973"/>
    <w:rsid w:val="00D636DB"/>
    <w:rsid w:val="00D76D80"/>
    <w:rsid w:val="00D80B8E"/>
    <w:rsid w:val="00D80E1E"/>
    <w:rsid w:val="00D8475B"/>
    <w:rsid w:val="00D901E1"/>
    <w:rsid w:val="00D975E7"/>
    <w:rsid w:val="00D97ECB"/>
    <w:rsid w:val="00DA17C7"/>
    <w:rsid w:val="00DA1860"/>
    <w:rsid w:val="00DA5084"/>
    <w:rsid w:val="00DA6314"/>
    <w:rsid w:val="00DA739B"/>
    <w:rsid w:val="00DB00D9"/>
    <w:rsid w:val="00DB1126"/>
    <w:rsid w:val="00DB42E7"/>
    <w:rsid w:val="00DB46C3"/>
    <w:rsid w:val="00DB50A2"/>
    <w:rsid w:val="00DB553D"/>
    <w:rsid w:val="00DC50F5"/>
    <w:rsid w:val="00DC7F95"/>
    <w:rsid w:val="00DD04FD"/>
    <w:rsid w:val="00DD1020"/>
    <w:rsid w:val="00DD1F73"/>
    <w:rsid w:val="00DD69C1"/>
    <w:rsid w:val="00DE16AD"/>
    <w:rsid w:val="00DE2727"/>
    <w:rsid w:val="00DE428B"/>
    <w:rsid w:val="00DE5BB4"/>
    <w:rsid w:val="00DF24C0"/>
    <w:rsid w:val="00DF5D23"/>
    <w:rsid w:val="00E00E23"/>
    <w:rsid w:val="00E023A7"/>
    <w:rsid w:val="00E03088"/>
    <w:rsid w:val="00E03321"/>
    <w:rsid w:val="00E03522"/>
    <w:rsid w:val="00E0400B"/>
    <w:rsid w:val="00E10762"/>
    <w:rsid w:val="00E33680"/>
    <w:rsid w:val="00E377FE"/>
    <w:rsid w:val="00E429E7"/>
    <w:rsid w:val="00E4366B"/>
    <w:rsid w:val="00E43CCB"/>
    <w:rsid w:val="00E44F0B"/>
    <w:rsid w:val="00E457E7"/>
    <w:rsid w:val="00E46F87"/>
    <w:rsid w:val="00E50650"/>
    <w:rsid w:val="00E53468"/>
    <w:rsid w:val="00E764CF"/>
    <w:rsid w:val="00E76581"/>
    <w:rsid w:val="00E773C4"/>
    <w:rsid w:val="00E830A5"/>
    <w:rsid w:val="00E83CD0"/>
    <w:rsid w:val="00E85FF7"/>
    <w:rsid w:val="00E9595B"/>
    <w:rsid w:val="00EA1059"/>
    <w:rsid w:val="00EB2B80"/>
    <w:rsid w:val="00EB4518"/>
    <w:rsid w:val="00EB54CD"/>
    <w:rsid w:val="00EB6293"/>
    <w:rsid w:val="00EB6674"/>
    <w:rsid w:val="00EB7532"/>
    <w:rsid w:val="00EC5A7D"/>
    <w:rsid w:val="00EC6C15"/>
    <w:rsid w:val="00EF1C04"/>
    <w:rsid w:val="00EF7919"/>
    <w:rsid w:val="00F04017"/>
    <w:rsid w:val="00F0429B"/>
    <w:rsid w:val="00F06079"/>
    <w:rsid w:val="00F1742E"/>
    <w:rsid w:val="00F208D8"/>
    <w:rsid w:val="00F21600"/>
    <w:rsid w:val="00F440C1"/>
    <w:rsid w:val="00F47EE2"/>
    <w:rsid w:val="00F51BB5"/>
    <w:rsid w:val="00F51DF1"/>
    <w:rsid w:val="00F535E7"/>
    <w:rsid w:val="00F55CEF"/>
    <w:rsid w:val="00F562CC"/>
    <w:rsid w:val="00F57124"/>
    <w:rsid w:val="00F5773D"/>
    <w:rsid w:val="00F617E4"/>
    <w:rsid w:val="00F65565"/>
    <w:rsid w:val="00F65964"/>
    <w:rsid w:val="00F67274"/>
    <w:rsid w:val="00F7135C"/>
    <w:rsid w:val="00F80D9C"/>
    <w:rsid w:val="00F83367"/>
    <w:rsid w:val="00F877B8"/>
    <w:rsid w:val="00F909F2"/>
    <w:rsid w:val="00F949F2"/>
    <w:rsid w:val="00FA0739"/>
    <w:rsid w:val="00FA1426"/>
    <w:rsid w:val="00FA31E7"/>
    <w:rsid w:val="00FA4C44"/>
    <w:rsid w:val="00FA4FD2"/>
    <w:rsid w:val="00FA5593"/>
    <w:rsid w:val="00FB0360"/>
    <w:rsid w:val="00FB6812"/>
    <w:rsid w:val="00FC0388"/>
    <w:rsid w:val="00FC16FC"/>
    <w:rsid w:val="00FD0F26"/>
    <w:rsid w:val="00FD1E78"/>
    <w:rsid w:val="00FD20BF"/>
    <w:rsid w:val="00FD6B27"/>
    <w:rsid w:val="00FE4F0F"/>
    <w:rsid w:val="00FF0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71950"/>
  <w14:defaultImageDpi w14:val="300"/>
  <w15:docId w15:val="{4FD54D50-0EBC-42CA-B10A-B12A46A2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1">
    <w:name w:val="Medium Grid 21"/>
    <w:basedOn w:val="Normal"/>
    <w:uiPriority w:val="1"/>
    <w:qFormat/>
    <w:rsid w:val="00A6352B"/>
    <w:pPr>
      <w:ind w:left="0"/>
    </w:pPr>
    <w:rPr>
      <w:lang w:val="x-none" w:eastAsia="x-none"/>
    </w:rPr>
  </w:style>
  <w:style w:type="paragraph" w:customStyle="1" w:styleId="MediumGrid1-Accent22">
    <w:name w:val="Medium Grid 1 - Accent 22"/>
    <w:basedOn w:val="Normal"/>
    <w:uiPriority w:val="34"/>
    <w:qFormat/>
    <w:rsid w:val="00A6352B"/>
    <w:pPr>
      <w:ind w:left="0"/>
      <w:contextualSpacing/>
    </w:pPr>
    <w:rPr>
      <w:szCs w:val="20"/>
    </w:rPr>
  </w:style>
  <w:style w:type="paragraph" w:styleId="ListParagraph">
    <w:name w:val="List Paragraph"/>
    <w:basedOn w:val="Normal"/>
    <w:uiPriority w:val="34"/>
    <w:qFormat/>
    <w:rsid w:val="0035612D"/>
    <w:pPr>
      <w:numPr>
        <w:numId w:val="20"/>
      </w:numPr>
    </w:pPr>
    <w:rPr>
      <w:rFonts w:cs="Arial"/>
      <w:szCs w:val="20"/>
      <w:lang w:bidi="ar-SA"/>
    </w:rPr>
  </w:style>
  <w:style w:type="paragraph" w:styleId="NormalWeb">
    <w:name w:val="Normal (Web)"/>
    <w:basedOn w:val="Normal"/>
    <w:uiPriority w:val="99"/>
    <w:unhideWhenUsed/>
    <w:rsid w:val="0082069A"/>
    <w:pPr>
      <w:spacing w:before="100" w:beforeAutospacing="1" w:after="100" w:afterAutospacing="1"/>
      <w:ind w:left="0"/>
    </w:pPr>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0663CB"/>
    <w:pPr>
      <w:ind w:left="0"/>
    </w:pPr>
    <w:rPr>
      <w:rFonts w:ascii="Calibri" w:hAnsi="Calibri"/>
      <w:sz w:val="22"/>
      <w:lang w:bidi="ar-SA"/>
    </w:rPr>
  </w:style>
  <w:style w:type="character" w:customStyle="1" w:styleId="PlainTextChar">
    <w:name w:val="Plain Text Char"/>
    <w:link w:val="PlainText"/>
    <w:uiPriority w:val="99"/>
    <w:rsid w:val="000663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3302626">
      <w:bodyDiv w:val="1"/>
      <w:marLeft w:val="0"/>
      <w:marRight w:val="0"/>
      <w:marTop w:val="0"/>
      <w:marBottom w:val="0"/>
      <w:divBdr>
        <w:top w:val="none" w:sz="0" w:space="0" w:color="auto"/>
        <w:left w:val="none" w:sz="0" w:space="0" w:color="auto"/>
        <w:bottom w:val="none" w:sz="0" w:space="0" w:color="auto"/>
        <w:right w:val="none" w:sz="0" w:space="0" w:color="auto"/>
      </w:divBdr>
    </w:div>
    <w:div w:id="354042484">
      <w:bodyDiv w:val="1"/>
      <w:marLeft w:val="0"/>
      <w:marRight w:val="0"/>
      <w:marTop w:val="0"/>
      <w:marBottom w:val="0"/>
      <w:divBdr>
        <w:top w:val="none" w:sz="0" w:space="0" w:color="auto"/>
        <w:left w:val="none" w:sz="0" w:space="0" w:color="auto"/>
        <w:bottom w:val="none" w:sz="0" w:space="0" w:color="auto"/>
        <w:right w:val="none" w:sz="0" w:space="0" w:color="auto"/>
      </w:divBdr>
    </w:div>
    <w:div w:id="366030277">
      <w:bodyDiv w:val="1"/>
      <w:marLeft w:val="0"/>
      <w:marRight w:val="0"/>
      <w:marTop w:val="0"/>
      <w:marBottom w:val="0"/>
      <w:divBdr>
        <w:top w:val="none" w:sz="0" w:space="0" w:color="auto"/>
        <w:left w:val="none" w:sz="0" w:space="0" w:color="auto"/>
        <w:bottom w:val="none" w:sz="0" w:space="0" w:color="auto"/>
        <w:right w:val="none" w:sz="0" w:space="0" w:color="auto"/>
      </w:divBdr>
    </w:div>
    <w:div w:id="393284577">
      <w:bodyDiv w:val="1"/>
      <w:marLeft w:val="0"/>
      <w:marRight w:val="0"/>
      <w:marTop w:val="0"/>
      <w:marBottom w:val="0"/>
      <w:divBdr>
        <w:top w:val="none" w:sz="0" w:space="0" w:color="auto"/>
        <w:left w:val="none" w:sz="0" w:space="0" w:color="auto"/>
        <w:bottom w:val="none" w:sz="0" w:space="0" w:color="auto"/>
        <w:right w:val="none" w:sz="0" w:space="0" w:color="auto"/>
      </w:divBdr>
    </w:div>
    <w:div w:id="610209470">
      <w:bodyDiv w:val="1"/>
      <w:marLeft w:val="0"/>
      <w:marRight w:val="0"/>
      <w:marTop w:val="0"/>
      <w:marBottom w:val="0"/>
      <w:divBdr>
        <w:top w:val="none" w:sz="0" w:space="0" w:color="auto"/>
        <w:left w:val="none" w:sz="0" w:space="0" w:color="auto"/>
        <w:bottom w:val="none" w:sz="0" w:space="0" w:color="auto"/>
        <w:right w:val="none" w:sz="0" w:space="0" w:color="auto"/>
      </w:divBdr>
    </w:div>
    <w:div w:id="627395642">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83836423">
      <w:bodyDiv w:val="1"/>
      <w:marLeft w:val="0"/>
      <w:marRight w:val="0"/>
      <w:marTop w:val="0"/>
      <w:marBottom w:val="0"/>
      <w:divBdr>
        <w:top w:val="none" w:sz="0" w:space="0" w:color="auto"/>
        <w:left w:val="none" w:sz="0" w:space="0" w:color="auto"/>
        <w:bottom w:val="none" w:sz="0" w:space="0" w:color="auto"/>
        <w:right w:val="none" w:sz="0" w:space="0" w:color="auto"/>
      </w:divBdr>
    </w:div>
    <w:div w:id="1036394014">
      <w:bodyDiv w:val="1"/>
      <w:marLeft w:val="0"/>
      <w:marRight w:val="0"/>
      <w:marTop w:val="0"/>
      <w:marBottom w:val="0"/>
      <w:divBdr>
        <w:top w:val="none" w:sz="0" w:space="0" w:color="auto"/>
        <w:left w:val="none" w:sz="0" w:space="0" w:color="auto"/>
        <w:bottom w:val="none" w:sz="0" w:space="0" w:color="auto"/>
        <w:right w:val="none" w:sz="0" w:space="0" w:color="auto"/>
      </w:divBdr>
    </w:div>
    <w:div w:id="1095445803">
      <w:bodyDiv w:val="1"/>
      <w:marLeft w:val="0"/>
      <w:marRight w:val="0"/>
      <w:marTop w:val="0"/>
      <w:marBottom w:val="0"/>
      <w:divBdr>
        <w:top w:val="none" w:sz="0" w:space="0" w:color="auto"/>
        <w:left w:val="none" w:sz="0" w:space="0" w:color="auto"/>
        <w:bottom w:val="none" w:sz="0" w:space="0" w:color="auto"/>
        <w:right w:val="none" w:sz="0" w:space="0" w:color="auto"/>
      </w:divBdr>
    </w:div>
    <w:div w:id="1205412951">
      <w:bodyDiv w:val="1"/>
      <w:marLeft w:val="0"/>
      <w:marRight w:val="0"/>
      <w:marTop w:val="0"/>
      <w:marBottom w:val="0"/>
      <w:divBdr>
        <w:top w:val="none" w:sz="0" w:space="0" w:color="auto"/>
        <w:left w:val="none" w:sz="0" w:space="0" w:color="auto"/>
        <w:bottom w:val="none" w:sz="0" w:space="0" w:color="auto"/>
        <w:right w:val="none" w:sz="0" w:space="0" w:color="auto"/>
      </w:divBdr>
    </w:div>
    <w:div w:id="1309676462">
      <w:bodyDiv w:val="1"/>
      <w:marLeft w:val="0"/>
      <w:marRight w:val="0"/>
      <w:marTop w:val="0"/>
      <w:marBottom w:val="0"/>
      <w:divBdr>
        <w:top w:val="none" w:sz="0" w:space="0" w:color="auto"/>
        <w:left w:val="none" w:sz="0" w:space="0" w:color="auto"/>
        <w:bottom w:val="none" w:sz="0" w:space="0" w:color="auto"/>
        <w:right w:val="none" w:sz="0" w:space="0" w:color="auto"/>
      </w:divBdr>
    </w:div>
    <w:div w:id="1342121686">
      <w:bodyDiv w:val="1"/>
      <w:marLeft w:val="0"/>
      <w:marRight w:val="0"/>
      <w:marTop w:val="0"/>
      <w:marBottom w:val="0"/>
      <w:divBdr>
        <w:top w:val="none" w:sz="0" w:space="0" w:color="auto"/>
        <w:left w:val="none" w:sz="0" w:space="0" w:color="auto"/>
        <w:bottom w:val="none" w:sz="0" w:space="0" w:color="auto"/>
        <w:right w:val="none" w:sz="0" w:space="0" w:color="auto"/>
      </w:divBdr>
    </w:div>
    <w:div w:id="1348022903">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47701154">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111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benefitcomply.com/wp-content/uploads/2016/01/BenefitComplyEmployerReportingGuide_Dec2015_2.pdf" TargetMode="External"/><Relationship Id="rId10" Type="http://schemas.openxmlformats.org/officeDocument/2006/relationships/hyperlink" Target="http://benefitcomply.com/%E2%80%A2-compliance-alert-irs-extends-deadline-for-employer-aca-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649E-7DDF-CC42-83A4-1E7EC881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1165</Words>
  <Characters>6641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7791</CharactersWithSpaces>
  <SharedDoc>false</SharedDoc>
  <HLinks>
    <vt:vector size="12" baseType="variant">
      <vt:variant>
        <vt:i4>5832719</vt:i4>
      </vt:variant>
      <vt:variant>
        <vt:i4>3</vt:i4>
      </vt:variant>
      <vt:variant>
        <vt:i4>0</vt:i4>
      </vt:variant>
      <vt:variant>
        <vt:i4>5</vt:i4>
      </vt:variant>
      <vt:variant>
        <vt:lpwstr>http://www.cms.gov/CCIIO/Resources/Regulations-and-Guidance/Downloads/transition-to-compliant-policies-03-06-2015.pdf</vt:lpwstr>
      </vt:variant>
      <vt:variant>
        <vt:lpwstr/>
      </vt:variant>
      <vt:variant>
        <vt:i4>8192111</vt:i4>
      </vt:variant>
      <vt:variant>
        <vt:i4>0</vt:i4>
      </vt:variant>
      <vt:variant>
        <vt:i4>0</vt:i4>
      </vt:variant>
      <vt:variant>
        <vt:i4>5</vt:i4>
      </vt:variant>
      <vt:variant>
        <vt:lpwstr>http://www.cms.gov/CCIIO/Resources/Fact-Sheets-and-FAQs/Downloads/Final-Master-FAQs-5-16-14.pdf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3</cp:revision>
  <cp:lastPrinted>2014-10-13T14:26:00Z</cp:lastPrinted>
  <dcterms:created xsi:type="dcterms:W3CDTF">2016-01-22T21:36:00Z</dcterms:created>
  <dcterms:modified xsi:type="dcterms:W3CDTF">2016-01-22T21:37:00Z</dcterms:modified>
</cp:coreProperties>
</file>