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71F409" w14:textId="48223D2A" w:rsidR="001824D9" w:rsidRPr="00605355" w:rsidRDefault="00C843B5" w:rsidP="00DD1020">
      <w:pPr>
        <w:rPr>
          <w:b/>
          <w:szCs w:val="20"/>
        </w:rPr>
      </w:pPr>
      <w:r>
        <w:rPr>
          <w:b/>
          <w:noProof/>
          <w:sz w:val="28"/>
          <w:szCs w:val="28"/>
          <w:lang w:bidi="ar-SA"/>
        </w:rPr>
        <w:drawing>
          <wp:anchor distT="0" distB="0" distL="114300" distR="114300" simplePos="0" relativeHeight="251660288" behindDoc="1" locked="0" layoutInCell="1" allowOverlap="1" wp14:anchorId="2DC7B74D" wp14:editId="6F383B49">
            <wp:simplePos x="0" y="0"/>
            <wp:positionH relativeFrom="column">
              <wp:posOffset>-946785</wp:posOffset>
            </wp:positionH>
            <wp:positionV relativeFrom="paragraph">
              <wp:posOffset>-740410</wp:posOffset>
            </wp:positionV>
            <wp:extent cx="7823200" cy="802640"/>
            <wp:effectExtent l="0" t="0" r="0" b="10160"/>
            <wp:wrapNone/>
            <wp:docPr id="11" name="Picture 11" descr="Description: Description: header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escription: Description: header_pr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23200" cy="802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szCs w:val="28"/>
          <w:lang w:bidi="ar-SA"/>
        </w:rPr>
        <mc:AlternateContent>
          <mc:Choice Requires="wps">
            <w:drawing>
              <wp:anchor distT="0" distB="0" distL="114300" distR="114300" simplePos="0" relativeHeight="251659264" behindDoc="0" locked="0" layoutInCell="1" allowOverlap="1" wp14:anchorId="3EBAD70B" wp14:editId="1B4989CD">
                <wp:simplePos x="0" y="0"/>
                <wp:positionH relativeFrom="column">
                  <wp:posOffset>2099310</wp:posOffset>
                </wp:positionH>
                <wp:positionV relativeFrom="paragraph">
                  <wp:posOffset>-543008</wp:posOffset>
                </wp:positionV>
                <wp:extent cx="4724400" cy="605155"/>
                <wp:effectExtent l="0" t="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605155"/>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51437C0B" w14:textId="77777777" w:rsidR="00C843B5" w:rsidRPr="000B4DEA" w:rsidRDefault="00C843B5" w:rsidP="00C843B5">
                            <w:pPr>
                              <w:jc w:val="center"/>
                              <w:rPr>
                                <w:color w:val="FFFFFF"/>
                                <w:spacing w:val="40"/>
                                <w:sz w:val="44"/>
                                <w:szCs w:val="44"/>
                              </w:rPr>
                            </w:pPr>
                            <w:r>
                              <w:rPr>
                                <w:color w:val="FFFFFF"/>
                                <w:spacing w:val="40"/>
                                <w:sz w:val="44"/>
                                <w:szCs w:val="44"/>
                              </w:rPr>
                              <w:t>Issue Brief</w:t>
                            </w:r>
                          </w:p>
                          <w:p w14:paraId="24FA91E8" w14:textId="77777777" w:rsidR="00C843B5" w:rsidRPr="00D636DB" w:rsidRDefault="00C843B5" w:rsidP="00C843B5">
                            <w:pPr>
                              <w:jc w:val="center"/>
                              <w:rPr>
                                <w:color w:val="BFBFBF"/>
                                <w:sz w:val="72"/>
                                <w:szCs w:val="7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BAD70B" id="_x0000_t202" coordsize="21600,21600" o:spt="202" path="m0,0l0,21600,21600,21600,21600,0xe">
                <v:stroke joinstyle="miter"/>
                <v:path gradientshapeok="t" o:connecttype="rect"/>
              </v:shapetype>
              <v:shape id="Text_x0020_Box_x0020_10" o:spid="_x0000_s1026" type="#_x0000_t202" style="position:absolute;left:0;text-align:left;margin-left:165.3pt;margin-top:-42.7pt;width:372pt;height:4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" filled="f" stroked="f">
                <v:textbox>
                  <w:txbxContent>
                    <w:p w14:paraId="51437C0B" w14:textId="77777777" w:rsidR="00C843B5" w:rsidRPr="000B4DEA" w:rsidRDefault="00C843B5" w:rsidP="00C843B5">
                      <w:pPr>
                        <w:jc w:val="center"/>
                        <w:rPr>
                          <w:color w:val="FFFFFF"/>
                          <w:spacing w:val="40"/>
                          <w:sz w:val="44"/>
                          <w:szCs w:val="44"/>
                        </w:rPr>
                      </w:pPr>
                      <w:r>
                        <w:rPr>
                          <w:color w:val="FFFFFF"/>
                          <w:spacing w:val="40"/>
                          <w:sz w:val="44"/>
                          <w:szCs w:val="44"/>
                        </w:rPr>
                        <w:t>Issue Brief</w:t>
                      </w:r>
                    </w:p>
                    <w:p w14:paraId="24FA91E8" w14:textId="77777777" w:rsidR="00C843B5" w:rsidRPr="00D636DB" w:rsidRDefault="00C843B5" w:rsidP="00C843B5">
                      <w:pPr>
                        <w:jc w:val="center"/>
                        <w:rPr>
                          <w:color w:val="BFBFBF"/>
                          <w:sz w:val="72"/>
                          <w:szCs w:val="72"/>
                        </w:rPr>
                      </w:pPr>
                    </w:p>
                  </w:txbxContent>
                </v:textbox>
              </v:shape>
            </w:pict>
          </mc:Fallback>
        </mc:AlternateContent>
      </w:r>
    </w:p>
    <w:p w14:paraId="05ABD1DE" w14:textId="77777777" w:rsidR="00BA6FBA" w:rsidRDefault="00BA6FBA" w:rsidP="00BA6FBA">
      <w:pPr>
        <w:ind w:left="90"/>
        <w:rPr>
          <w:rFonts w:cs="Arial"/>
          <w:b/>
          <w:sz w:val="24"/>
          <w:szCs w:val="24"/>
        </w:rPr>
      </w:pPr>
    </w:p>
    <w:p w14:paraId="40B620E6" w14:textId="77777777" w:rsidR="002E2398" w:rsidRPr="002E2398" w:rsidRDefault="002E2398" w:rsidP="002E2398">
      <w:pPr>
        <w:ind w:left="0"/>
        <w:rPr>
          <w:b/>
          <w:sz w:val="28"/>
          <w:szCs w:val="28"/>
        </w:rPr>
      </w:pPr>
      <w:r w:rsidRPr="002E2398">
        <w:rPr>
          <w:b/>
          <w:sz w:val="28"/>
          <w:szCs w:val="28"/>
        </w:rPr>
        <w:t>IRS Releases Broad Range of Guidance in Notice 2015-87</w:t>
      </w:r>
    </w:p>
    <w:p w14:paraId="2618E362" w14:textId="77777777" w:rsidR="002E2398" w:rsidRDefault="002E2398" w:rsidP="002E2398">
      <w:pPr>
        <w:ind w:left="0"/>
      </w:pPr>
      <w:r>
        <w:t>Issue Date: January 2016</w:t>
      </w:r>
    </w:p>
    <w:p w14:paraId="526A82AF" w14:textId="77777777" w:rsidR="002E2398" w:rsidRDefault="002E2398" w:rsidP="002E2398">
      <w:pPr>
        <w:ind w:left="0"/>
      </w:pPr>
    </w:p>
    <w:p w14:paraId="23D7F98D" w14:textId="77777777" w:rsidR="002E2398" w:rsidRPr="002E2398" w:rsidRDefault="002E2398" w:rsidP="002E2398">
      <w:pPr>
        <w:ind w:left="0"/>
        <w:rPr>
          <w:b/>
        </w:rPr>
      </w:pPr>
      <w:r w:rsidRPr="002E2398">
        <w:rPr>
          <w:b/>
        </w:rPr>
        <w:t>Background</w:t>
      </w:r>
    </w:p>
    <w:p w14:paraId="2F8D4C9F" w14:textId="77777777" w:rsidR="002E2398" w:rsidRDefault="002E2398" w:rsidP="002E2398">
      <w:pPr>
        <w:ind w:left="0"/>
      </w:pPr>
    </w:p>
    <w:p w14:paraId="5AC144A7" w14:textId="7D63AEA6" w:rsidR="002E2398" w:rsidRDefault="002E2398" w:rsidP="002E2398">
      <w:pPr>
        <w:ind w:left="0"/>
      </w:pPr>
      <w:r>
        <w:t>To end 2015</w:t>
      </w:r>
      <w:r w:rsidR="00670D59">
        <w:t>,</w:t>
      </w:r>
      <w:r>
        <w:t xml:space="preserve"> the IRS released Notice 2015-87</w:t>
      </w:r>
      <w:r w:rsidR="00670D59">
        <w:t>,</w:t>
      </w:r>
      <w:r>
        <w:t xml:space="preserve"> which provides guidance on a broad range of employee benefits compliance issues. The guidance is provided in a question-and-answer format, with comments requested on several issues that </w:t>
      </w:r>
      <w:r w:rsidR="00670D59">
        <w:t xml:space="preserve">the </w:t>
      </w:r>
      <w:r>
        <w:t>IRS plans to address in forthcoming rules. The Notice supplements previous guidance on several issues, including Health Reimbursement Arrangements (HRAs) and Employer Payment Plans, providing additional clarification and, in some cases, transition relief or grace periods for compliance. It also builds upon existing regulations with respect to affordability; issues related to the employer shared responsibility provisions in Section 4980H and related reporting requirements; health flexible spending arrangements (health FSAs); health savings accounts (HSAs); and COBRA.</w:t>
      </w:r>
    </w:p>
    <w:p w14:paraId="4373B327" w14:textId="77777777" w:rsidR="002E2398" w:rsidRDefault="002E2398" w:rsidP="002E2398">
      <w:pPr>
        <w:ind w:left="0"/>
      </w:pPr>
    </w:p>
    <w:p w14:paraId="48ACBC01" w14:textId="77777777" w:rsidR="002E2398" w:rsidRPr="002E2398" w:rsidRDefault="002E2398" w:rsidP="002E2398">
      <w:pPr>
        <w:pStyle w:val="Heading2"/>
      </w:pPr>
      <w:r w:rsidRPr="002E2398">
        <w:t>Analysis</w:t>
      </w:r>
    </w:p>
    <w:p w14:paraId="25B54E3A" w14:textId="77777777" w:rsidR="002E2398" w:rsidRDefault="002E2398" w:rsidP="002E2398">
      <w:pPr>
        <w:ind w:left="0"/>
      </w:pPr>
    </w:p>
    <w:p w14:paraId="3786D512" w14:textId="77777777" w:rsidR="002E2398" w:rsidRPr="002E2398" w:rsidRDefault="002E2398" w:rsidP="002E2398">
      <w:pPr>
        <w:pStyle w:val="Heading3"/>
      </w:pPr>
      <w:r w:rsidRPr="002E2398">
        <w:t>HRA Guidance</w:t>
      </w:r>
    </w:p>
    <w:p w14:paraId="4AA8F0C0" w14:textId="77777777" w:rsidR="002E2398" w:rsidRDefault="002E2398" w:rsidP="002E2398">
      <w:pPr>
        <w:ind w:left="0"/>
      </w:pPr>
    </w:p>
    <w:p w14:paraId="4E28CE17" w14:textId="77777777" w:rsidR="002E2398" w:rsidRPr="002E2398" w:rsidRDefault="002E2398" w:rsidP="002E2398">
      <w:pPr>
        <w:pStyle w:val="Heading4"/>
      </w:pPr>
      <w:r w:rsidRPr="002E2398">
        <w:t>Retiree-only HRAs</w:t>
      </w:r>
    </w:p>
    <w:p w14:paraId="0C4ABF9F" w14:textId="79793E07" w:rsidR="002E2398" w:rsidRDefault="002E2398" w:rsidP="002E2398">
      <w:pPr>
        <w:ind w:left="0"/>
      </w:pPr>
      <w:r>
        <w:t xml:space="preserve">A retiree-only HRA is not subject to the market reforms under the Affordable Care Act (ACA) that generally apply to group health plans. This is true even if the HRA contains amounts credited during the time the retiree was a current employee covered by an HRA integrated with a group health plan. </w:t>
      </w:r>
      <w:r w:rsidR="00272E6D">
        <w:t xml:space="preserve"> Therefore, a retiree-only HRA may reimburse individual market premiums </w:t>
      </w:r>
      <w:r w:rsidR="003B6F20">
        <w:t>and is not required to be integrated with a group health plan to avoid</w:t>
      </w:r>
      <w:r w:rsidR="00272E6D">
        <w:t xml:space="preserve"> violating health care reform rules.</w:t>
      </w:r>
    </w:p>
    <w:p w14:paraId="2AA5FD7F" w14:textId="77777777" w:rsidR="002E2398" w:rsidRDefault="002E2398" w:rsidP="002E2398">
      <w:pPr>
        <w:ind w:left="0"/>
      </w:pPr>
    </w:p>
    <w:p w14:paraId="3CFAB699" w14:textId="743005A5" w:rsidR="002E2398" w:rsidRDefault="002E2398" w:rsidP="002E2398">
      <w:pPr>
        <w:ind w:left="0"/>
      </w:pPr>
      <w:r>
        <w:t xml:space="preserve">Note that this exception does not apply to HRAs that cover current employees. </w:t>
      </w:r>
      <w:r w:rsidR="00272E6D">
        <w:t xml:space="preserve">HRAs covering current employees </w:t>
      </w:r>
      <w:r>
        <w:t xml:space="preserve">that </w:t>
      </w:r>
      <w:r w:rsidR="003B6F20">
        <w:t xml:space="preserve">are not integrated with a group health plan or that </w:t>
      </w:r>
      <w:r>
        <w:t xml:space="preserve">provide reimbursement for individual market premiums </w:t>
      </w:r>
      <w:r w:rsidR="00272E6D">
        <w:t xml:space="preserve">will generally fail to comply with health care reform requirements </w:t>
      </w:r>
      <w:r w:rsidR="009C564F">
        <w:t>even if</w:t>
      </w:r>
      <w:r>
        <w:t xml:space="preserve"> an individual also maintains coverage under an integrated group health plan. </w:t>
      </w:r>
    </w:p>
    <w:p w14:paraId="793BCDAA" w14:textId="77777777" w:rsidR="002E2398" w:rsidRDefault="002E2398" w:rsidP="002E2398">
      <w:pPr>
        <w:ind w:left="0"/>
      </w:pPr>
    </w:p>
    <w:p w14:paraId="064DFAE8" w14:textId="77777777" w:rsidR="002E2398" w:rsidRDefault="002E2398" w:rsidP="000B58EC">
      <w:pPr>
        <w:pStyle w:val="Heading4"/>
      </w:pPr>
      <w:r>
        <w:t>HRAs integrated with self-only coverage</w:t>
      </w:r>
    </w:p>
    <w:p w14:paraId="7AC70D99" w14:textId="71558825" w:rsidR="00BE5507" w:rsidRDefault="002E2398" w:rsidP="00BE5507">
      <w:pPr>
        <w:ind w:left="0"/>
      </w:pPr>
      <w:r>
        <w:t>Finally, the guidance provides that an HRA integrated with self-only coverage cannot be used to reimburse expenses of a spouse or dependents. (Certain transition relief applies for plan years starting before January 1, 2017.)</w:t>
      </w:r>
      <w:r w:rsidR="00BE5507">
        <w:t xml:space="preserve"> </w:t>
      </w:r>
    </w:p>
    <w:p w14:paraId="7024C9C9" w14:textId="77777777" w:rsidR="002E2398" w:rsidRDefault="002E2398" w:rsidP="002E2398">
      <w:pPr>
        <w:ind w:left="0"/>
      </w:pPr>
    </w:p>
    <w:p w14:paraId="4E5E20D9" w14:textId="77777777" w:rsidR="002E2398" w:rsidRDefault="002E2398" w:rsidP="002E2398">
      <w:pPr>
        <w:pStyle w:val="Heading3"/>
      </w:pPr>
      <w:r>
        <w:t>Employer Pay</w:t>
      </w:r>
      <w:r w:rsidRPr="002E2398">
        <w:rPr>
          <w:rStyle w:val="Heading3Char"/>
        </w:rPr>
        <w:t>m</w:t>
      </w:r>
      <w:r>
        <w:t>ent Plans</w:t>
      </w:r>
    </w:p>
    <w:p w14:paraId="0C1F165A" w14:textId="77777777" w:rsidR="002E2398" w:rsidRDefault="002E2398" w:rsidP="002E2398">
      <w:pPr>
        <w:ind w:left="0"/>
      </w:pPr>
    </w:p>
    <w:p w14:paraId="7C36A0AC" w14:textId="41D0ECC9" w:rsidR="002E2398" w:rsidRDefault="002E2398" w:rsidP="002E2398">
      <w:pPr>
        <w:pStyle w:val="Heading4"/>
      </w:pPr>
      <w:r>
        <w:t xml:space="preserve">Reimbursement for individual market coverage </w:t>
      </w:r>
    </w:p>
    <w:p w14:paraId="72715908" w14:textId="19F9AA16" w:rsidR="002E2398" w:rsidRDefault="00BE5507" w:rsidP="002E2398">
      <w:pPr>
        <w:ind w:left="0"/>
      </w:pPr>
      <w:r>
        <w:t>R</w:t>
      </w:r>
      <w:r w:rsidR="002E2398">
        <w:t xml:space="preserve">eimbursement of individual health insurance premiums </w:t>
      </w:r>
      <w:r>
        <w:t xml:space="preserve"> </w:t>
      </w:r>
      <w:r w:rsidR="002E2398">
        <w:t xml:space="preserve">through a cafeteria (Section 125) plan, via salary reduction or employer contributions, </w:t>
      </w:r>
      <w:r w:rsidR="00711563">
        <w:t>or through an HRA</w:t>
      </w:r>
      <w:r w:rsidR="00670D59">
        <w:t>,</w:t>
      </w:r>
      <w:r w:rsidR="00711563">
        <w:t xml:space="preserve"> </w:t>
      </w:r>
      <w:r w:rsidR="002E2398">
        <w:t xml:space="preserve">is an employer payment plan that will fail to comply with the ACA </w:t>
      </w:r>
      <w:r w:rsidR="00711563">
        <w:t xml:space="preserve">health care </w:t>
      </w:r>
      <w:r w:rsidR="002E2398">
        <w:t>reform</w:t>
      </w:r>
      <w:r w:rsidR="00711563">
        <w:t xml:space="preserve"> requirement</w:t>
      </w:r>
      <w:r w:rsidR="002E2398">
        <w:t>s, and is therefore not allowed</w:t>
      </w:r>
      <w:r w:rsidR="00711563">
        <w:t xml:space="preserve"> unless the coverage consists solely of excepted benefits (e.g. stand-alone dental or vision coverage)</w:t>
      </w:r>
      <w:r w:rsidR="002E2398">
        <w:t>.</w:t>
      </w:r>
    </w:p>
    <w:p w14:paraId="7430BD86" w14:textId="77777777" w:rsidR="00BE5507" w:rsidRDefault="00BE5507" w:rsidP="002E2398">
      <w:pPr>
        <w:ind w:left="0"/>
      </w:pPr>
    </w:p>
    <w:p w14:paraId="1899519C" w14:textId="77777777" w:rsidR="00BE5507" w:rsidRDefault="00BE5507" w:rsidP="00BE5507">
      <w:pPr>
        <w:pStyle w:val="Heading3"/>
      </w:pPr>
      <w:r>
        <w:t>Affordability Safe Harbor Percentage</w:t>
      </w:r>
    </w:p>
    <w:p w14:paraId="4CDC8711" w14:textId="77777777" w:rsidR="00BE5507" w:rsidRDefault="00BE5507" w:rsidP="00BE5507">
      <w:pPr>
        <w:ind w:left="0"/>
      </w:pPr>
    </w:p>
    <w:p w14:paraId="43367643" w14:textId="7954E15C" w:rsidR="00BE5507" w:rsidRDefault="00BE5507" w:rsidP="00BE5507">
      <w:pPr>
        <w:ind w:left="0"/>
      </w:pPr>
      <w:r>
        <w:t xml:space="preserve">The IRS stated that it intends to issue amended regulations allowing the employer affordability safe harbor percentage (9.5%) to adjust in accordance with the affordability percentage used to determine subsidy eligibility  for individuals purchasing individual health insurance through a public exchange (i.e. 9.66% for 2016). </w:t>
      </w:r>
      <w:r w:rsidR="00711563">
        <w:t>It is expected that the guidance will allow</w:t>
      </w:r>
      <w:r>
        <w:t xml:space="preserve"> employers </w:t>
      </w:r>
      <w:r w:rsidR="00711563">
        <w:t xml:space="preserve">to </w:t>
      </w:r>
      <w:r>
        <w:t>use 9.56% for 2015 and 9.66% for 2016.</w:t>
      </w:r>
    </w:p>
    <w:p w14:paraId="0CE3C215" w14:textId="77777777" w:rsidR="00BE5507" w:rsidRDefault="00BE5507" w:rsidP="002E2398">
      <w:pPr>
        <w:ind w:left="0"/>
      </w:pPr>
    </w:p>
    <w:p w14:paraId="01716A5E" w14:textId="77777777" w:rsidR="002E2398" w:rsidRDefault="002E2398" w:rsidP="002E2398">
      <w:pPr>
        <w:ind w:left="0"/>
      </w:pPr>
    </w:p>
    <w:p w14:paraId="46B677BB" w14:textId="77777777" w:rsidR="004013AF" w:rsidRDefault="004013AF" w:rsidP="002E2398">
      <w:pPr>
        <w:pStyle w:val="Heading3"/>
      </w:pPr>
    </w:p>
    <w:p w14:paraId="770A3F55" w14:textId="42845B05" w:rsidR="002E2398" w:rsidRDefault="00BE5507" w:rsidP="002E2398">
      <w:pPr>
        <w:pStyle w:val="Heading3"/>
      </w:pPr>
      <w:r>
        <w:lastRenderedPageBreak/>
        <w:t xml:space="preserve">Other </w:t>
      </w:r>
      <w:r w:rsidR="002E2398">
        <w:t>Affordability of Employer-Sponsored Health Coverage</w:t>
      </w:r>
      <w:r>
        <w:t xml:space="preserve"> Issues</w:t>
      </w:r>
    </w:p>
    <w:p w14:paraId="5F2CA002" w14:textId="77777777" w:rsidR="002E2398" w:rsidRDefault="002E2398" w:rsidP="002E2398">
      <w:pPr>
        <w:ind w:left="0"/>
      </w:pPr>
    </w:p>
    <w:p w14:paraId="4E0342F8" w14:textId="77777777" w:rsidR="002E2398" w:rsidRDefault="002E2398" w:rsidP="002E2398">
      <w:pPr>
        <w:pStyle w:val="Heading4"/>
      </w:pPr>
      <w:r>
        <w:t>HRA contributions</w:t>
      </w:r>
    </w:p>
    <w:p w14:paraId="4F7B26F8" w14:textId="1AE8520C" w:rsidR="002E2398" w:rsidRDefault="002E2398" w:rsidP="002E2398">
      <w:pPr>
        <w:ind w:left="0"/>
      </w:pPr>
      <w:r>
        <w:t>Amounts made available for the current plan year under an integrated HRA that an employee may use to pay premiums for an eligible employer-sponsored plan are counted as an employer contribution and thus reduce the dollar amount of the employee’s required contribution to determine a plan</w:t>
      </w:r>
      <w:r w:rsidR="002B1389">
        <w:t>’</w:t>
      </w:r>
      <w:r>
        <w:t>s affordability.</w:t>
      </w:r>
    </w:p>
    <w:p w14:paraId="4292DAC6" w14:textId="77777777" w:rsidR="002E2398" w:rsidRDefault="002E2398" w:rsidP="002E2398">
      <w:pPr>
        <w:ind w:left="0"/>
      </w:pPr>
    </w:p>
    <w:p w14:paraId="16DFC03D" w14:textId="248FD8BB" w:rsidR="002E2398" w:rsidRDefault="002E2398" w:rsidP="002E2398">
      <w:pPr>
        <w:pStyle w:val="Heading4"/>
      </w:pPr>
      <w:r>
        <w:t xml:space="preserve">Health-flex contributions to </w:t>
      </w:r>
      <w:r w:rsidR="00BE5507">
        <w:t>C</w:t>
      </w:r>
      <w:r w:rsidR="002B1389">
        <w:t>afeteria (</w:t>
      </w:r>
      <w:r>
        <w:t>Section 125</w:t>
      </w:r>
      <w:r w:rsidR="002B1389">
        <w:t>)</w:t>
      </w:r>
      <w:r>
        <w:t xml:space="preserve"> plans</w:t>
      </w:r>
    </w:p>
    <w:p w14:paraId="18380533" w14:textId="4367BE3C" w:rsidR="002E2398" w:rsidRPr="002E2398" w:rsidRDefault="002E2398" w:rsidP="002E2398">
      <w:pPr>
        <w:ind w:left="0"/>
        <w:rPr>
          <w:rFonts w:cs="Arial"/>
          <w:szCs w:val="20"/>
        </w:rPr>
      </w:pPr>
      <w:r w:rsidRPr="002E2398">
        <w:rPr>
          <w:rFonts w:cs="Arial"/>
          <w:szCs w:val="20"/>
        </w:rPr>
        <w:t xml:space="preserve">Employer contributions that are limited to health expenses (“health flex contributions”) under a </w:t>
      </w:r>
      <w:r w:rsidR="002B1389">
        <w:rPr>
          <w:rFonts w:cs="Arial"/>
          <w:szCs w:val="20"/>
        </w:rPr>
        <w:t>cafeteria (</w:t>
      </w:r>
      <w:r w:rsidRPr="002E2398">
        <w:rPr>
          <w:rFonts w:cs="Arial"/>
          <w:szCs w:val="20"/>
        </w:rPr>
        <w:t>Section 125 plan</w:t>
      </w:r>
      <w:r w:rsidR="002B1389">
        <w:rPr>
          <w:rFonts w:cs="Arial"/>
          <w:szCs w:val="20"/>
        </w:rPr>
        <w:t>)</w:t>
      </w:r>
      <w:r w:rsidRPr="002E2398">
        <w:rPr>
          <w:rFonts w:cs="Arial"/>
          <w:szCs w:val="20"/>
        </w:rPr>
        <w:t xml:space="preserve"> will also reduce the dollar amount of an employee’s contribution. In order for an amount to be considered a health flex contribution, the employee: </w:t>
      </w:r>
    </w:p>
    <w:p w14:paraId="382C215C" w14:textId="0C357596" w:rsidR="002E2398" w:rsidRPr="002E2398" w:rsidRDefault="002E2398" w:rsidP="002E2398">
      <w:pPr>
        <w:pStyle w:val="ListParagraph"/>
        <w:numPr>
          <w:ilvl w:val="0"/>
          <w:numId w:val="37"/>
        </w:numPr>
        <w:rPr>
          <w:rFonts w:ascii="Arial" w:hAnsi="Arial" w:cs="Arial"/>
          <w:sz w:val="20"/>
          <w:szCs w:val="20"/>
        </w:rPr>
      </w:pPr>
      <w:r w:rsidRPr="002E2398">
        <w:rPr>
          <w:rFonts w:ascii="Arial" w:hAnsi="Arial" w:cs="Arial"/>
          <w:sz w:val="20"/>
          <w:szCs w:val="20"/>
        </w:rPr>
        <w:t xml:space="preserve">May not opt to receive the amount as a taxable benefit; </w:t>
      </w:r>
    </w:p>
    <w:p w14:paraId="1008AA3B" w14:textId="4E089A17" w:rsidR="002E2398" w:rsidRPr="002E2398" w:rsidRDefault="002E2398" w:rsidP="002E2398">
      <w:pPr>
        <w:pStyle w:val="ListParagraph"/>
        <w:numPr>
          <w:ilvl w:val="0"/>
          <w:numId w:val="37"/>
        </w:numPr>
        <w:rPr>
          <w:rFonts w:ascii="Arial" w:hAnsi="Arial" w:cs="Arial"/>
          <w:sz w:val="20"/>
          <w:szCs w:val="20"/>
        </w:rPr>
      </w:pPr>
      <w:r w:rsidRPr="002E2398">
        <w:rPr>
          <w:rFonts w:ascii="Arial" w:hAnsi="Arial" w:cs="Arial"/>
          <w:sz w:val="20"/>
          <w:szCs w:val="20"/>
        </w:rPr>
        <w:t>May use the amount to pay for minimum essential coverage (MEC); and</w:t>
      </w:r>
    </w:p>
    <w:p w14:paraId="37774AD0" w14:textId="1B8A1329" w:rsidR="002E2398" w:rsidRPr="002E2398" w:rsidRDefault="002E2398" w:rsidP="002E2398">
      <w:pPr>
        <w:pStyle w:val="ListParagraph"/>
        <w:numPr>
          <w:ilvl w:val="0"/>
          <w:numId w:val="37"/>
        </w:numPr>
        <w:rPr>
          <w:rFonts w:ascii="Arial" w:hAnsi="Arial" w:cs="Arial"/>
          <w:sz w:val="20"/>
          <w:szCs w:val="20"/>
        </w:rPr>
      </w:pPr>
      <w:r w:rsidRPr="002E2398">
        <w:rPr>
          <w:rFonts w:ascii="Arial" w:hAnsi="Arial" w:cs="Arial"/>
          <w:sz w:val="20"/>
          <w:szCs w:val="20"/>
        </w:rPr>
        <w:t xml:space="preserve">May use the amount </w:t>
      </w:r>
      <w:r w:rsidR="00670D59">
        <w:rPr>
          <w:rFonts w:ascii="Arial" w:hAnsi="Arial" w:cs="Arial"/>
          <w:sz w:val="20"/>
          <w:szCs w:val="20"/>
        </w:rPr>
        <w:t xml:space="preserve">only </w:t>
      </w:r>
      <w:r w:rsidRPr="002E2398">
        <w:rPr>
          <w:rFonts w:ascii="Arial" w:hAnsi="Arial" w:cs="Arial"/>
          <w:sz w:val="20"/>
          <w:szCs w:val="20"/>
        </w:rPr>
        <w:t>to pay for medical care, within the meaning of Section 213.</w:t>
      </w:r>
    </w:p>
    <w:p w14:paraId="767DDBEF" w14:textId="77777777" w:rsidR="002E2398" w:rsidRPr="002E2398" w:rsidRDefault="002E2398" w:rsidP="002E2398">
      <w:pPr>
        <w:ind w:left="0"/>
        <w:rPr>
          <w:rFonts w:cs="Arial"/>
          <w:szCs w:val="20"/>
        </w:rPr>
      </w:pPr>
    </w:p>
    <w:p w14:paraId="556B5FE0" w14:textId="77777777" w:rsidR="002E2398" w:rsidRPr="002E2398" w:rsidRDefault="002E2398" w:rsidP="002E2398">
      <w:pPr>
        <w:pStyle w:val="Heading4"/>
      </w:pPr>
      <w:r w:rsidRPr="002E2398">
        <w:t>Transition relief for non-health flex contributions</w:t>
      </w:r>
    </w:p>
    <w:p w14:paraId="18B72976" w14:textId="1B0DD7F3" w:rsidR="002E2398" w:rsidRDefault="002E2398" w:rsidP="002E2398">
      <w:pPr>
        <w:ind w:left="0"/>
      </w:pPr>
      <w:r>
        <w:t>For purposes of Section 4980H(b) penalties for plan years beginning before Jan 1, 2017, employer flex contributions (even those that do not meet the definition of a health flex contribution) will be treated as reducing the amount of an employee’s required contribution. However, this relief is not available with respect to a non-health flex contribution arrangement that is adopted after December 16, 2015 or that substantially increases the amount of the flex contribution after December 16, 2015.</w:t>
      </w:r>
    </w:p>
    <w:p w14:paraId="45BE5D39" w14:textId="77777777" w:rsidR="002E2398" w:rsidRDefault="002E2398" w:rsidP="002E2398">
      <w:pPr>
        <w:ind w:left="0"/>
      </w:pPr>
    </w:p>
    <w:p w14:paraId="330B26E1" w14:textId="77777777" w:rsidR="002E2398" w:rsidRDefault="002E2398" w:rsidP="00BE5507">
      <w:pPr>
        <w:pStyle w:val="Heading4"/>
      </w:pPr>
      <w:r>
        <w:t>Opt-out payments</w:t>
      </w:r>
    </w:p>
    <w:p w14:paraId="0B34DB88" w14:textId="40039528" w:rsidR="002E2398" w:rsidRDefault="002E2398" w:rsidP="002E2398">
      <w:pPr>
        <w:ind w:left="0"/>
      </w:pPr>
      <w:r>
        <w:t>The IRS plans to issue rules specifying that unconditional opt-out payments will need to be considered for purposes of affordability. As a result of these rules</w:t>
      </w:r>
      <w:r w:rsidR="00670D59">
        <w:t>,</w:t>
      </w:r>
      <w:r>
        <w:t xml:space="preserve"> employers will need to include the value of an unconditional opt-out incentive when determining </w:t>
      </w:r>
      <w:r w:rsidR="00670D59">
        <w:t>whether</w:t>
      </w:r>
      <w:r>
        <w:t xml:space="preserve"> a plan is affordable (as defined by the ACA) </w:t>
      </w:r>
      <w:r w:rsidR="00670D59">
        <w:t>for</w:t>
      </w:r>
      <w:r>
        <w:t xml:space="preserve"> the employee.</w:t>
      </w:r>
    </w:p>
    <w:p w14:paraId="05D69D4B" w14:textId="77777777" w:rsidR="002E2398" w:rsidRPr="00BE5507" w:rsidRDefault="002E2398" w:rsidP="00BE5507">
      <w:pPr>
        <w:pStyle w:val="Heading4"/>
      </w:pPr>
    </w:p>
    <w:p w14:paraId="155CF228" w14:textId="2A3A99CF" w:rsidR="002E2398" w:rsidRDefault="002E2398" w:rsidP="002E2398">
      <w:pPr>
        <w:ind w:left="0"/>
      </w:pPr>
      <w:r>
        <w:t xml:space="preserve">These regulations will also request comments on opt-outs that place conditions (such as proof of other group health coverage) upon their receipt, and </w:t>
      </w:r>
      <w:r w:rsidR="00670D59">
        <w:t xml:space="preserve">on </w:t>
      </w:r>
      <w:r>
        <w:t xml:space="preserve">whether such conditional opt-outs should also be considered for affordability purposes. </w:t>
      </w:r>
    </w:p>
    <w:p w14:paraId="29C2ACF1" w14:textId="77777777" w:rsidR="002E2398" w:rsidRDefault="002E2398" w:rsidP="002E2398">
      <w:pPr>
        <w:ind w:left="0"/>
      </w:pPr>
    </w:p>
    <w:p w14:paraId="2C716D2C" w14:textId="77777777" w:rsidR="002E2398" w:rsidRDefault="002E2398" w:rsidP="002E2398">
      <w:pPr>
        <w:ind w:left="0"/>
      </w:pPr>
      <w:r>
        <w:t>Before these regulations take effect, the guidance clarifies that, as long as an opt-out arrangement is not adopted after December 16, 2015, employers are not required to increase the amount of an employee’s required contribution by the amount of an opt-out payment (but individuals may treat it as increasing their contributions for purposes of determining eligibility for premium tax credits and compliance with the individual mandate).</w:t>
      </w:r>
    </w:p>
    <w:p w14:paraId="1675FFBD" w14:textId="77777777" w:rsidR="002E2398" w:rsidRDefault="002E2398" w:rsidP="002E2398">
      <w:pPr>
        <w:ind w:left="0"/>
      </w:pPr>
    </w:p>
    <w:p w14:paraId="47E0A577" w14:textId="647E0728" w:rsidR="002E2398" w:rsidRDefault="002E2398" w:rsidP="00BE5507">
      <w:pPr>
        <w:pStyle w:val="Heading4"/>
      </w:pPr>
      <w:r>
        <w:t xml:space="preserve">Fringe </w:t>
      </w:r>
      <w:r w:rsidR="00670D59">
        <w:t>b</w:t>
      </w:r>
      <w:r>
        <w:t>enefits offered under the SCA or DBRA</w:t>
      </w:r>
    </w:p>
    <w:p w14:paraId="66BAEBB6" w14:textId="51E56B63" w:rsidR="002E2398" w:rsidRDefault="002E2398" w:rsidP="002E2398">
      <w:pPr>
        <w:ind w:left="0"/>
      </w:pPr>
      <w:r>
        <w:t xml:space="preserve">Generally, employer contributions made for health coverage as a fringe benefit under the McNamara-O’Hara Service Contract Act (“SCA”), the Davis-Bacon Act, or the Davis Bacon Related Acts (collectively with the Davis-Bacon Act, the “DBRA”) are not considered employer contributions and therefore do not reduce the amount of the employee contribution for purposes of eligibility for premium tax subsidies or compliance with the individual mandate. However, </w:t>
      </w:r>
      <w:r w:rsidR="00847348">
        <w:t xml:space="preserve">as the Treasury and </w:t>
      </w:r>
      <w:r w:rsidR="00670D59">
        <w:t xml:space="preserve">the </w:t>
      </w:r>
      <w:r w:rsidR="00847348">
        <w:t xml:space="preserve">IRS continue to consider how the requirements of the SCA, the DBRA, and § 4980H requirements may be coordinated, until the applicability date of any further guidance (at least for plan years beginning before January 1, 2017), </w:t>
      </w:r>
      <w:r>
        <w:t xml:space="preserve">employers may treat contributions toward fringe benefits that may be used to cover MEC as reducing the employee’s contribution, but only to the extent </w:t>
      </w:r>
      <w:r w:rsidR="00670D59">
        <w:t xml:space="preserve">that </w:t>
      </w:r>
      <w:r>
        <w:t xml:space="preserve">the amount of the payment does not exceed the amount required to satisfy the requirement to provide fringe benefit payments under the SCA or DBA. </w:t>
      </w:r>
    </w:p>
    <w:p w14:paraId="6731C593" w14:textId="77777777" w:rsidR="00BE5507" w:rsidRDefault="00BE5507" w:rsidP="002E2398">
      <w:pPr>
        <w:ind w:left="0"/>
      </w:pPr>
    </w:p>
    <w:p w14:paraId="7FE9D993" w14:textId="77777777" w:rsidR="00794ECB" w:rsidRDefault="00794ECB" w:rsidP="002E2398">
      <w:pPr>
        <w:ind w:left="0"/>
        <w:rPr>
          <w:i/>
        </w:rPr>
      </w:pPr>
    </w:p>
    <w:p w14:paraId="494CEB97" w14:textId="77777777" w:rsidR="00794ECB" w:rsidRDefault="00794ECB" w:rsidP="002E2398">
      <w:pPr>
        <w:ind w:left="0"/>
        <w:rPr>
          <w:i/>
        </w:rPr>
      </w:pPr>
    </w:p>
    <w:p w14:paraId="26F6DE31" w14:textId="77777777" w:rsidR="00794ECB" w:rsidRDefault="00794ECB" w:rsidP="002E2398">
      <w:pPr>
        <w:ind w:left="0"/>
        <w:rPr>
          <w:i/>
        </w:rPr>
      </w:pPr>
    </w:p>
    <w:p w14:paraId="67B6CB93" w14:textId="77777777" w:rsidR="00794ECB" w:rsidRDefault="00794ECB" w:rsidP="002E2398">
      <w:pPr>
        <w:ind w:left="0"/>
        <w:rPr>
          <w:i/>
        </w:rPr>
      </w:pPr>
    </w:p>
    <w:p w14:paraId="6AACB512" w14:textId="77777777" w:rsidR="00794ECB" w:rsidRDefault="00794ECB" w:rsidP="002E2398">
      <w:pPr>
        <w:ind w:left="0"/>
        <w:rPr>
          <w:i/>
        </w:rPr>
      </w:pPr>
    </w:p>
    <w:p w14:paraId="7B757A55" w14:textId="617CEA26" w:rsidR="00BE5507" w:rsidRPr="00BE5507" w:rsidRDefault="00BE5507" w:rsidP="002E2398">
      <w:pPr>
        <w:ind w:left="0"/>
        <w:rPr>
          <w:i/>
        </w:rPr>
      </w:pPr>
      <w:r w:rsidRPr="00BE5507">
        <w:rPr>
          <w:i/>
        </w:rPr>
        <w:lastRenderedPageBreak/>
        <w:t xml:space="preserve">Transition </w:t>
      </w:r>
      <w:r w:rsidR="00670D59">
        <w:rPr>
          <w:i/>
        </w:rPr>
        <w:t>r</w:t>
      </w:r>
      <w:r w:rsidRPr="00BE5507">
        <w:rPr>
          <w:i/>
        </w:rPr>
        <w:t xml:space="preserve">elief for </w:t>
      </w:r>
      <w:r w:rsidR="00670D59">
        <w:rPr>
          <w:i/>
        </w:rPr>
        <w:t>e</w:t>
      </w:r>
      <w:r w:rsidRPr="00BE5507">
        <w:rPr>
          <w:i/>
        </w:rPr>
        <w:t xml:space="preserve">mployer </w:t>
      </w:r>
      <w:r w:rsidR="00670D59">
        <w:rPr>
          <w:i/>
        </w:rPr>
        <w:t>r</w:t>
      </w:r>
      <w:r w:rsidRPr="00BE5507">
        <w:rPr>
          <w:i/>
        </w:rPr>
        <w:t>eporting</w:t>
      </w:r>
    </w:p>
    <w:p w14:paraId="32C25ED5" w14:textId="102FACBE" w:rsidR="00BE5507" w:rsidRDefault="00BE5507" w:rsidP="00BE5507">
      <w:pPr>
        <w:pStyle w:val="CommentText"/>
        <w:ind w:left="0"/>
        <w:rPr>
          <w:lang w:val="en-US"/>
        </w:rPr>
      </w:pPr>
      <w:r>
        <w:t>Employers may report by reducing the amount of the employee contribution</w:t>
      </w:r>
      <w:r>
        <w:rPr>
          <w:lang w:val="en-US"/>
        </w:rPr>
        <w:t xml:space="preserve"> in accordance with the transition relief</w:t>
      </w:r>
      <w:r>
        <w:t xml:space="preserve"> as set forth </w:t>
      </w:r>
      <w:r>
        <w:rPr>
          <w:lang w:val="en-US"/>
        </w:rPr>
        <w:t>above</w:t>
      </w:r>
      <w:r>
        <w:t>, but employers are encouraged not to do so as this may affect whether or not an employee is eligible for a subsidy</w:t>
      </w:r>
      <w:r>
        <w:rPr>
          <w:lang w:val="en-US"/>
        </w:rPr>
        <w:t xml:space="preserve"> when enrolling through a public Exchange</w:t>
      </w:r>
      <w:r>
        <w:t xml:space="preserve">. Rather, the IRS would prefer that employers report on Line 15 </w:t>
      </w:r>
      <w:r>
        <w:rPr>
          <w:lang w:val="en-US"/>
        </w:rPr>
        <w:t xml:space="preserve">of Form 1095-C </w:t>
      </w:r>
      <w:r>
        <w:t xml:space="preserve">accurately (not according to </w:t>
      </w:r>
      <w:r>
        <w:rPr>
          <w:lang w:val="en-US"/>
        </w:rPr>
        <w:t>the transition</w:t>
      </w:r>
      <w:r>
        <w:t xml:space="preserve"> relief)</w:t>
      </w:r>
      <w:r w:rsidR="00670D59">
        <w:rPr>
          <w:lang w:val="en-US"/>
        </w:rPr>
        <w:t>,</w:t>
      </w:r>
      <w:r>
        <w:t xml:space="preserve"> and then reconciliation would be allowed and potential penalties forgiven if applicable</w:t>
      </w:r>
      <w:r>
        <w:rPr>
          <w:lang w:val="en-US"/>
        </w:rPr>
        <w:t>.</w:t>
      </w:r>
    </w:p>
    <w:p w14:paraId="65BCE752" w14:textId="77777777" w:rsidR="00BE5507" w:rsidRDefault="00BE5507" w:rsidP="00BE5507">
      <w:pPr>
        <w:pStyle w:val="CommentText"/>
        <w:rPr>
          <w:lang w:val="en-US"/>
        </w:rPr>
      </w:pPr>
    </w:p>
    <w:p w14:paraId="1B031BBE" w14:textId="77777777" w:rsidR="00BE5507" w:rsidRPr="00847348" w:rsidRDefault="00BE5507" w:rsidP="00BE5507">
      <w:pPr>
        <w:pStyle w:val="CommentText"/>
        <w:ind w:left="0"/>
        <w:rPr>
          <w:lang w:val="en-US"/>
        </w:rPr>
      </w:pPr>
      <w:r>
        <w:rPr>
          <w:lang w:val="en-US"/>
        </w:rPr>
        <w:t xml:space="preserve">However, for </w:t>
      </w:r>
      <w:r>
        <w:t xml:space="preserve">employers using the reporting relief provided for non-health flex credits, opt-out incentives, and fringe benefits, </w:t>
      </w:r>
      <w:r>
        <w:rPr>
          <w:lang w:val="en-US"/>
        </w:rPr>
        <w:t>the guidance encourages employers</w:t>
      </w:r>
      <w:r>
        <w:t xml:space="preserve"> to notify employees that they may obtain accurate information about their required contribution by contacting the employer.</w:t>
      </w:r>
    </w:p>
    <w:p w14:paraId="7259B1E4" w14:textId="77777777" w:rsidR="00BE5507" w:rsidRDefault="00BE5507" w:rsidP="002E2398">
      <w:pPr>
        <w:ind w:left="0"/>
      </w:pPr>
    </w:p>
    <w:p w14:paraId="1347E084" w14:textId="77777777" w:rsidR="002E2398" w:rsidRDefault="002E2398" w:rsidP="002E2398">
      <w:pPr>
        <w:pStyle w:val="Heading3"/>
      </w:pPr>
      <w:r>
        <w:t>Employer Shared Responsibility (Section 4980</w:t>
      </w:r>
      <w:r w:rsidRPr="002E2398">
        <w:rPr>
          <w:rStyle w:val="Heading3Char"/>
        </w:rPr>
        <w:t>H</w:t>
      </w:r>
      <w:r>
        <w:t>) Provisions</w:t>
      </w:r>
    </w:p>
    <w:p w14:paraId="477CD37D" w14:textId="77777777" w:rsidR="002E2398" w:rsidRDefault="002E2398" w:rsidP="002E2398">
      <w:pPr>
        <w:ind w:left="0"/>
      </w:pPr>
    </w:p>
    <w:p w14:paraId="12A94F8B" w14:textId="045D31FD" w:rsidR="002E2398" w:rsidRDefault="002E2398" w:rsidP="002E2398">
      <w:pPr>
        <w:pStyle w:val="Heading4"/>
      </w:pPr>
      <w:r>
        <w:t>Shared responsibility assessable payments</w:t>
      </w:r>
    </w:p>
    <w:p w14:paraId="6D1C3F41" w14:textId="77777777" w:rsidR="002E2398" w:rsidRDefault="002E2398" w:rsidP="002E2398">
      <w:pPr>
        <w:ind w:left="0"/>
      </w:pPr>
      <w:r>
        <w:t xml:space="preserve">The guidance confirms that the potential shared responsibility assessable payments under Section 4980H(a) and 4980H(b), respectively, are: </w:t>
      </w:r>
    </w:p>
    <w:p w14:paraId="55842DD5" w14:textId="5DA06003" w:rsidR="002E2398" w:rsidRPr="002E2398" w:rsidRDefault="002E2398" w:rsidP="002E2398">
      <w:pPr>
        <w:pStyle w:val="ListParagraph"/>
        <w:numPr>
          <w:ilvl w:val="0"/>
          <w:numId w:val="39"/>
        </w:numPr>
        <w:rPr>
          <w:rFonts w:ascii="Arial" w:hAnsi="Arial" w:cs="Arial"/>
          <w:sz w:val="20"/>
          <w:szCs w:val="20"/>
        </w:rPr>
      </w:pPr>
      <w:r w:rsidRPr="002E2398">
        <w:rPr>
          <w:rFonts w:ascii="Arial" w:hAnsi="Arial" w:cs="Arial"/>
          <w:sz w:val="20"/>
          <w:szCs w:val="20"/>
        </w:rPr>
        <w:t>$2,080 ($173.33/month) and $3,</w:t>
      </w:r>
      <w:r w:rsidR="00BA295A">
        <w:rPr>
          <w:rFonts w:ascii="Arial" w:hAnsi="Arial" w:cs="Arial"/>
          <w:sz w:val="20"/>
          <w:szCs w:val="20"/>
        </w:rPr>
        <w:t>120</w:t>
      </w:r>
      <w:r w:rsidR="00BA295A" w:rsidRPr="002E2398">
        <w:rPr>
          <w:rFonts w:ascii="Arial" w:hAnsi="Arial" w:cs="Arial"/>
          <w:sz w:val="20"/>
          <w:szCs w:val="20"/>
        </w:rPr>
        <w:t xml:space="preserve"> </w:t>
      </w:r>
      <w:r w:rsidRPr="002E2398">
        <w:rPr>
          <w:rFonts w:ascii="Arial" w:hAnsi="Arial" w:cs="Arial"/>
          <w:sz w:val="20"/>
          <w:szCs w:val="20"/>
        </w:rPr>
        <w:t>($260/month) for 2015</w:t>
      </w:r>
    </w:p>
    <w:p w14:paraId="4ADF2590" w14:textId="4085FA89" w:rsidR="002E2398" w:rsidRPr="002E2398" w:rsidRDefault="002E2398" w:rsidP="002E2398">
      <w:pPr>
        <w:pStyle w:val="ListParagraph"/>
        <w:numPr>
          <w:ilvl w:val="0"/>
          <w:numId w:val="39"/>
        </w:numPr>
        <w:rPr>
          <w:rFonts w:ascii="Arial" w:hAnsi="Arial" w:cs="Arial"/>
          <w:sz w:val="20"/>
          <w:szCs w:val="20"/>
        </w:rPr>
      </w:pPr>
      <w:r w:rsidRPr="002E2398">
        <w:rPr>
          <w:rFonts w:ascii="Arial" w:hAnsi="Arial" w:cs="Arial"/>
          <w:sz w:val="20"/>
          <w:szCs w:val="20"/>
        </w:rPr>
        <w:t>$2,160 ($180/month) and $3,240 ($270/month) for 2016</w:t>
      </w:r>
    </w:p>
    <w:p w14:paraId="6DB0CF57" w14:textId="77777777" w:rsidR="002E2398" w:rsidRDefault="002E2398" w:rsidP="002E2398">
      <w:pPr>
        <w:ind w:left="0"/>
      </w:pPr>
    </w:p>
    <w:p w14:paraId="330F2821" w14:textId="1002AEF2" w:rsidR="002E2398" w:rsidRDefault="002E2398" w:rsidP="002E2398">
      <w:pPr>
        <w:pStyle w:val="Heading4"/>
      </w:pPr>
      <w:r>
        <w:t xml:space="preserve">Hours of </w:t>
      </w:r>
      <w:r w:rsidR="00670D59">
        <w:t>s</w:t>
      </w:r>
      <w:r>
        <w:t>ervice</w:t>
      </w:r>
    </w:p>
    <w:p w14:paraId="3239D473" w14:textId="504B1987" w:rsidR="002E2398" w:rsidRDefault="002E2398" w:rsidP="002E2398">
      <w:pPr>
        <w:ind w:left="0"/>
      </w:pPr>
      <w:r>
        <w:t xml:space="preserve">Clarification is provided with respect to counting hours of service for </w:t>
      </w:r>
      <w:r w:rsidR="00BA295A">
        <w:t xml:space="preserve">a </w:t>
      </w:r>
      <w:r>
        <w:t xml:space="preserve">leave of absence. Specifically, the guidance provides: </w:t>
      </w:r>
    </w:p>
    <w:p w14:paraId="6F981591" w14:textId="77777777" w:rsidR="002E2398" w:rsidRDefault="002E2398" w:rsidP="002E2398">
      <w:pPr>
        <w:ind w:left="0"/>
      </w:pPr>
    </w:p>
    <w:p w14:paraId="38805B0E" w14:textId="14403A92" w:rsidR="002E2398" w:rsidRPr="002E2398" w:rsidRDefault="002E2398" w:rsidP="00EA3763">
      <w:pPr>
        <w:pStyle w:val="ListParagraph"/>
        <w:numPr>
          <w:ilvl w:val="0"/>
          <w:numId w:val="41"/>
        </w:numPr>
        <w:ind w:left="720"/>
        <w:rPr>
          <w:rFonts w:ascii="Arial" w:hAnsi="Arial" w:cs="Arial"/>
          <w:sz w:val="20"/>
          <w:szCs w:val="20"/>
        </w:rPr>
      </w:pPr>
      <w:r w:rsidRPr="002E2398">
        <w:rPr>
          <w:rFonts w:ascii="Arial" w:hAnsi="Arial" w:cs="Arial"/>
          <w:sz w:val="20"/>
          <w:szCs w:val="20"/>
        </w:rPr>
        <w:t xml:space="preserve">Definition of Hour of Service: An hour of service does not include: </w:t>
      </w:r>
    </w:p>
    <w:p w14:paraId="2F31F9D6" w14:textId="6C1F241C" w:rsidR="002E2398" w:rsidRPr="002E2398" w:rsidRDefault="002E2398" w:rsidP="00EA3763">
      <w:pPr>
        <w:pStyle w:val="ListParagraph"/>
        <w:numPr>
          <w:ilvl w:val="1"/>
          <w:numId w:val="41"/>
        </w:numPr>
        <w:ind w:left="1440"/>
        <w:rPr>
          <w:rFonts w:ascii="Arial" w:hAnsi="Arial" w:cs="Arial"/>
          <w:sz w:val="20"/>
          <w:szCs w:val="20"/>
        </w:rPr>
      </w:pPr>
      <w:r w:rsidRPr="002E2398">
        <w:rPr>
          <w:rFonts w:ascii="Arial" w:hAnsi="Arial" w:cs="Arial"/>
          <w:sz w:val="20"/>
          <w:szCs w:val="20"/>
        </w:rPr>
        <w:t>an hour for which an employee is paid during a period in which no duties are performed, if such payment is made under a plan maintained for the purpose of complying with workmen’s compensation, or unemployment or disability insurance laws</w:t>
      </w:r>
      <w:r w:rsidR="00BA295A">
        <w:rPr>
          <w:rFonts w:ascii="Arial" w:hAnsi="Arial" w:cs="Arial"/>
          <w:sz w:val="20"/>
          <w:szCs w:val="20"/>
        </w:rPr>
        <w:t>; or</w:t>
      </w:r>
    </w:p>
    <w:p w14:paraId="2B4A40BD" w14:textId="51FE3D0D" w:rsidR="002E2398" w:rsidRPr="002E2398" w:rsidRDefault="002E2398" w:rsidP="00EA3763">
      <w:pPr>
        <w:pStyle w:val="ListParagraph"/>
        <w:numPr>
          <w:ilvl w:val="1"/>
          <w:numId w:val="41"/>
        </w:numPr>
        <w:ind w:left="1440"/>
        <w:rPr>
          <w:rFonts w:ascii="Arial" w:hAnsi="Arial" w:cs="Arial"/>
          <w:sz w:val="20"/>
          <w:szCs w:val="20"/>
        </w:rPr>
      </w:pPr>
      <w:r w:rsidRPr="002E2398">
        <w:rPr>
          <w:rFonts w:ascii="Arial" w:hAnsi="Arial" w:cs="Arial"/>
          <w:sz w:val="20"/>
          <w:szCs w:val="20"/>
        </w:rPr>
        <w:t>an hour of service for a payment that solely reimburses an employee for medical or medically</w:t>
      </w:r>
      <w:r w:rsidR="00670D59">
        <w:rPr>
          <w:rFonts w:ascii="Arial" w:hAnsi="Arial" w:cs="Arial"/>
          <w:sz w:val="20"/>
          <w:szCs w:val="20"/>
        </w:rPr>
        <w:t xml:space="preserve"> </w:t>
      </w:r>
      <w:r w:rsidRPr="002E2398">
        <w:rPr>
          <w:rFonts w:ascii="Arial" w:hAnsi="Arial" w:cs="Arial"/>
          <w:sz w:val="20"/>
          <w:szCs w:val="20"/>
        </w:rPr>
        <w:t>related expenses incurred by the employee.</w:t>
      </w:r>
    </w:p>
    <w:p w14:paraId="67336055" w14:textId="77777777" w:rsidR="002E2398" w:rsidRPr="002E2398" w:rsidRDefault="002E2398" w:rsidP="00EA3763">
      <w:pPr>
        <w:ind w:left="-360"/>
        <w:rPr>
          <w:rFonts w:cs="Arial"/>
          <w:szCs w:val="20"/>
        </w:rPr>
      </w:pPr>
    </w:p>
    <w:p w14:paraId="39038F85" w14:textId="3B94CA31" w:rsidR="002E2398" w:rsidRPr="002E2398" w:rsidRDefault="002E2398" w:rsidP="00EA3763">
      <w:pPr>
        <w:pStyle w:val="ListParagraph"/>
        <w:numPr>
          <w:ilvl w:val="0"/>
          <w:numId w:val="41"/>
        </w:numPr>
        <w:ind w:left="720"/>
        <w:rPr>
          <w:rFonts w:ascii="Arial" w:hAnsi="Arial" w:cs="Arial"/>
          <w:sz w:val="20"/>
          <w:szCs w:val="20"/>
        </w:rPr>
      </w:pPr>
      <w:r w:rsidRPr="002E2398">
        <w:rPr>
          <w:rFonts w:ascii="Arial" w:hAnsi="Arial" w:cs="Arial"/>
          <w:sz w:val="20"/>
          <w:szCs w:val="20"/>
        </w:rPr>
        <w:t>Short- and Long-Term Disability: Periods during which an individual is not performing services but is receiving payments due to short-term or long-term disability result in hours of service for any part of the period during which the recipient retains status as an employee unless the payments are made from an arrangement to which the employer did not contribute directly</w:t>
      </w:r>
      <w:r w:rsidR="00BA295A">
        <w:rPr>
          <w:rFonts w:ascii="Arial" w:hAnsi="Arial" w:cs="Arial"/>
          <w:sz w:val="20"/>
          <w:szCs w:val="20"/>
        </w:rPr>
        <w:t xml:space="preserve"> </w:t>
      </w:r>
      <w:r w:rsidR="00BA295A" w:rsidRPr="00783701">
        <w:rPr>
          <w:rFonts w:ascii="Arial" w:hAnsi="Arial" w:cs="Arial"/>
          <w:sz w:val="20"/>
          <w:szCs w:val="20"/>
        </w:rPr>
        <w:t xml:space="preserve">(i.e. employee </w:t>
      </w:r>
      <w:r w:rsidR="00670D59">
        <w:rPr>
          <w:rFonts w:ascii="Arial" w:hAnsi="Arial" w:cs="Arial"/>
          <w:sz w:val="20"/>
          <w:szCs w:val="20"/>
        </w:rPr>
        <w:t xml:space="preserve">is </w:t>
      </w:r>
      <w:r w:rsidR="00BA295A" w:rsidRPr="00783701">
        <w:rPr>
          <w:rFonts w:ascii="Arial" w:hAnsi="Arial" w:cs="Arial"/>
          <w:sz w:val="20"/>
          <w:szCs w:val="20"/>
        </w:rPr>
        <w:t>paid with after-tax contributions)</w:t>
      </w:r>
      <w:r w:rsidRPr="00783701">
        <w:rPr>
          <w:rFonts w:ascii="Arial" w:hAnsi="Arial" w:cs="Arial"/>
          <w:sz w:val="20"/>
          <w:szCs w:val="20"/>
        </w:rPr>
        <w:t>.</w:t>
      </w:r>
      <w:r w:rsidRPr="002E2398">
        <w:rPr>
          <w:rFonts w:ascii="Arial" w:hAnsi="Arial" w:cs="Arial"/>
          <w:sz w:val="20"/>
          <w:szCs w:val="20"/>
        </w:rPr>
        <w:t xml:space="preserve"> </w:t>
      </w:r>
    </w:p>
    <w:p w14:paraId="58A5B7B5" w14:textId="77777777" w:rsidR="002E2398" w:rsidRDefault="002E2398" w:rsidP="002E2398">
      <w:pPr>
        <w:ind w:left="0"/>
      </w:pPr>
    </w:p>
    <w:p w14:paraId="2BAD031A" w14:textId="77777777" w:rsidR="002E2398" w:rsidRDefault="002E2398" w:rsidP="002E2398">
      <w:pPr>
        <w:pStyle w:val="Heading3"/>
      </w:pPr>
      <w:r>
        <w:t>Health FSAs – carryover amounts</w:t>
      </w:r>
    </w:p>
    <w:p w14:paraId="275CC20E" w14:textId="77777777" w:rsidR="002E2398" w:rsidRDefault="002E2398" w:rsidP="002E2398">
      <w:pPr>
        <w:ind w:left="0"/>
      </w:pPr>
    </w:p>
    <w:p w14:paraId="2C8D631C" w14:textId="77777777" w:rsidR="002E2398" w:rsidRDefault="002E2398" w:rsidP="002E2398">
      <w:pPr>
        <w:pStyle w:val="Heading4"/>
      </w:pPr>
      <w:r>
        <w:t>COBRA</w:t>
      </w:r>
    </w:p>
    <w:p w14:paraId="3214DC48" w14:textId="7CEA6D75" w:rsidR="002E2398" w:rsidRPr="00783701" w:rsidRDefault="002E2398" w:rsidP="00783701">
      <w:pPr>
        <w:pStyle w:val="MediumGrid21"/>
        <w:rPr>
          <w:lang w:val="en-US" w:eastAsia="en-US"/>
        </w:rPr>
      </w:pPr>
      <w:r w:rsidRPr="00783701">
        <w:rPr>
          <w:lang w:val="en-US" w:eastAsia="en-US"/>
        </w:rPr>
        <w:t>A health FSA does not need to offer COBRA continuation coverage unless the amount available for reimbursement for the remainder of the year exceeds the health FSA’s required COBRA premiums for that period. For purposes of determining the amount available for reimbursement, the guidance clarifies that any carryover amount is included. However</w:t>
      </w:r>
      <w:r w:rsidR="00670D59">
        <w:rPr>
          <w:lang w:val="en-US" w:eastAsia="en-US"/>
        </w:rPr>
        <w:t>,</w:t>
      </w:r>
      <w:r w:rsidRPr="00783701">
        <w:rPr>
          <w:lang w:val="en-US" w:eastAsia="en-US"/>
        </w:rPr>
        <w:t xml:space="preserve"> the maximum amount that a health FSA is permitted to require for COBRA premiums (i.e., 102 percent of the applicable premium) does not include any carryover amount. Instead, the applicable premium is based solely on the sum of the employee’s salary reduction election for the year and any non-elective employer contribution.</w:t>
      </w:r>
    </w:p>
    <w:p w14:paraId="655379AA" w14:textId="77777777" w:rsidR="002E2398" w:rsidRDefault="002E2398" w:rsidP="002E2398">
      <w:pPr>
        <w:ind w:left="0"/>
      </w:pPr>
    </w:p>
    <w:p w14:paraId="4E6F61D9" w14:textId="77777777" w:rsidR="002E2398" w:rsidRDefault="002E2398" w:rsidP="002E2398">
      <w:pPr>
        <w:ind w:left="0"/>
      </w:pPr>
      <w:r>
        <w:t xml:space="preserve">Moreover, if a health FSA allows carryovers of unused amounts for similarly situated non-COBRA beneficiaries, then carryovers must be allowed for similarly situated COBRA beneficiaries, subject to the same terms. However, the health FSA is not required to allow a COBRA beneficiary to elect additional salary reduction amounts for the carryover period, or to have access to any employer contributions to the health FSA made during the carryover period. In addition, the carryover is limited to the applicable COBRA continuation period.  </w:t>
      </w:r>
    </w:p>
    <w:p w14:paraId="22099BAC" w14:textId="77777777" w:rsidR="002E2398" w:rsidRDefault="002E2398" w:rsidP="002E2398">
      <w:pPr>
        <w:ind w:left="0"/>
      </w:pPr>
    </w:p>
    <w:p w14:paraId="65A5E727" w14:textId="77777777" w:rsidR="002E2398" w:rsidRDefault="002E2398" w:rsidP="002E2398">
      <w:pPr>
        <w:pStyle w:val="Heading4"/>
      </w:pPr>
      <w:r>
        <w:t>Limits on health FSA carryovers</w:t>
      </w:r>
    </w:p>
    <w:p w14:paraId="60BFA5F5" w14:textId="179C98E0" w:rsidR="002E2398" w:rsidRDefault="002E2398" w:rsidP="002E2398">
      <w:pPr>
        <w:ind w:left="0"/>
      </w:pPr>
      <w:r>
        <w:lastRenderedPageBreak/>
        <w:t>A health FSA may limit the availability of the carryover of unused amounts (subject to the $500 limit) to individuals who have elected to participate in the health FSA in the next year, even if the ability to participate in that next year requires a minimum salary reduction election to the health FSA</w:t>
      </w:r>
      <w:r w:rsidR="009D69D1">
        <w:t>.</w:t>
      </w:r>
      <w:r>
        <w:t xml:space="preserve"> </w:t>
      </w:r>
      <w:r w:rsidR="009D69D1">
        <w:t xml:space="preserve">A health FSA </w:t>
      </w:r>
      <w:r>
        <w:t>may also limit the ability to carry over unused amounts to a maximum period (</w:t>
      </w:r>
      <w:r w:rsidR="009D69D1">
        <w:t>e.g. 1 year</w:t>
      </w:r>
      <w:r>
        <w:t>).</w:t>
      </w:r>
    </w:p>
    <w:p w14:paraId="334E9A1F" w14:textId="77777777" w:rsidR="002E2398" w:rsidRDefault="002E2398" w:rsidP="002E2398">
      <w:pPr>
        <w:ind w:left="0"/>
      </w:pPr>
    </w:p>
    <w:p w14:paraId="697B633D" w14:textId="77777777" w:rsidR="002E2398" w:rsidRDefault="002E2398" w:rsidP="002E2398">
      <w:pPr>
        <w:pStyle w:val="Heading3"/>
      </w:pPr>
      <w:r>
        <w:t>Employer Reporting Relief</w:t>
      </w:r>
    </w:p>
    <w:p w14:paraId="3D9AFC0B" w14:textId="77777777" w:rsidR="002E2398" w:rsidRDefault="002E2398" w:rsidP="002E2398">
      <w:pPr>
        <w:ind w:left="0"/>
      </w:pPr>
    </w:p>
    <w:p w14:paraId="7DC40683" w14:textId="48760A07" w:rsidR="002E2398" w:rsidRDefault="002E2398" w:rsidP="002E2398">
      <w:pPr>
        <w:ind w:left="0"/>
      </w:pPr>
      <w:r>
        <w:t xml:space="preserve">The IRS will not impose penalties on </w:t>
      </w:r>
      <w:r w:rsidR="009D69D1">
        <w:t>applicable large employers (</w:t>
      </w:r>
      <w:r>
        <w:t>ALE</w:t>
      </w:r>
      <w:r w:rsidR="009D69D1">
        <w:t>s)</w:t>
      </w:r>
      <w:r>
        <w:t xml:space="preserve"> for incorrect or incomplete information </w:t>
      </w:r>
      <w:r w:rsidR="009D69D1">
        <w:t xml:space="preserve">when reporting on Forms 1094-C and 1095-C </w:t>
      </w:r>
      <w:r>
        <w:t>if they can demonstrate a good faith effort to comply with the ACA employer reporting requirements</w:t>
      </w:r>
      <w:r w:rsidR="009D69D1">
        <w:t xml:space="preserve"> under Section 6056</w:t>
      </w:r>
      <w:r>
        <w:t>. No relief will be provided to ALE</w:t>
      </w:r>
      <w:r w:rsidR="009D69D1">
        <w:t>s</w:t>
      </w:r>
      <w:r>
        <w:t xml:space="preserve"> that cannot demonstrate a good faith effort to comply, or to ALE</w:t>
      </w:r>
      <w:r w:rsidR="009D69D1">
        <w:t>s</w:t>
      </w:r>
      <w:r>
        <w:t xml:space="preserve"> that fail to file or issue the required statements on time. </w:t>
      </w:r>
    </w:p>
    <w:p w14:paraId="07B08F37" w14:textId="77777777" w:rsidR="00EA3763" w:rsidRDefault="00EA3763" w:rsidP="002E2398">
      <w:pPr>
        <w:ind w:left="0"/>
      </w:pPr>
    </w:p>
    <w:p w14:paraId="218AEFFD" w14:textId="77777777" w:rsidR="00EA3763" w:rsidRDefault="00EA3763" w:rsidP="00EA3763">
      <w:pPr>
        <w:pStyle w:val="Heading3"/>
      </w:pPr>
      <w:r>
        <w:t>Other Issues Addressed in the Q&amp;A</w:t>
      </w:r>
    </w:p>
    <w:p w14:paraId="6A258344" w14:textId="77777777" w:rsidR="00EA3763" w:rsidRDefault="00EA3763" w:rsidP="00EA3763">
      <w:pPr>
        <w:ind w:left="0"/>
      </w:pPr>
    </w:p>
    <w:p w14:paraId="3C29B70C" w14:textId="019ACF6A" w:rsidR="00EA3763" w:rsidRPr="00EA3763" w:rsidRDefault="00EA3763" w:rsidP="00EA3763">
      <w:pPr>
        <w:pStyle w:val="ListParagraph"/>
        <w:numPr>
          <w:ilvl w:val="0"/>
          <w:numId w:val="45"/>
        </w:numPr>
        <w:rPr>
          <w:rFonts w:ascii="Arial" w:hAnsi="Arial" w:cs="Arial"/>
          <w:sz w:val="20"/>
          <w:szCs w:val="20"/>
        </w:rPr>
      </w:pPr>
      <w:r w:rsidRPr="00EA3763">
        <w:rPr>
          <w:rFonts w:ascii="Arial" w:hAnsi="Arial" w:cs="Arial"/>
          <w:sz w:val="20"/>
          <w:szCs w:val="20"/>
        </w:rPr>
        <w:t xml:space="preserve">Educational organizations </w:t>
      </w:r>
      <w:r w:rsidR="00670D59">
        <w:rPr>
          <w:rFonts w:ascii="Arial" w:hAnsi="Arial" w:cs="Arial"/>
          <w:sz w:val="20"/>
          <w:szCs w:val="20"/>
        </w:rPr>
        <w:t>–</w:t>
      </w:r>
      <w:r w:rsidRPr="00EA3763">
        <w:rPr>
          <w:rFonts w:ascii="Arial" w:hAnsi="Arial" w:cs="Arial"/>
          <w:sz w:val="20"/>
          <w:szCs w:val="20"/>
        </w:rPr>
        <w:t xml:space="preserve"> Educational organizations are sometimes using staffing agencies to circumvent the 26-week break in service rules and special averaging rules for </w:t>
      </w:r>
      <w:r w:rsidR="009D69D1">
        <w:rPr>
          <w:rFonts w:ascii="Arial" w:hAnsi="Arial" w:cs="Arial"/>
          <w:sz w:val="20"/>
          <w:szCs w:val="20"/>
        </w:rPr>
        <w:t xml:space="preserve">ALEs </w:t>
      </w:r>
      <w:r w:rsidRPr="00EA3763">
        <w:rPr>
          <w:rFonts w:ascii="Arial" w:hAnsi="Arial" w:cs="Arial"/>
          <w:sz w:val="20"/>
          <w:szCs w:val="20"/>
        </w:rPr>
        <w:t xml:space="preserve">using the look-back measurement method. The IRS intends to propose regulations to </w:t>
      </w:r>
      <w:r w:rsidR="009D69D1">
        <w:rPr>
          <w:rFonts w:ascii="Arial" w:hAnsi="Arial" w:cs="Arial"/>
          <w:sz w:val="20"/>
          <w:szCs w:val="20"/>
        </w:rPr>
        <w:t>extend the</w:t>
      </w:r>
      <w:r w:rsidRPr="00EA3763">
        <w:rPr>
          <w:rFonts w:ascii="Arial" w:hAnsi="Arial" w:cs="Arial"/>
          <w:sz w:val="20"/>
          <w:szCs w:val="20"/>
        </w:rPr>
        <w:t xml:space="preserve"> application of </w:t>
      </w:r>
      <w:r w:rsidR="00ED2D40">
        <w:rPr>
          <w:rFonts w:ascii="Arial" w:hAnsi="Arial" w:cs="Arial"/>
          <w:sz w:val="20"/>
          <w:szCs w:val="20"/>
        </w:rPr>
        <w:t xml:space="preserve">the </w:t>
      </w:r>
      <w:r w:rsidRPr="00EA3763">
        <w:rPr>
          <w:rFonts w:ascii="Arial" w:hAnsi="Arial" w:cs="Arial"/>
          <w:sz w:val="20"/>
          <w:szCs w:val="20"/>
        </w:rPr>
        <w:t>special rules</w:t>
      </w:r>
      <w:r w:rsidR="009D69D1">
        <w:rPr>
          <w:rFonts w:ascii="Arial" w:hAnsi="Arial" w:cs="Arial"/>
          <w:sz w:val="20"/>
          <w:szCs w:val="20"/>
        </w:rPr>
        <w:t xml:space="preserve"> in some circumstances for employers such as staffing agencies</w:t>
      </w:r>
      <w:r w:rsidRPr="00EA3763">
        <w:rPr>
          <w:rFonts w:ascii="Arial" w:hAnsi="Arial" w:cs="Arial"/>
          <w:sz w:val="20"/>
          <w:szCs w:val="20"/>
        </w:rPr>
        <w:t xml:space="preserve"> when services are being provided to one or more educational organizations.</w:t>
      </w:r>
    </w:p>
    <w:p w14:paraId="27601E0E" w14:textId="2E3DDDD0" w:rsidR="00EA3763" w:rsidRPr="00EA3763" w:rsidRDefault="00EA3763" w:rsidP="00EA3763">
      <w:pPr>
        <w:pStyle w:val="ListParagraph"/>
        <w:numPr>
          <w:ilvl w:val="0"/>
          <w:numId w:val="45"/>
        </w:numPr>
        <w:rPr>
          <w:rFonts w:ascii="Arial" w:hAnsi="Arial" w:cs="Arial"/>
          <w:sz w:val="20"/>
          <w:szCs w:val="20"/>
        </w:rPr>
      </w:pPr>
      <w:r w:rsidRPr="00EA3763">
        <w:rPr>
          <w:rFonts w:ascii="Arial" w:hAnsi="Arial" w:cs="Arial"/>
          <w:sz w:val="20"/>
          <w:szCs w:val="20"/>
        </w:rPr>
        <w:t xml:space="preserve">AmeriCorps </w:t>
      </w:r>
      <w:r w:rsidR="00670D59">
        <w:rPr>
          <w:rFonts w:ascii="Arial" w:hAnsi="Arial" w:cs="Arial"/>
          <w:sz w:val="20"/>
          <w:szCs w:val="20"/>
        </w:rPr>
        <w:t>–</w:t>
      </w:r>
      <w:r w:rsidRPr="00EA3763">
        <w:rPr>
          <w:rFonts w:ascii="Arial" w:hAnsi="Arial" w:cs="Arial"/>
          <w:sz w:val="20"/>
          <w:szCs w:val="20"/>
        </w:rPr>
        <w:t xml:space="preserve"> The guidance specifies that for purposes of </w:t>
      </w:r>
      <w:r w:rsidR="009D69D1">
        <w:rPr>
          <w:rFonts w:ascii="Arial" w:hAnsi="Arial" w:cs="Arial"/>
          <w:sz w:val="20"/>
          <w:szCs w:val="20"/>
        </w:rPr>
        <w:t>Section</w:t>
      </w:r>
      <w:r w:rsidR="009D69D1" w:rsidRPr="00EA3763">
        <w:rPr>
          <w:rFonts w:ascii="Arial" w:hAnsi="Arial" w:cs="Arial"/>
          <w:sz w:val="20"/>
          <w:szCs w:val="20"/>
        </w:rPr>
        <w:t xml:space="preserve"> </w:t>
      </w:r>
      <w:r w:rsidRPr="00EA3763">
        <w:rPr>
          <w:rFonts w:ascii="Arial" w:hAnsi="Arial" w:cs="Arial"/>
          <w:sz w:val="20"/>
          <w:szCs w:val="20"/>
        </w:rPr>
        <w:t>4980H employer shared responsibility provisions, participants in the AmeriCorps program are not employees of AmeriCorps or the grantee receiving assistance through AmeriCorps for which the participant is providing services</w:t>
      </w:r>
      <w:r w:rsidR="009D69D1">
        <w:rPr>
          <w:rFonts w:ascii="Arial" w:hAnsi="Arial" w:cs="Arial"/>
          <w:sz w:val="20"/>
          <w:szCs w:val="20"/>
        </w:rPr>
        <w:t xml:space="preserve"> and therefore do not need to be counted for purposes of determining status as an ALE or offered coverage by the ALE if achieving full-time status to avoid potential penalties.</w:t>
      </w:r>
    </w:p>
    <w:p w14:paraId="2D6DB8A2" w14:textId="167335CA" w:rsidR="00EA3763" w:rsidRPr="00EA3763" w:rsidRDefault="00EA3763" w:rsidP="00EA3763">
      <w:pPr>
        <w:pStyle w:val="ListParagraph"/>
        <w:numPr>
          <w:ilvl w:val="0"/>
          <w:numId w:val="45"/>
        </w:numPr>
        <w:rPr>
          <w:rFonts w:ascii="Arial" w:hAnsi="Arial" w:cs="Arial"/>
          <w:sz w:val="20"/>
          <w:szCs w:val="20"/>
        </w:rPr>
      </w:pPr>
      <w:r w:rsidRPr="00EA3763">
        <w:rPr>
          <w:rFonts w:ascii="Arial" w:hAnsi="Arial" w:cs="Arial"/>
          <w:sz w:val="20"/>
          <w:szCs w:val="20"/>
        </w:rPr>
        <w:t xml:space="preserve">TRICARE </w:t>
      </w:r>
      <w:r w:rsidR="00670D59">
        <w:rPr>
          <w:rFonts w:ascii="Arial" w:hAnsi="Arial" w:cs="Arial"/>
          <w:sz w:val="20"/>
          <w:szCs w:val="20"/>
        </w:rPr>
        <w:t>–</w:t>
      </w:r>
      <w:r w:rsidRPr="00EA3763">
        <w:rPr>
          <w:rFonts w:ascii="Arial" w:hAnsi="Arial" w:cs="Arial"/>
          <w:sz w:val="20"/>
          <w:szCs w:val="20"/>
        </w:rPr>
        <w:t xml:space="preserve"> For purposes of determining any potential employer liability under </w:t>
      </w:r>
      <w:r w:rsidR="00ED2D40">
        <w:rPr>
          <w:rFonts w:ascii="Arial" w:hAnsi="Arial" w:cs="Arial"/>
          <w:sz w:val="20"/>
          <w:szCs w:val="20"/>
        </w:rPr>
        <w:t>Section</w:t>
      </w:r>
      <w:r w:rsidR="00ED2D40" w:rsidRPr="00EA3763">
        <w:rPr>
          <w:rFonts w:ascii="Arial" w:hAnsi="Arial" w:cs="Arial"/>
          <w:sz w:val="20"/>
          <w:szCs w:val="20"/>
        </w:rPr>
        <w:t xml:space="preserve"> </w:t>
      </w:r>
      <w:r w:rsidRPr="00EA3763">
        <w:rPr>
          <w:rFonts w:ascii="Arial" w:hAnsi="Arial" w:cs="Arial"/>
          <w:sz w:val="20"/>
          <w:szCs w:val="20"/>
        </w:rPr>
        <w:t>4980H employer shared responsibility provisions, and for related employer reporting requirements</w:t>
      </w:r>
      <w:r w:rsidR="00ED2D40">
        <w:rPr>
          <w:rFonts w:ascii="Arial" w:hAnsi="Arial" w:cs="Arial"/>
          <w:sz w:val="20"/>
          <w:szCs w:val="20"/>
        </w:rPr>
        <w:t xml:space="preserve"> under Section 6056,</w:t>
      </w:r>
      <w:r w:rsidRPr="00EA3763">
        <w:rPr>
          <w:rFonts w:ascii="Arial" w:hAnsi="Arial" w:cs="Arial"/>
          <w:sz w:val="20"/>
          <w:szCs w:val="20"/>
        </w:rPr>
        <w:t xml:space="preserve"> an offer of coverage under TRICARE is treated as an offer by that employer of minimum essential coverage (MEC) under an eligible employer-sponsored plan for that month.</w:t>
      </w:r>
    </w:p>
    <w:p w14:paraId="6550E582" w14:textId="0A03F4A8" w:rsidR="00EA3763" w:rsidRPr="00EA3763" w:rsidRDefault="00753821" w:rsidP="00EA3763">
      <w:pPr>
        <w:pStyle w:val="ListParagraph"/>
        <w:numPr>
          <w:ilvl w:val="0"/>
          <w:numId w:val="45"/>
        </w:numPr>
        <w:rPr>
          <w:rFonts w:ascii="Arial" w:hAnsi="Arial" w:cs="Arial"/>
          <w:sz w:val="20"/>
          <w:szCs w:val="20"/>
        </w:rPr>
      </w:pPr>
      <w:r>
        <w:rPr>
          <w:rFonts w:ascii="Arial" w:hAnsi="Arial" w:cs="Arial"/>
          <w:sz w:val="20"/>
          <w:szCs w:val="20"/>
        </w:rPr>
        <w:t>Separate Employer</w:t>
      </w:r>
      <w:bookmarkStart w:id="0" w:name="_GoBack"/>
      <w:bookmarkEnd w:id="0"/>
      <w:r w:rsidR="00EA3763" w:rsidRPr="00EA3763">
        <w:rPr>
          <w:rFonts w:ascii="Arial" w:hAnsi="Arial" w:cs="Arial"/>
          <w:sz w:val="20"/>
          <w:szCs w:val="20"/>
        </w:rPr>
        <w:t xml:space="preserve"> Identification Numbers (EINs) for reporting entities </w:t>
      </w:r>
      <w:r w:rsidR="00670D59">
        <w:rPr>
          <w:rFonts w:ascii="Arial" w:hAnsi="Arial" w:cs="Arial"/>
          <w:sz w:val="20"/>
          <w:szCs w:val="20"/>
        </w:rPr>
        <w:t>–</w:t>
      </w:r>
      <w:r w:rsidR="00EA3763" w:rsidRPr="00EA3763">
        <w:rPr>
          <w:rFonts w:ascii="Arial" w:hAnsi="Arial" w:cs="Arial"/>
          <w:sz w:val="20"/>
          <w:szCs w:val="20"/>
        </w:rPr>
        <w:t xml:space="preserve"> Entities required to report, including ALE members of an applicable large employer group</w:t>
      </w:r>
      <w:r w:rsidR="00FC02B1">
        <w:rPr>
          <w:rFonts w:ascii="Arial" w:hAnsi="Arial" w:cs="Arial"/>
          <w:sz w:val="20"/>
          <w:szCs w:val="20"/>
        </w:rPr>
        <w:t xml:space="preserve"> (e.g. employers that are part of a controlled group under Section 414 rules)</w:t>
      </w:r>
      <w:r w:rsidR="00EA3763" w:rsidRPr="00EA3763">
        <w:rPr>
          <w:rFonts w:ascii="Arial" w:hAnsi="Arial" w:cs="Arial"/>
          <w:sz w:val="20"/>
          <w:szCs w:val="20"/>
        </w:rPr>
        <w:t>, must each file a separate Form 1094-C, and each separate form must contain the EIN of the ALE member filing the form. The same rule applies to a governmental entity’s use of a Designated Government Entity (DGE).</w:t>
      </w:r>
    </w:p>
    <w:p w14:paraId="6B819114" w14:textId="17BD45AA" w:rsidR="00EA3763" w:rsidRPr="00711563" w:rsidRDefault="00EA3763" w:rsidP="00EA3763">
      <w:pPr>
        <w:pStyle w:val="ListParagraph"/>
        <w:numPr>
          <w:ilvl w:val="0"/>
          <w:numId w:val="45"/>
        </w:numPr>
        <w:rPr>
          <w:rFonts w:ascii="Arial" w:hAnsi="Arial" w:cs="Arial"/>
          <w:sz w:val="20"/>
          <w:szCs w:val="20"/>
        </w:rPr>
      </w:pPr>
      <w:r w:rsidRPr="00711563">
        <w:rPr>
          <w:rFonts w:ascii="Arial" w:hAnsi="Arial" w:cs="Arial"/>
          <w:sz w:val="20"/>
          <w:szCs w:val="20"/>
        </w:rPr>
        <w:t xml:space="preserve">VA benefits and HSA eligibility </w:t>
      </w:r>
      <w:r w:rsidR="00670D59">
        <w:rPr>
          <w:rFonts w:ascii="Arial" w:hAnsi="Arial" w:cs="Arial"/>
          <w:sz w:val="20"/>
          <w:szCs w:val="20"/>
        </w:rPr>
        <w:t>–</w:t>
      </w:r>
      <w:r w:rsidRPr="00711563">
        <w:rPr>
          <w:rFonts w:ascii="Arial" w:hAnsi="Arial" w:cs="Arial"/>
          <w:sz w:val="20"/>
          <w:szCs w:val="20"/>
        </w:rPr>
        <w:t xml:space="preserve"> The guidance provides clarification on the recent legislation that any hospital care or medical services received from the Veterans Administration</w:t>
      </w:r>
      <w:r w:rsidR="00FC02B1" w:rsidRPr="00711563">
        <w:rPr>
          <w:rFonts w:ascii="Arial" w:hAnsi="Arial" w:cs="Arial"/>
          <w:sz w:val="20"/>
          <w:szCs w:val="20"/>
        </w:rPr>
        <w:t xml:space="preserve"> (VA)</w:t>
      </w:r>
      <w:r w:rsidRPr="00711563">
        <w:rPr>
          <w:rFonts w:ascii="Arial" w:hAnsi="Arial" w:cs="Arial"/>
          <w:sz w:val="20"/>
          <w:szCs w:val="20"/>
        </w:rPr>
        <w:t xml:space="preserve"> by a veteran who has a disability rating from the VA may be considered to be hospital care or medical services and would not make that individual ineligible to make HSA contributions if they are otherwise eligible.</w:t>
      </w:r>
    </w:p>
    <w:p w14:paraId="1B72E369" w14:textId="77777777" w:rsidR="00EA3763" w:rsidRDefault="00EA3763" w:rsidP="002E2398">
      <w:pPr>
        <w:ind w:left="0"/>
      </w:pPr>
    </w:p>
    <w:p w14:paraId="3EA177BC" w14:textId="77777777" w:rsidR="002E2398" w:rsidRPr="002E2398" w:rsidRDefault="002E2398" w:rsidP="002E2398">
      <w:pPr>
        <w:ind w:left="0"/>
        <w:rPr>
          <w:b/>
        </w:rPr>
      </w:pPr>
      <w:r w:rsidRPr="002E2398">
        <w:rPr>
          <w:b/>
        </w:rPr>
        <w:t>Summary</w:t>
      </w:r>
    </w:p>
    <w:p w14:paraId="537B4841" w14:textId="48FDABA9" w:rsidR="002E2398" w:rsidRDefault="002E2398" w:rsidP="002E2398">
      <w:pPr>
        <w:ind w:left="0"/>
      </w:pPr>
      <w:r>
        <w:t xml:space="preserve">Notice 2015-87 addresses many compliance areas </w:t>
      </w:r>
      <w:r w:rsidR="00670D59">
        <w:t>about which</w:t>
      </w:r>
      <w:r>
        <w:t xml:space="preserve"> employers have had questions. It is expected that in 2016 the IRS (and other regulatory agencies) will release further guidance and clarifications regarding the ACA and other employer compliance</w:t>
      </w:r>
      <w:r w:rsidR="00670D59">
        <w:t>-</w:t>
      </w:r>
      <w:r>
        <w:t>related issues.</w:t>
      </w:r>
    </w:p>
    <w:p w14:paraId="3B8FC11A" w14:textId="77777777" w:rsidR="002E2398" w:rsidRDefault="002E2398" w:rsidP="002E2398">
      <w:pPr>
        <w:ind w:left="0"/>
      </w:pPr>
    </w:p>
    <w:p w14:paraId="14EFD3F8" w14:textId="77777777" w:rsidR="002E2398" w:rsidRDefault="002E2398" w:rsidP="002E2398">
      <w:pPr>
        <w:ind w:left="0"/>
      </w:pPr>
    </w:p>
    <w:p w14:paraId="6B1CE752" w14:textId="77777777" w:rsidR="002E2398" w:rsidRDefault="002E2398" w:rsidP="002E2398">
      <w:pPr>
        <w:ind w:left="0"/>
      </w:pPr>
    </w:p>
    <w:p w14:paraId="4EE32734" w14:textId="77777777" w:rsidR="002E2398" w:rsidRDefault="002E2398" w:rsidP="002E2398">
      <w:pPr>
        <w:ind w:left="0"/>
      </w:pPr>
    </w:p>
    <w:p w14:paraId="26397664" w14:textId="77777777" w:rsidR="008362F4" w:rsidRDefault="0035725D" w:rsidP="00866B99">
      <w:pPr>
        <w:pStyle w:val="MediumShading1-Accent11"/>
        <w:ind w:left="0"/>
        <w:rPr>
          <w:i/>
          <w:sz w:val="16"/>
          <w:szCs w:val="16"/>
        </w:rPr>
      </w:pPr>
      <w:r w:rsidRPr="00332855">
        <w:rPr>
          <w:i/>
          <w:sz w:val="16"/>
          <w:szCs w:val="16"/>
        </w:rPr>
        <w:t>While every effort has been taken in compiling this information to ensure that its contents are totally accurate, neither the publisher nor the author can accept liability for any inaccuracies or changed circumstances of any information herein or for the consequences of any reliance placed upon it. This publication is distributed on the understanding that the publisher is not engaged in rendering legal, accounting or other professional advice or services. Readers should always seek professional advice before entering into any commitments.</w:t>
      </w:r>
    </w:p>
    <w:p w14:paraId="057F8EEF" w14:textId="77777777" w:rsidR="006F7F3E" w:rsidRDefault="006F7F3E" w:rsidP="00866B99">
      <w:pPr>
        <w:pStyle w:val="MediumShading1-Accent11"/>
        <w:ind w:left="0"/>
        <w:rPr>
          <w:i/>
          <w:sz w:val="16"/>
          <w:szCs w:val="16"/>
        </w:rPr>
      </w:pPr>
    </w:p>
    <w:p w14:paraId="099B0792" w14:textId="77777777" w:rsidR="006F7F3E" w:rsidRPr="008362F4" w:rsidRDefault="006F7F3E" w:rsidP="006F7F3E">
      <w:pPr>
        <w:pStyle w:val="MediumShading1-Accent11"/>
        <w:ind w:left="0"/>
        <w:rPr>
          <w:rFonts w:cs="Arial"/>
          <w:szCs w:val="20"/>
        </w:rPr>
      </w:pPr>
    </w:p>
    <w:p w14:paraId="4F313162" w14:textId="77777777" w:rsidR="002E2398" w:rsidRPr="008362F4" w:rsidRDefault="002E2398">
      <w:pPr>
        <w:pStyle w:val="MediumShading1-Accent11"/>
        <w:ind w:left="0"/>
        <w:rPr>
          <w:rFonts w:cs="Arial"/>
          <w:szCs w:val="20"/>
        </w:rPr>
      </w:pPr>
    </w:p>
    <w:sectPr w:rsidR="002E2398" w:rsidRPr="008362F4" w:rsidSect="00E53468">
      <w:footerReference w:type="default" r:id="rId9"/>
      <w:headerReference w:type="first" r:id="rId10"/>
      <w:footerReference w:type="first" r:id="rId11"/>
      <w:pgSz w:w="12240" w:h="15840" w:code="1"/>
      <w:pgMar w:top="1440" w:right="1440" w:bottom="1440" w:left="1440" w:header="965" w:footer="965" w:gutter="0"/>
      <w:cols w:space="720"/>
      <w:titlePg/>
      <w:docGrid w:linePitch="21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EE56B" w14:textId="77777777" w:rsidR="0089498F" w:rsidRDefault="0089498F" w:rsidP="006C7EC1">
      <w:r>
        <w:separator/>
      </w:r>
    </w:p>
  </w:endnote>
  <w:endnote w:type="continuationSeparator" w:id="0">
    <w:p w14:paraId="2FF4D348" w14:textId="77777777" w:rsidR="0089498F" w:rsidRDefault="0089498F" w:rsidP="006C7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301" w14:textId="77777777" w:rsidR="001002BD" w:rsidRDefault="001002BD" w:rsidP="006C7EC1">
    <w:pPr>
      <w:pStyle w:val="Footer"/>
      <w:jc w:val="center"/>
      <w:rPr>
        <w:rFonts w:cs="Arial"/>
        <w:sz w:val="18"/>
        <w:szCs w:val="18"/>
      </w:rPr>
    </w:pPr>
  </w:p>
  <w:p w14:paraId="4EE832C8" w14:textId="77777777" w:rsidR="001002BD" w:rsidRDefault="001002BD" w:rsidP="006C7EC1">
    <w:pPr>
      <w:pStyle w:val="Footer"/>
      <w:jc w:val="center"/>
      <w:rPr>
        <w:sz w:val="18"/>
        <w:szCs w:val="18"/>
        <w:lang w:val="en-US"/>
      </w:rPr>
    </w:pPr>
    <w:r w:rsidRPr="006C7EC1">
      <w:rPr>
        <w:rFonts w:cs="Arial"/>
        <w:sz w:val="18"/>
        <w:szCs w:val="18"/>
      </w:rPr>
      <w:t>© 201</w:t>
    </w:r>
    <w:r>
      <w:rPr>
        <w:rFonts w:cs="Arial"/>
        <w:sz w:val="18"/>
        <w:szCs w:val="18"/>
        <w:lang w:val="en-US"/>
      </w:rPr>
      <w:t>5</w:t>
    </w:r>
    <w:r w:rsidRPr="006C7EC1">
      <w:rPr>
        <w:rFonts w:cs="Arial"/>
        <w:sz w:val="18"/>
        <w:szCs w:val="18"/>
      </w:rPr>
      <w:t xml:space="preserve"> </w:t>
    </w:r>
    <w:r>
      <w:rPr>
        <w:sz w:val="18"/>
        <w:szCs w:val="18"/>
      </w:rPr>
      <w:t>Benefit Comply, LLC</w:t>
    </w:r>
  </w:p>
  <w:p w14:paraId="3CF0FF31" w14:textId="77777777" w:rsidR="001002BD" w:rsidRDefault="001002BD" w:rsidP="00866B99">
    <w:pPr>
      <w:pStyle w:val="Footer"/>
      <w:jc w:val="cente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53821">
      <w:rPr>
        <w:noProof/>
        <w:sz w:val="18"/>
        <w:szCs w:val="18"/>
        <w:lang w:val="en-US"/>
      </w:rPr>
      <w:t>4</w:t>
    </w:r>
    <w:r w:rsidRPr="00866B99">
      <w:rPr>
        <w:sz w:val="18"/>
        <w:szCs w:val="18"/>
        <w:lang w:val="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7D4A9" w14:textId="77777777" w:rsidR="001002BD" w:rsidRDefault="001002BD" w:rsidP="006C7EC1">
    <w:pPr>
      <w:pStyle w:val="Footer"/>
      <w:jc w:val="center"/>
      <w:rPr>
        <w:sz w:val="18"/>
        <w:szCs w:val="18"/>
        <w:lang w:val="en-US"/>
      </w:rPr>
    </w:pPr>
    <w:r>
      <w:rPr>
        <w:rFonts w:cs="Arial"/>
        <w:sz w:val="18"/>
        <w:szCs w:val="18"/>
      </w:rPr>
      <w:t>© 201</w:t>
    </w:r>
    <w:r>
      <w:rPr>
        <w:rFonts w:cs="Arial"/>
        <w:sz w:val="18"/>
        <w:szCs w:val="18"/>
        <w:lang w:val="en-US"/>
      </w:rPr>
      <w:t>5</w:t>
    </w:r>
    <w:r w:rsidRPr="006C7EC1">
      <w:rPr>
        <w:rFonts w:cs="Arial"/>
        <w:sz w:val="18"/>
        <w:szCs w:val="18"/>
      </w:rPr>
      <w:t xml:space="preserve"> </w:t>
    </w:r>
    <w:r>
      <w:rPr>
        <w:sz w:val="18"/>
        <w:szCs w:val="18"/>
      </w:rPr>
      <w:t>Benefit Comply, LLC</w:t>
    </w:r>
  </w:p>
  <w:p w14:paraId="4D966336" w14:textId="77777777" w:rsidR="001002BD" w:rsidRPr="00866B99" w:rsidRDefault="001002BD" w:rsidP="006C7EC1">
    <w:pPr>
      <w:pStyle w:val="Footer"/>
      <w:jc w:val="center"/>
      <w:rPr>
        <w:sz w:val="18"/>
        <w:szCs w:val="18"/>
        <w:lang w:val="en-US"/>
      </w:rPr>
    </w:pPr>
    <w:r w:rsidRPr="00866B99">
      <w:rPr>
        <w:sz w:val="18"/>
        <w:szCs w:val="18"/>
        <w:lang w:val="en-US"/>
      </w:rPr>
      <w:fldChar w:fldCharType="begin"/>
    </w:r>
    <w:r w:rsidRPr="00866B99">
      <w:rPr>
        <w:sz w:val="18"/>
        <w:szCs w:val="18"/>
        <w:lang w:val="en-US"/>
      </w:rPr>
      <w:instrText xml:space="preserve"> PAGE   \* MERGEFORMAT </w:instrText>
    </w:r>
    <w:r w:rsidRPr="00866B99">
      <w:rPr>
        <w:sz w:val="18"/>
        <w:szCs w:val="18"/>
        <w:lang w:val="en-US"/>
      </w:rPr>
      <w:fldChar w:fldCharType="separate"/>
    </w:r>
    <w:r w:rsidR="00794ECB">
      <w:rPr>
        <w:noProof/>
        <w:sz w:val="18"/>
        <w:szCs w:val="18"/>
        <w:lang w:val="en-US"/>
      </w:rPr>
      <w:t>1</w:t>
    </w:r>
    <w:r w:rsidRPr="00866B99">
      <w:rPr>
        <w:sz w:val="18"/>
        <w:szCs w:val="18"/>
        <w:lang w:val="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9D7AB" w14:textId="77777777" w:rsidR="0089498F" w:rsidRDefault="0089498F" w:rsidP="006C7EC1">
      <w:r>
        <w:separator/>
      </w:r>
    </w:p>
  </w:footnote>
  <w:footnote w:type="continuationSeparator" w:id="0">
    <w:p w14:paraId="2434D265" w14:textId="77777777" w:rsidR="0089498F" w:rsidRDefault="0089498F" w:rsidP="006C7E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C73A6" w14:textId="77777777" w:rsidR="001002BD" w:rsidRPr="006717AA" w:rsidRDefault="001002BD" w:rsidP="00373838">
    <w:pPr>
      <w:pStyle w:val="Header"/>
      <w:ind w:left="0"/>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81DBA"/>
    <w:multiLevelType w:val="multilevel"/>
    <w:tmpl w:val="4920B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E832F4"/>
    <w:multiLevelType w:val="hybridMultilevel"/>
    <w:tmpl w:val="9F0647AE"/>
    <w:lvl w:ilvl="0" w:tplc="71F65F4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65346C8"/>
    <w:multiLevelType w:val="hybridMultilevel"/>
    <w:tmpl w:val="77EE7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D42D1"/>
    <w:multiLevelType w:val="hybridMultilevel"/>
    <w:tmpl w:val="41B8BEA8"/>
    <w:lvl w:ilvl="0" w:tplc="926CD4FC">
      <w:start w:val="3"/>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F4CA3"/>
    <w:multiLevelType w:val="hybridMultilevel"/>
    <w:tmpl w:val="483EE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115F0A"/>
    <w:multiLevelType w:val="hybridMultilevel"/>
    <w:tmpl w:val="B876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47F5C"/>
    <w:multiLevelType w:val="hybridMultilevel"/>
    <w:tmpl w:val="951E1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8052B0"/>
    <w:multiLevelType w:val="hybridMultilevel"/>
    <w:tmpl w:val="F57E9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C46DB"/>
    <w:multiLevelType w:val="multilevel"/>
    <w:tmpl w:val="FBC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94824BE"/>
    <w:multiLevelType w:val="hybridMultilevel"/>
    <w:tmpl w:val="76FAF48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A630FBB"/>
    <w:multiLevelType w:val="multilevel"/>
    <w:tmpl w:val="57BE6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374B8E"/>
    <w:multiLevelType w:val="hybridMultilevel"/>
    <w:tmpl w:val="9C109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34F2F"/>
    <w:multiLevelType w:val="hybridMultilevel"/>
    <w:tmpl w:val="17881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122B37"/>
    <w:multiLevelType w:val="multilevel"/>
    <w:tmpl w:val="2E18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8F911B7"/>
    <w:multiLevelType w:val="hybridMultilevel"/>
    <w:tmpl w:val="B302E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6D6532"/>
    <w:multiLevelType w:val="hybridMultilevel"/>
    <w:tmpl w:val="E1C86AA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2E746023"/>
    <w:multiLevelType w:val="hybridMultilevel"/>
    <w:tmpl w:val="D2349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FD4EA1"/>
    <w:multiLevelType w:val="hybridMultilevel"/>
    <w:tmpl w:val="8D16186E"/>
    <w:lvl w:ilvl="0" w:tplc="926CD4FC">
      <w:start w:val="3"/>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B2F8B"/>
    <w:multiLevelType w:val="hybridMultilevel"/>
    <w:tmpl w:val="5D1A1FFA"/>
    <w:lvl w:ilvl="0" w:tplc="926CD4FC">
      <w:start w:val="3"/>
      <w:numFmt w:val="bullet"/>
      <w:lvlText w:val="•"/>
      <w:lvlJc w:val="left"/>
      <w:pPr>
        <w:ind w:left="720" w:hanging="72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5FD5641"/>
    <w:multiLevelType w:val="hybridMultilevel"/>
    <w:tmpl w:val="AAC24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242F18"/>
    <w:multiLevelType w:val="hybridMultilevel"/>
    <w:tmpl w:val="E0D86F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D3A1EB5"/>
    <w:multiLevelType w:val="hybridMultilevel"/>
    <w:tmpl w:val="67F456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D5F363B"/>
    <w:multiLevelType w:val="hybridMultilevel"/>
    <w:tmpl w:val="438472AA"/>
    <w:lvl w:ilvl="0" w:tplc="926CD4FC">
      <w:start w:val="3"/>
      <w:numFmt w:val="bullet"/>
      <w:lvlText w:val="•"/>
      <w:lvlJc w:val="left"/>
      <w:pPr>
        <w:ind w:left="1440" w:hanging="72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1213FF7"/>
    <w:multiLevelType w:val="multilevel"/>
    <w:tmpl w:val="2C00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597FCE"/>
    <w:multiLevelType w:val="hybridMultilevel"/>
    <w:tmpl w:val="B07E6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4110779"/>
    <w:multiLevelType w:val="hybridMultilevel"/>
    <w:tmpl w:val="D3920A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DE32AB"/>
    <w:multiLevelType w:val="hybridMultilevel"/>
    <w:tmpl w:val="1ED8C8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6641F75"/>
    <w:multiLevelType w:val="hybridMultilevel"/>
    <w:tmpl w:val="13C001D8"/>
    <w:lvl w:ilvl="0" w:tplc="C2224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F2E90"/>
    <w:multiLevelType w:val="hybridMultilevel"/>
    <w:tmpl w:val="2C02C6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1F6412"/>
    <w:multiLevelType w:val="hybridMultilevel"/>
    <w:tmpl w:val="8D567E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5B70B1"/>
    <w:multiLevelType w:val="hybridMultilevel"/>
    <w:tmpl w:val="0A665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425665"/>
    <w:multiLevelType w:val="multilevel"/>
    <w:tmpl w:val="679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4EE41B0"/>
    <w:multiLevelType w:val="hybridMultilevel"/>
    <w:tmpl w:val="7BA62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EB0693"/>
    <w:multiLevelType w:val="hybridMultilevel"/>
    <w:tmpl w:val="BD26F5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C07B1A"/>
    <w:multiLevelType w:val="hybridMultilevel"/>
    <w:tmpl w:val="BB763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427D41"/>
    <w:multiLevelType w:val="hybridMultilevel"/>
    <w:tmpl w:val="D57807CC"/>
    <w:lvl w:ilvl="0" w:tplc="0409000F">
      <w:start w:val="1"/>
      <w:numFmt w:val="decimal"/>
      <w:lvlText w:val="%1."/>
      <w:lvlJc w:val="left"/>
      <w:pPr>
        <w:ind w:left="1195" w:hanging="360"/>
      </w:p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36">
    <w:nsid w:val="72C82597"/>
    <w:multiLevelType w:val="hybridMultilevel"/>
    <w:tmpl w:val="9D22A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65E5631"/>
    <w:multiLevelType w:val="multilevel"/>
    <w:tmpl w:val="CBFCFA7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8">
    <w:nsid w:val="78E4093D"/>
    <w:multiLevelType w:val="hybridMultilevel"/>
    <w:tmpl w:val="1C228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9E7AF3"/>
    <w:multiLevelType w:val="multilevel"/>
    <w:tmpl w:val="F886D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9EB083A"/>
    <w:multiLevelType w:val="hybridMultilevel"/>
    <w:tmpl w:val="27A40CBE"/>
    <w:lvl w:ilvl="0" w:tplc="C22242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BB61A7"/>
    <w:multiLevelType w:val="hybridMultilevel"/>
    <w:tmpl w:val="41DE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123388"/>
    <w:multiLevelType w:val="hybridMultilevel"/>
    <w:tmpl w:val="AF5E5132"/>
    <w:lvl w:ilvl="0" w:tplc="C222423A">
      <w:start w:val="1"/>
      <w:numFmt w:val="decimal"/>
      <w:lvlText w:val="%1."/>
      <w:lvlJc w:val="left"/>
      <w:pPr>
        <w:ind w:left="1080" w:hanging="720"/>
      </w:pPr>
      <w:rPr>
        <w:rFonts w:hint="default"/>
      </w:rPr>
    </w:lvl>
    <w:lvl w:ilvl="1" w:tplc="4C98C8FE">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0"/>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num>
  <w:num w:numId="6">
    <w:abstractNumId w:val="8"/>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39"/>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23"/>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36"/>
  </w:num>
  <w:num w:numId="10">
    <w:abstractNumId w:val="32"/>
  </w:num>
  <w:num w:numId="11">
    <w:abstractNumId w:val="7"/>
  </w:num>
  <w:num w:numId="12">
    <w:abstractNumId w:val="33"/>
  </w:num>
  <w:num w:numId="13">
    <w:abstractNumId w:val="34"/>
  </w:num>
  <w:num w:numId="14">
    <w:abstractNumId w:val="5"/>
  </w:num>
  <w:num w:numId="15">
    <w:abstractNumId w:val="15"/>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13"/>
  </w:num>
  <w:num w:numId="19">
    <w:abstractNumId w:val="35"/>
  </w:num>
  <w:num w:numId="20">
    <w:abstractNumId w:val="25"/>
  </w:num>
  <w:num w:numId="21">
    <w:abstractNumId w:val="41"/>
  </w:num>
  <w:num w:numId="22">
    <w:abstractNumId w:val="19"/>
  </w:num>
  <w:num w:numId="23">
    <w:abstractNumId w:val="38"/>
  </w:num>
  <w:num w:numId="24">
    <w:abstractNumId w:val="16"/>
  </w:num>
  <w:num w:numId="25">
    <w:abstractNumId w:val="14"/>
  </w:num>
  <w:num w:numId="26">
    <w:abstractNumId w:val="21"/>
  </w:num>
  <w:num w:numId="27">
    <w:abstractNumId w:val="29"/>
  </w:num>
  <w:num w:numId="28">
    <w:abstractNumId w:val="28"/>
  </w:num>
  <w:num w:numId="29">
    <w:abstractNumId w:val="11"/>
  </w:num>
  <w:num w:numId="30">
    <w:abstractNumId w:val="20"/>
  </w:num>
  <w:num w:numId="31">
    <w:abstractNumId w:val="4"/>
  </w:num>
  <w:num w:numId="32">
    <w:abstractNumId w:val="24"/>
  </w:num>
  <w:num w:numId="33">
    <w:abstractNumId w:val="37"/>
  </w:num>
  <w:num w:numId="34">
    <w:abstractNumId w:val="6"/>
  </w:num>
  <w:num w:numId="35">
    <w:abstractNumId w:val="1"/>
  </w:num>
  <w:num w:numId="36">
    <w:abstractNumId w:val="12"/>
  </w:num>
  <w:num w:numId="37">
    <w:abstractNumId w:val="40"/>
  </w:num>
  <w:num w:numId="38">
    <w:abstractNumId w:val="2"/>
  </w:num>
  <w:num w:numId="39">
    <w:abstractNumId w:val="3"/>
  </w:num>
  <w:num w:numId="40">
    <w:abstractNumId w:val="27"/>
  </w:num>
  <w:num w:numId="41">
    <w:abstractNumId w:val="42"/>
  </w:num>
  <w:num w:numId="42">
    <w:abstractNumId w:val="17"/>
  </w:num>
  <w:num w:numId="43">
    <w:abstractNumId w:val="22"/>
  </w:num>
  <w:num w:numId="44">
    <w:abstractNumId w:val="18"/>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20"/>
  <w:drawingGridHorizontalSpacing w:val="80"/>
  <w:drawingGridVertic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81"/>
    <w:rsid w:val="000037D0"/>
    <w:rsid w:val="00005756"/>
    <w:rsid w:val="00012853"/>
    <w:rsid w:val="000130D1"/>
    <w:rsid w:val="00014763"/>
    <w:rsid w:val="000155E8"/>
    <w:rsid w:val="00015F0B"/>
    <w:rsid w:val="000166F5"/>
    <w:rsid w:val="00030A92"/>
    <w:rsid w:val="00040AB3"/>
    <w:rsid w:val="00041D34"/>
    <w:rsid w:val="00042D2A"/>
    <w:rsid w:val="00045F42"/>
    <w:rsid w:val="0005280B"/>
    <w:rsid w:val="00054026"/>
    <w:rsid w:val="0005618A"/>
    <w:rsid w:val="00056762"/>
    <w:rsid w:val="0006084A"/>
    <w:rsid w:val="0006208C"/>
    <w:rsid w:val="00063515"/>
    <w:rsid w:val="00065F15"/>
    <w:rsid w:val="000663CB"/>
    <w:rsid w:val="00071F3D"/>
    <w:rsid w:val="0008672C"/>
    <w:rsid w:val="00090998"/>
    <w:rsid w:val="00093B13"/>
    <w:rsid w:val="00096B1E"/>
    <w:rsid w:val="000A279E"/>
    <w:rsid w:val="000A697A"/>
    <w:rsid w:val="000B58EC"/>
    <w:rsid w:val="000C41B5"/>
    <w:rsid w:val="000C5473"/>
    <w:rsid w:val="000C6A59"/>
    <w:rsid w:val="000C721A"/>
    <w:rsid w:val="000D31AC"/>
    <w:rsid w:val="000E03AB"/>
    <w:rsid w:val="000E668C"/>
    <w:rsid w:val="000F3F23"/>
    <w:rsid w:val="000F5AC3"/>
    <w:rsid w:val="001002BD"/>
    <w:rsid w:val="0010150B"/>
    <w:rsid w:val="00103F85"/>
    <w:rsid w:val="00104680"/>
    <w:rsid w:val="0010781F"/>
    <w:rsid w:val="00110C02"/>
    <w:rsid w:val="00113F23"/>
    <w:rsid w:val="001146A5"/>
    <w:rsid w:val="00117A18"/>
    <w:rsid w:val="001257EE"/>
    <w:rsid w:val="00141AF2"/>
    <w:rsid w:val="001432A3"/>
    <w:rsid w:val="001446D8"/>
    <w:rsid w:val="00144A9C"/>
    <w:rsid w:val="00146F88"/>
    <w:rsid w:val="00147497"/>
    <w:rsid w:val="001510B3"/>
    <w:rsid w:val="00155720"/>
    <w:rsid w:val="00172882"/>
    <w:rsid w:val="001824D9"/>
    <w:rsid w:val="00184D42"/>
    <w:rsid w:val="00187547"/>
    <w:rsid w:val="00194FD3"/>
    <w:rsid w:val="001A569D"/>
    <w:rsid w:val="001A7955"/>
    <w:rsid w:val="001B1A88"/>
    <w:rsid w:val="001C256F"/>
    <w:rsid w:val="001C4860"/>
    <w:rsid w:val="001C68CC"/>
    <w:rsid w:val="001D58D8"/>
    <w:rsid w:val="001D5A0C"/>
    <w:rsid w:val="001D745D"/>
    <w:rsid w:val="001D77F4"/>
    <w:rsid w:val="001E2483"/>
    <w:rsid w:val="001E2972"/>
    <w:rsid w:val="001E345E"/>
    <w:rsid w:val="001E622E"/>
    <w:rsid w:val="001F0404"/>
    <w:rsid w:val="001F20E5"/>
    <w:rsid w:val="001F74F6"/>
    <w:rsid w:val="00200664"/>
    <w:rsid w:val="0020244B"/>
    <w:rsid w:val="00211FC6"/>
    <w:rsid w:val="00212E4A"/>
    <w:rsid w:val="00213DE7"/>
    <w:rsid w:val="002241F3"/>
    <w:rsid w:val="00226283"/>
    <w:rsid w:val="00231306"/>
    <w:rsid w:val="00247077"/>
    <w:rsid w:val="00255A5D"/>
    <w:rsid w:val="00261621"/>
    <w:rsid w:val="00267C12"/>
    <w:rsid w:val="00270D0F"/>
    <w:rsid w:val="00272E6D"/>
    <w:rsid w:val="00273D4E"/>
    <w:rsid w:val="002742E6"/>
    <w:rsid w:val="00277CAA"/>
    <w:rsid w:val="00294809"/>
    <w:rsid w:val="002A761A"/>
    <w:rsid w:val="002B089E"/>
    <w:rsid w:val="002B1389"/>
    <w:rsid w:val="002C4ADB"/>
    <w:rsid w:val="002D6E4B"/>
    <w:rsid w:val="002E2398"/>
    <w:rsid w:val="002E280D"/>
    <w:rsid w:val="002E5CB6"/>
    <w:rsid w:val="002E69BE"/>
    <w:rsid w:val="002F1D78"/>
    <w:rsid w:val="002F3FBC"/>
    <w:rsid w:val="002F5B6A"/>
    <w:rsid w:val="002F5FCD"/>
    <w:rsid w:val="00311D22"/>
    <w:rsid w:val="00314066"/>
    <w:rsid w:val="00315F0E"/>
    <w:rsid w:val="0031698C"/>
    <w:rsid w:val="003256A6"/>
    <w:rsid w:val="00332855"/>
    <w:rsid w:val="00334D30"/>
    <w:rsid w:val="00337651"/>
    <w:rsid w:val="00341E4C"/>
    <w:rsid w:val="00341F9B"/>
    <w:rsid w:val="00343D4C"/>
    <w:rsid w:val="00346D40"/>
    <w:rsid w:val="00351DAE"/>
    <w:rsid w:val="003536E9"/>
    <w:rsid w:val="0035725D"/>
    <w:rsid w:val="003606B3"/>
    <w:rsid w:val="00360C1E"/>
    <w:rsid w:val="003619F1"/>
    <w:rsid w:val="00373838"/>
    <w:rsid w:val="0037534B"/>
    <w:rsid w:val="00375AC7"/>
    <w:rsid w:val="00376D4E"/>
    <w:rsid w:val="00377A73"/>
    <w:rsid w:val="003902B9"/>
    <w:rsid w:val="0039272A"/>
    <w:rsid w:val="00393B70"/>
    <w:rsid w:val="00396BCA"/>
    <w:rsid w:val="00397F1D"/>
    <w:rsid w:val="003A15A0"/>
    <w:rsid w:val="003A7120"/>
    <w:rsid w:val="003B0730"/>
    <w:rsid w:val="003B2F3D"/>
    <w:rsid w:val="003B6F20"/>
    <w:rsid w:val="003B7105"/>
    <w:rsid w:val="003C2C45"/>
    <w:rsid w:val="003C50C6"/>
    <w:rsid w:val="003D3ABE"/>
    <w:rsid w:val="003D5BB6"/>
    <w:rsid w:val="003E1F9E"/>
    <w:rsid w:val="003E7F11"/>
    <w:rsid w:val="003F4386"/>
    <w:rsid w:val="003F7CF8"/>
    <w:rsid w:val="004013AF"/>
    <w:rsid w:val="004019B7"/>
    <w:rsid w:val="00407205"/>
    <w:rsid w:val="00411B73"/>
    <w:rsid w:val="00417F5C"/>
    <w:rsid w:val="00421453"/>
    <w:rsid w:val="0044224C"/>
    <w:rsid w:val="00453723"/>
    <w:rsid w:val="00453816"/>
    <w:rsid w:val="00461B0E"/>
    <w:rsid w:val="00464CBE"/>
    <w:rsid w:val="00466F5E"/>
    <w:rsid w:val="00467E2A"/>
    <w:rsid w:val="00476F72"/>
    <w:rsid w:val="00485FE1"/>
    <w:rsid w:val="004870C3"/>
    <w:rsid w:val="0049024F"/>
    <w:rsid w:val="004A6635"/>
    <w:rsid w:val="004B1644"/>
    <w:rsid w:val="004B2781"/>
    <w:rsid w:val="004B4147"/>
    <w:rsid w:val="004B6441"/>
    <w:rsid w:val="004B6B3A"/>
    <w:rsid w:val="004B7C6C"/>
    <w:rsid w:val="004C4EC6"/>
    <w:rsid w:val="004C685A"/>
    <w:rsid w:val="004C7E74"/>
    <w:rsid w:val="004E1B3E"/>
    <w:rsid w:val="004E530D"/>
    <w:rsid w:val="004E74C0"/>
    <w:rsid w:val="004E77C4"/>
    <w:rsid w:val="004F0122"/>
    <w:rsid w:val="004F38E5"/>
    <w:rsid w:val="004F4484"/>
    <w:rsid w:val="00517F1A"/>
    <w:rsid w:val="00526EED"/>
    <w:rsid w:val="00532F84"/>
    <w:rsid w:val="0053695B"/>
    <w:rsid w:val="00536F9B"/>
    <w:rsid w:val="005378A2"/>
    <w:rsid w:val="00540CCF"/>
    <w:rsid w:val="00544C20"/>
    <w:rsid w:val="00554D66"/>
    <w:rsid w:val="0055764A"/>
    <w:rsid w:val="0056000B"/>
    <w:rsid w:val="005660E9"/>
    <w:rsid w:val="005718A9"/>
    <w:rsid w:val="005718C3"/>
    <w:rsid w:val="00586252"/>
    <w:rsid w:val="00586571"/>
    <w:rsid w:val="00591725"/>
    <w:rsid w:val="005921C3"/>
    <w:rsid w:val="005926DA"/>
    <w:rsid w:val="005B0103"/>
    <w:rsid w:val="005C2382"/>
    <w:rsid w:val="005C57D7"/>
    <w:rsid w:val="005D297F"/>
    <w:rsid w:val="005D378D"/>
    <w:rsid w:val="005D6D8C"/>
    <w:rsid w:val="005E1161"/>
    <w:rsid w:val="005E255B"/>
    <w:rsid w:val="005E4301"/>
    <w:rsid w:val="005E5BF6"/>
    <w:rsid w:val="005F1993"/>
    <w:rsid w:val="005F2269"/>
    <w:rsid w:val="005F4D3F"/>
    <w:rsid w:val="005F6AC8"/>
    <w:rsid w:val="005F6CE2"/>
    <w:rsid w:val="00600FC4"/>
    <w:rsid w:val="006034D7"/>
    <w:rsid w:val="00605355"/>
    <w:rsid w:val="006074BB"/>
    <w:rsid w:val="006102F4"/>
    <w:rsid w:val="006149F2"/>
    <w:rsid w:val="00616FD0"/>
    <w:rsid w:val="006226C6"/>
    <w:rsid w:val="00627583"/>
    <w:rsid w:val="00627F7D"/>
    <w:rsid w:val="00630D64"/>
    <w:rsid w:val="00633D0E"/>
    <w:rsid w:val="006466D7"/>
    <w:rsid w:val="00647917"/>
    <w:rsid w:val="006560E0"/>
    <w:rsid w:val="006577E9"/>
    <w:rsid w:val="00657FA9"/>
    <w:rsid w:val="00663919"/>
    <w:rsid w:val="00665BE0"/>
    <w:rsid w:val="00667445"/>
    <w:rsid w:val="00670D59"/>
    <w:rsid w:val="006717AA"/>
    <w:rsid w:val="00675439"/>
    <w:rsid w:val="00681138"/>
    <w:rsid w:val="00685C8D"/>
    <w:rsid w:val="00694239"/>
    <w:rsid w:val="006B1545"/>
    <w:rsid w:val="006B1B29"/>
    <w:rsid w:val="006B23FC"/>
    <w:rsid w:val="006B28BC"/>
    <w:rsid w:val="006B45D0"/>
    <w:rsid w:val="006C20CC"/>
    <w:rsid w:val="006C7B72"/>
    <w:rsid w:val="006C7EC1"/>
    <w:rsid w:val="006D0F80"/>
    <w:rsid w:val="006D13CD"/>
    <w:rsid w:val="006E1247"/>
    <w:rsid w:val="006F0025"/>
    <w:rsid w:val="006F72AD"/>
    <w:rsid w:val="006F7F3E"/>
    <w:rsid w:val="00711563"/>
    <w:rsid w:val="00713909"/>
    <w:rsid w:val="00714E7B"/>
    <w:rsid w:val="007226AF"/>
    <w:rsid w:val="00723257"/>
    <w:rsid w:val="00726F77"/>
    <w:rsid w:val="0072721D"/>
    <w:rsid w:val="00736A9B"/>
    <w:rsid w:val="007414D8"/>
    <w:rsid w:val="00746901"/>
    <w:rsid w:val="007508F7"/>
    <w:rsid w:val="00753821"/>
    <w:rsid w:val="007626B8"/>
    <w:rsid w:val="0076294C"/>
    <w:rsid w:val="007638BF"/>
    <w:rsid w:val="00771007"/>
    <w:rsid w:val="0077265F"/>
    <w:rsid w:val="00773AE3"/>
    <w:rsid w:val="00776816"/>
    <w:rsid w:val="00783701"/>
    <w:rsid w:val="00785AC8"/>
    <w:rsid w:val="007908B7"/>
    <w:rsid w:val="007914DE"/>
    <w:rsid w:val="00794ECB"/>
    <w:rsid w:val="007956BD"/>
    <w:rsid w:val="0079630C"/>
    <w:rsid w:val="007A03A0"/>
    <w:rsid w:val="007B4885"/>
    <w:rsid w:val="007C13DC"/>
    <w:rsid w:val="007C675D"/>
    <w:rsid w:val="007C77AA"/>
    <w:rsid w:val="007C7C7C"/>
    <w:rsid w:val="007C7D72"/>
    <w:rsid w:val="007D5827"/>
    <w:rsid w:val="007E2565"/>
    <w:rsid w:val="007F34B4"/>
    <w:rsid w:val="007F634F"/>
    <w:rsid w:val="007F7068"/>
    <w:rsid w:val="00800A0A"/>
    <w:rsid w:val="0080349F"/>
    <w:rsid w:val="00803687"/>
    <w:rsid w:val="008052A3"/>
    <w:rsid w:val="0081001F"/>
    <w:rsid w:val="00817AD7"/>
    <w:rsid w:val="0082069A"/>
    <w:rsid w:val="00822976"/>
    <w:rsid w:val="00822C04"/>
    <w:rsid w:val="00827418"/>
    <w:rsid w:val="0083063B"/>
    <w:rsid w:val="00834780"/>
    <w:rsid w:val="008362F4"/>
    <w:rsid w:val="00840509"/>
    <w:rsid w:val="00847348"/>
    <w:rsid w:val="008477BE"/>
    <w:rsid w:val="008615C4"/>
    <w:rsid w:val="0086304F"/>
    <w:rsid w:val="008655CD"/>
    <w:rsid w:val="00866B99"/>
    <w:rsid w:val="008700C0"/>
    <w:rsid w:val="00884649"/>
    <w:rsid w:val="0089498F"/>
    <w:rsid w:val="00897617"/>
    <w:rsid w:val="008A43F2"/>
    <w:rsid w:val="008A5DF8"/>
    <w:rsid w:val="008C4542"/>
    <w:rsid w:val="008C712B"/>
    <w:rsid w:val="008D0598"/>
    <w:rsid w:val="008D3E7A"/>
    <w:rsid w:val="008D5BAD"/>
    <w:rsid w:val="008E0604"/>
    <w:rsid w:val="008E2D74"/>
    <w:rsid w:val="008E3D24"/>
    <w:rsid w:val="008E4B3D"/>
    <w:rsid w:val="008F2B0B"/>
    <w:rsid w:val="009008CB"/>
    <w:rsid w:val="00902D54"/>
    <w:rsid w:val="00914A8A"/>
    <w:rsid w:val="00923103"/>
    <w:rsid w:val="009312C4"/>
    <w:rsid w:val="0093597C"/>
    <w:rsid w:val="00941ACE"/>
    <w:rsid w:val="00951D03"/>
    <w:rsid w:val="00952D8A"/>
    <w:rsid w:val="009536DD"/>
    <w:rsid w:val="00956886"/>
    <w:rsid w:val="009629D1"/>
    <w:rsid w:val="00967C19"/>
    <w:rsid w:val="0097001D"/>
    <w:rsid w:val="009704FD"/>
    <w:rsid w:val="00976EE7"/>
    <w:rsid w:val="00987818"/>
    <w:rsid w:val="00997C14"/>
    <w:rsid w:val="009A3B41"/>
    <w:rsid w:val="009A4AD6"/>
    <w:rsid w:val="009A65A0"/>
    <w:rsid w:val="009C3F26"/>
    <w:rsid w:val="009C5101"/>
    <w:rsid w:val="009C564F"/>
    <w:rsid w:val="009D2536"/>
    <w:rsid w:val="009D30FA"/>
    <w:rsid w:val="009D5052"/>
    <w:rsid w:val="009D69D1"/>
    <w:rsid w:val="009D6B8F"/>
    <w:rsid w:val="009E2006"/>
    <w:rsid w:val="009F0EFE"/>
    <w:rsid w:val="009F1035"/>
    <w:rsid w:val="009F2234"/>
    <w:rsid w:val="009F5809"/>
    <w:rsid w:val="00A05A38"/>
    <w:rsid w:val="00A12F7D"/>
    <w:rsid w:val="00A21DC4"/>
    <w:rsid w:val="00A34FC3"/>
    <w:rsid w:val="00A36D84"/>
    <w:rsid w:val="00A403E9"/>
    <w:rsid w:val="00A44B63"/>
    <w:rsid w:val="00A44CEB"/>
    <w:rsid w:val="00A46212"/>
    <w:rsid w:val="00A50245"/>
    <w:rsid w:val="00A51D54"/>
    <w:rsid w:val="00A549AB"/>
    <w:rsid w:val="00A55E0C"/>
    <w:rsid w:val="00A56BB2"/>
    <w:rsid w:val="00A6352B"/>
    <w:rsid w:val="00A67099"/>
    <w:rsid w:val="00A671B6"/>
    <w:rsid w:val="00A76DDD"/>
    <w:rsid w:val="00A84C0E"/>
    <w:rsid w:val="00A94DC8"/>
    <w:rsid w:val="00A953DD"/>
    <w:rsid w:val="00A9585D"/>
    <w:rsid w:val="00AA3E90"/>
    <w:rsid w:val="00AA6A57"/>
    <w:rsid w:val="00AB0F84"/>
    <w:rsid w:val="00AB2DCF"/>
    <w:rsid w:val="00AB5E46"/>
    <w:rsid w:val="00AB7412"/>
    <w:rsid w:val="00AC0F82"/>
    <w:rsid w:val="00AC60D1"/>
    <w:rsid w:val="00AD2459"/>
    <w:rsid w:val="00AD32EA"/>
    <w:rsid w:val="00AD5E20"/>
    <w:rsid w:val="00AE1425"/>
    <w:rsid w:val="00AE2B47"/>
    <w:rsid w:val="00AE33B8"/>
    <w:rsid w:val="00AE38EE"/>
    <w:rsid w:val="00AE7C27"/>
    <w:rsid w:val="00AF0B9D"/>
    <w:rsid w:val="00B06E74"/>
    <w:rsid w:val="00B11B6F"/>
    <w:rsid w:val="00B14799"/>
    <w:rsid w:val="00B15106"/>
    <w:rsid w:val="00B15861"/>
    <w:rsid w:val="00B2325B"/>
    <w:rsid w:val="00B24F06"/>
    <w:rsid w:val="00B26A45"/>
    <w:rsid w:val="00B305F9"/>
    <w:rsid w:val="00B347E4"/>
    <w:rsid w:val="00B448AB"/>
    <w:rsid w:val="00B51719"/>
    <w:rsid w:val="00B55177"/>
    <w:rsid w:val="00B554D2"/>
    <w:rsid w:val="00B55BBA"/>
    <w:rsid w:val="00B57B5E"/>
    <w:rsid w:val="00B6090B"/>
    <w:rsid w:val="00B62104"/>
    <w:rsid w:val="00B64360"/>
    <w:rsid w:val="00B66B60"/>
    <w:rsid w:val="00B76B82"/>
    <w:rsid w:val="00B803FC"/>
    <w:rsid w:val="00B80971"/>
    <w:rsid w:val="00B826C0"/>
    <w:rsid w:val="00B90848"/>
    <w:rsid w:val="00B954EF"/>
    <w:rsid w:val="00BA295A"/>
    <w:rsid w:val="00BA321D"/>
    <w:rsid w:val="00BA3246"/>
    <w:rsid w:val="00BA3E33"/>
    <w:rsid w:val="00BA6FBA"/>
    <w:rsid w:val="00BB01DD"/>
    <w:rsid w:val="00BB04D8"/>
    <w:rsid w:val="00BB0925"/>
    <w:rsid w:val="00BB261E"/>
    <w:rsid w:val="00BC004D"/>
    <w:rsid w:val="00BC1E4F"/>
    <w:rsid w:val="00BC5BB5"/>
    <w:rsid w:val="00BC64AB"/>
    <w:rsid w:val="00BD2EC1"/>
    <w:rsid w:val="00BD3EE9"/>
    <w:rsid w:val="00BE0984"/>
    <w:rsid w:val="00BE0BDC"/>
    <w:rsid w:val="00BE398F"/>
    <w:rsid w:val="00BE5507"/>
    <w:rsid w:val="00BE6216"/>
    <w:rsid w:val="00BE6BFF"/>
    <w:rsid w:val="00BE7C66"/>
    <w:rsid w:val="00BF434C"/>
    <w:rsid w:val="00BF49EF"/>
    <w:rsid w:val="00C07F42"/>
    <w:rsid w:val="00C12536"/>
    <w:rsid w:val="00C24151"/>
    <w:rsid w:val="00C30F3D"/>
    <w:rsid w:val="00C33990"/>
    <w:rsid w:val="00C449AC"/>
    <w:rsid w:val="00C53B62"/>
    <w:rsid w:val="00C5571B"/>
    <w:rsid w:val="00C60F20"/>
    <w:rsid w:val="00C63A49"/>
    <w:rsid w:val="00C70F5A"/>
    <w:rsid w:val="00C8035C"/>
    <w:rsid w:val="00C843B5"/>
    <w:rsid w:val="00C849B8"/>
    <w:rsid w:val="00C87D79"/>
    <w:rsid w:val="00C90E9A"/>
    <w:rsid w:val="00C91641"/>
    <w:rsid w:val="00CB08F7"/>
    <w:rsid w:val="00CB2087"/>
    <w:rsid w:val="00CB2A7B"/>
    <w:rsid w:val="00CB7F8B"/>
    <w:rsid w:val="00CD258B"/>
    <w:rsid w:val="00CD3AB1"/>
    <w:rsid w:val="00CD4988"/>
    <w:rsid w:val="00CD5422"/>
    <w:rsid w:val="00CD622F"/>
    <w:rsid w:val="00CE15AE"/>
    <w:rsid w:val="00CE712E"/>
    <w:rsid w:val="00CF44F7"/>
    <w:rsid w:val="00CF4A65"/>
    <w:rsid w:val="00D00064"/>
    <w:rsid w:val="00D0013D"/>
    <w:rsid w:val="00D00F60"/>
    <w:rsid w:val="00D01B46"/>
    <w:rsid w:val="00D0224C"/>
    <w:rsid w:val="00D06F47"/>
    <w:rsid w:val="00D12D97"/>
    <w:rsid w:val="00D20571"/>
    <w:rsid w:val="00D23F45"/>
    <w:rsid w:val="00D31672"/>
    <w:rsid w:val="00D34186"/>
    <w:rsid w:val="00D448E1"/>
    <w:rsid w:val="00D44E36"/>
    <w:rsid w:val="00D4574C"/>
    <w:rsid w:val="00D60973"/>
    <w:rsid w:val="00D636DB"/>
    <w:rsid w:val="00D63AD2"/>
    <w:rsid w:val="00D76D80"/>
    <w:rsid w:val="00D80B8E"/>
    <w:rsid w:val="00D80E1E"/>
    <w:rsid w:val="00D8475B"/>
    <w:rsid w:val="00D975E7"/>
    <w:rsid w:val="00D97ECB"/>
    <w:rsid w:val="00DA17C7"/>
    <w:rsid w:val="00DA1860"/>
    <w:rsid w:val="00DA5084"/>
    <w:rsid w:val="00DA6314"/>
    <w:rsid w:val="00DA739B"/>
    <w:rsid w:val="00DB00D9"/>
    <w:rsid w:val="00DB1126"/>
    <w:rsid w:val="00DB42E7"/>
    <w:rsid w:val="00DB46C3"/>
    <w:rsid w:val="00DB50A2"/>
    <w:rsid w:val="00DB553D"/>
    <w:rsid w:val="00DC50F5"/>
    <w:rsid w:val="00DD04FD"/>
    <w:rsid w:val="00DD0F1B"/>
    <w:rsid w:val="00DD1020"/>
    <w:rsid w:val="00DD1F73"/>
    <w:rsid w:val="00DD69C1"/>
    <w:rsid w:val="00DE2727"/>
    <w:rsid w:val="00DE428B"/>
    <w:rsid w:val="00DF24C0"/>
    <w:rsid w:val="00DF3CFC"/>
    <w:rsid w:val="00DF5D23"/>
    <w:rsid w:val="00E00E23"/>
    <w:rsid w:val="00E023A7"/>
    <w:rsid w:val="00E03088"/>
    <w:rsid w:val="00E03321"/>
    <w:rsid w:val="00E03522"/>
    <w:rsid w:val="00E0400B"/>
    <w:rsid w:val="00E10762"/>
    <w:rsid w:val="00E33680"/>
    <w:rsid w:val="00E377FE"/>
    <w:rsid w:val="00E429E7"/>
    <w:rsid w:val="00E4366B"/>
    <w:rsid w:val="00E43CCB"/>
    <w:rsid w:val="00E44F0B"/>
    <w:rsid w:val="00E457E7"/>
    <w:rsid w:val="00E46F87"/>
    <w:rsid w:val="00E50650"/>
    <w:rsid w:val="00E53468"/>
    <w:rsid w:val="00E76581"/>
    <w:rsid w:val="00E773C4"/>
    <w:rsid w:val="00E830A5"/>
    <w:rsid w:val="00E83CD0"/>
    <w:rsid w:val="00E85FF7"/>
    <w:rsid w:val="00EA3763"/>
    <w:rsid w:val="00EB2B80"/>
    <w:rsid w:val="00EB4518"/>
    <w:rsid w:val="00EB54CD"/>
    <w:rsid w:val="00EB6293"/>
    <w:rsid w:val="00EB6674"/>
    <w:rsid w:val="00EB7532"/>
    <w:rsid w:val="00EC5A7D"/>
    <w:rsid w:val="00EC6C15"/>
    <w:rsid w:val="00ED2D40"/>
    <w:rsid w:val="00EF1C04"/>
    <w:rsid w:val="00EF7919"/>
    <w:rsid w:val="00F04017"/>
    <w:rsid w:val="00F0429B"/>
    <w:rsid w:val="00F06079"/>
    <w:rsid w:val="00F1742E"/>
    <w:rsid w:val="00F208D8"/>
    <w:rsid w:val="00F440C1"/>
    <w:rsid w:val="00F47EE2"/>
    <w:rsid w:val="00F51BB5"/>
    <w:rsid w:val="00F51DF1"/>
    <w:rsid w:val="00F535E7"/>
    <w:rsid w:val="00F55CEF"/>
    <w:rsid w:val="00F562CC"/>
    <w:rsid w:val="00F57124"/>
    <w:rsid w:val="00F5773D"/>
    <w:rsid w:val="00F617E4"/>
    <w:rsid w:val="00F65565"/>
    <w:rsid w:val="00F65964"/>
    <w:rsid w:val="00F67274"/>
    <w:rsid w:val="00F7135C"/>
    <w:rsid w:val="00F80D9C"/>
    <w:rsid w:val="00F83367"/>
    <w:rsid w:val="00F877B8"/>
    <w:rsid w:val="00F909F2"/>
    <w:rsid w:val="00F949F2"/>
    <w:rsid w:val="00F94C53"/>
    <w:rsid w:val="00FA0739"/>
    <w:rsid w:val="00FA1426"/>
    <w:rsid w:val="00FA31E7"/>
    <w:rsid w:val="00FA4C44"/>
    <w:rsid w:val="00FA4FD2"/>
    <w:rsid w:val="00FA5593"/>
    <w:rsid w:val="00FB0360"/>
    <w:rsid w:val="00FB6812"/>
    <w:rsid w:val="00FC02B1"/>
    <w:rsid w:val="00FC0388"/>
    <w:rsid w:val="00FD0F26"/>
    <w:rsid w:val="00FD1E78"/>
    <w:rsid w:val="00FD20BF"/>
    <w:rsid w:val="00FD6E20"/>
    <w:rsid w:val="00FF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7845DB"/>
  <w14:defaultImageDpi w14:val="300"/>
  <w15:chartTrackingRefBased/>
  <w15:docId w15:val="{2B044F46-8DF9-4B85-BBC6-7F15E4E5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F87"/>
    <w:pPr>
      <w:ind w:left="360"/>
    </w:pPr>
    <w:rPr>
      <w:rFonts w:ascii="Arial" w:hAnsi="Arial"/>
      <w:szCs w:val="22"/>
      <w:lang w:bidi="en-US"/>
    </w:rPr>
  </w:style>
  <w:style w:type="paragraph" w:styleId="Heading1">
    <w:name w:val="heading 1"/>
    <w:basedOn w:val="Heading2"/>
    <w:next w:val="Normal"/>
    <w:link w:val="Heading1Char"/>
    <w:uiPriority w:val="9"/>
    <w:qFormat/>
    <w:rsid w:val="008615C4"/>
    <w:pPr>
      <w:outlineLvl w:val="0"/>
    </w:pPr>
    <w:rPr>
      <w:bCs/>
      <w:sz w:val="28"/>
      <w:szCs w:val="28"/>
    </w:rPr>
  </w:style>
  <w:style w:type="paragraph" w:styleId="Heading2">
    <w:name w:val="heading 2"/>
    <w:basedOn w:val="Normal"/>
    <w:next w:val="Normal"/>
    <w:link w:val="Heading2Char"/>
    <w:uiPriority w:val="9"/>
    <w:qFormat/>
    <w:rsid w:val="002E2398"/>
    <w:pPr>
      <w:ind w:left="0"/>
      <w:outlineLvl w:val="1"/>
    </w:pPr>
    <w:rPr>
      <w:b/>
    </w:rPr>
  </w:style>
  <w:style w:type="paragraph" w:styleId="Heading3">
    <w:name w:val="heading 3"/>
    <w:basedOn w:val="Normal"/>
    <w:next w:val="Normal"/>
    <w:link w:val="Heading3Char"/>
    <w:uiPriority w:val="9"/>
    <w:qFormat/>
    <w:rsid w:val="002E2398"/>
    <w:pPr>
      <w:ind w:left="0"/>
      <w:outlineLvl w:val="2"/>
    </w:pPr>
    <w:rPr>
      <w:u w:val="single"/>
    </w:rPr>
  </w:style>
  <w:style w:type="paragraph" w:styleId="Heading4">
    <w:name w:val="heading 4"/>
    <w:basedOn w:val="Normal"/>
    <w:next w:val="Normal"/>
    <w:link w:val="Heading4Char"/>
    <w:uiPriority w:val="9"/>
    <w:qFormat/>
    <w:rsid w:val="002E2398"/>
    <w:pPr>
      <w:ind w:left="0"/>
      <w:outlineLvl w:val="3"/>
    </w:pPr>
    <w:rPr>
      <w:i/>
    </w:rPr>
  </w:style>
  <w:style w:type="paragraph" w:styleId="Heading5">
    <w:name w:val="heading 5"/>
    <w:basedOn w:val="Normal"/>
    <w:next w:val="Normal"/>
    <w:link w:val="Heading5Char"/>
    <w:uiPriority w:val="9"/>
    <w:qFormat/>
    <w:rsid w:val="002F5B6A"/>
    <w:pPr>
      <w:spacing w:before="200"/>
      <w:outlineLvl w:val="4"/>
    </w:pPr>
    <w:rPr>
      <w:rFonts w:ascii="Cambria" w:eastAsia="Times New Roman" w:hAnsi="Cambria"/>
      <w:b/>
      <w:bCs/>
      <w:color w:val="7F7F7F"/>
      <w:szCs w:val="20"/>
      <w:lang w:val="x-none" w:eastAsia="x-none" w:bidi="ar-SA"/>
    </w:rPr>
  </w:style>
  <w:style w:type="paragraph" w:styleId="Heading6">
    <w:name w:val="heading 6"/>
    <w:basedOn w:val="Normal"/>
    <w:next w:val="Normal"/>
    <w:link w:val="Heading6Char"/>
    <w:uiPriority w:val="9"/>
    <w:qFormat/>
    <w:rsid w:val="002F5B6A"/>
    <w:pPr>
      <w:spacing w:line="271" w:lineRule="auto"/>
      <w:outlineLvl w:val="5"/>
    </w:pPr>
    <w:rPr>
      <w:rFonts w:ascii="Cambria" w:eastAsia="Times New Roman" w:hAnsi="Cambria"/>
      <w:b/>
      <w:bCs/>
      <w:i/>
      <w:iCs/>
      <w:color w:val="7F7F7F"/>
      <w:szCs w:val="20"/>
      <w:lang w:val="x-none" w:eastAsia="x-none" w:bidi="ar-SA"/>
    </w:rPr>
  </w:style>
  <w:style w:type="paragraph" w:styleId="Heading7">
    <w:name w:val="heading 7"/>
    <w:basedOn w:val="Normal"/>
    <w:next w:val="Normal"/>
    <w:link w:val="Heading7Char"/>
    <w:uiPriority w:val="9"/>
    <w:qFormat/>
    <w:rsid w:val="002F5B6A"/>
    <w:pPr>
      <w:outlineLvl w:val="6"/>
    </w:pPr>
    <w:rPr>
      <w:rFonts w:ascii="Cambria" w:eastAsia="Times New Roman" w:hAnsi="Cambria"/>
      <w:i/>
      <w:iCs/>
      <w:szCs w:val="20"/>
      <w:lang w:val="x-none" w:eastAsia="x-none" w:bidi="ar-SA"/>
    </w:rPr>
  </w:style>
  <w:style w:type="paragraph" w:styleId="Heading8">
    <w:name w:val="heading 8"/>
    <w:basedOn w:val="Normal"/>
    <w:next w:val="Normal"/>
    <w:link w:val="Heading8Char"/>
    <w:uiPriority w:val="9"/>
    <w:qFormat/>
    <w:rsid w:val="002F5B6A"/>
    <w:pPr>
      <w:outlineLvl w:val="7"/>
    </w:pPr>
    <w:rPr>
      <w:rFonts w:ascii="Cambria" w:eastAsia="Times New Roman" w:hAnsi="Cambria"/>
      <w:szCs w:val="20"/>
      <w:lang w:val="x-none" w:eastAsia="x-none" w:bidi="ar-SA"/>
    </w:rPr>
  </w:style>
  <w:style w:type="paragraph" w:styleId="Heading9">
    <w:name w:val="heading 9"/>
    <w:basedOn w:val="Normal"/>
    <w:next w:val="Normal"/>
    <w:link w:val="Heading9Char"/>
    <w:uiPriority w:val="9"/>
    <w:qFormat/>
    <w:rsid w:val="002F5B6A"/>
    <w:pPr>
      <w:outlineLvl w:val="8"/>
    </w:pPr>
    <w:rPr>
      <w:rFonts w:ascii="Cambria" w:eastAsia="Times New Roman" w:hAnsi="Cambria"/>
      <w:i/>
      <w:iCs/>
      <w:spacing w:val="5"/>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615C4"/>
    <w:rPr>
      <w:rFonts w:ascii="Arial" w:hAnsi="Arial"/>
      <w:b/>
      <w:sz w:val="28"/>
      <w:szCs w:val="28"/>
    </w:rPr>
  </w:style>
  <w:style w:type="character" w:customStyle="1" w:styleId="Heading2Char">
    <w:name w:val="Heading 2 Char"/>
    <w:link w:val="Heading2"/>
    <w:uiPriority w:val="9"/>
    <w:rsid w:val="002E2398"/>
    <w:rPr>
      <w:rFonts w:ascii="Arial" w:hAnsi="Arial"/>
      <w:b/>
      <w:szCs w:val="22"/>
      <w:lang w:bidi="en-US"/>
    </w:rPr>
  </w:style>
  <w:style w:type="character" w:customStyle="1" w:styleId="Heading3Char">
    <w:name w:val="Heading 3 Char"/>
    <w:link w:val="Heading3"/>
    <w:uiPriority w:val="9"/>
    <w:rsid w:val="002E2398"/>
    <w:rPr>
      <w:rFonts w:ascii="Arial" w:hAnsi="Arial"/>
      <w:szCs w:val="22"/>
      <w:u w:val="single"/>
      <w:lang w:bidi="en-US"/>
    </w:rPr>
  </w:style>
  <w:style w:type="character" w:customStyle="1" w:styleId="Heading4Char">
    <w:name w:val="Heading 4 Char"/>
    <w:link w:val="Heading4"/>
    <w:uiPriority w:val="9"/>
    <w:rsid w:val="002E2398"/>
    <w:rPr>
      <w:rFonts w:ascii="Arial" w:hAnsi="Arial"/>
      <w:i/>
      <w:szCs w:val="22"/>
      <w:lang w:bidi="en-US"/>
    </w:rPr>
  </w:style>
  <w:style w:type="character" w:customStyle="1" w:styleId="Heading5Char">
    <w:name w:val="Heading 5 Char"/>
    <w:link w:val="Heading5"/>
    <w:uiPriority w:val="9"/>
    <w:semiHidden/>
    <w:rsid w:val="002F5B6A"/>
    <w:rPr>
      <w:rFonts w:ascii="Cambria" w:eastAsia="Times New Roman" w:hAnsi="Cambria" w:cs="Times New Roman"/>
      <w:b/>
      <w:bCs/>
      <w:color w:val="7F7F7F"/>
    </w:rPr>
  </w:style>
  <w:style w:type="character" w:customStyle="1" w:styleId="Heading6Char">
    <w:name w:val="Heading 6 Char"/>
    <w:link w:val="Heading6"/>
    <w:uiPriority w:val="9"/>
    <w:semiHidden/>
    <w:rsid w:val="002F5B6A"/>
    <w:rPr>
      <w:rFonts w:ascii="Cambria" w:eastAsia="Times New Roman" w:hAnsi="Cambria" w:cs="Times New Roman"/>
      <w:b/>
      <w:bCs/>
      <w:i/>
      <w:iCs/>
      <w:color w:val="7F7F7F"/>
    </w:rPr>
  </w:style>
  <w:style w:type="character" w:customStyle="1" w:styleId="Heading7Char">
    <w:name w:val="Heading 7 Char"/>
    <w:link w:val="Heading7"/>
    <w:uiPriority w:val="9"/>
    <w:semiHidden/>
    <w:rsid w:val="002F5B6A"/>
    <w:rPr>
      <w:rFonts w:ascii="Cambria" w:eastAsia="Times New Roman" w:hAnsi="Cambria" w:cs="Times New Roman"/>
      <w:i/>
      <w:iCs/>
    </w:rPr>
  </w:style>
  <w:style w:type="character" w:customStyle="1" w:styleId="Heading8Char">
    <w:name w:val="Heading 8 Char"/>
    <w:link w:val="Heading8"/>
    <w:uiPriority w:val="9"/>
    <w:semiHidden/>
    <w:rsid w:val="002F5B6A"/>
    <w:rPr>
      <w:rFonts w:ascii="Cambria" w:eastAsia="Times New Roman" w:hAnsi="Cambria" w:cs="Times New Roman"/>
      <w:sz w:val="20"/>
      <w:szCs w:val="20"/>
    </w:rPr>
  </w:style>
  <w:style w:type="character" w:customStyle="1" w:styleId="Heading9Char">
    <w:name w:val="Heading 9 Char"/>
    <w:link w:val="Heading9"/>
    <w:uiPriority w:val="9"/>
    <w:semiHidden/>
    <w:rsid w:val="002F5B6A"/>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2F5B6A"/>
    <w:pPr>
      <w:pBdr>
        <w:bottom w:val="single" w:sz="4" w:space="1" w:color="auto"/>
      </w:pBdr>
      <w:contextualSpacing/>
    </w:pPr>
    <w:rPr>
      <w:rFonts w:ascii="Cambria" w:eastAsia="Times New Roman" w:hAnsi="Cambria"/>
      <w:spacing w:val="5"/>
      <w:sz w:val="52"/>
      <w:szCs w:val="52"/>
      <w:lang w:val="x-none" w:eastAsia="x-none" w:bidi="ar-SA"/>
    </w:rPr>
  </w:style>
  <w:style w:type="character" w:customStyle="1" w:styleId="TitleChar">
    <w:name w:val="Title Char"/>
    <w:link w:val="Title"/>
    <w:uiPriority w:val="10"/>
    <w:rsid w:val="002F5B6A"/>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2F5B6A"/>
    <w:pPr>
      <w:spacing w:after="600"/>
    </w:pPr>
    <w:rPr>
      <w:rFonts w:ascii="Cambria" w:eastAsia="Times New Roman" w:hAnsi="Cambria"/>
      <w:i/>
      <w:iCs/>
      <w:spacing w:val="13"/>
      <w:sz w:val="24"/>
      <w:szCs w:val="24"/>
      <w:lang w:val="x-none" w:eastAsia="x-none" w:bidi="ar-SA"/>
    </w:rPr>
  </w:style>
  <w:style w:type="character" w:customStyle="1" w:styleId="SubtitleChar">
    <w:name w:val="Subtitle Char"/>
    <w:link w:val="Subtitle"/>
    <w:uiPriority w:val="11"/>
    <w:rsid w:val="002F5B6A"/>
    <w:rPr>
      <w:rFonts w:ascii="Cambria" w:eastAsia="Times New Roman" w:hAnsi="Cambria" w:cs="Times New Roman"/>
      <w:i/>
      <w:iCs/>
      <w:spacing w:val="13"/>
      <w:sz w:val="24"/>
      <w:szCs w:val="24"/>
    </w:rPr>
  </w:style>
  <w:style w:type="character" w:styleId="Strong">
    <w:name w:val="Strong"/>
    <w:uiPriority w:val="22"/>
    <w:qFormat/>
    <w:rsid w:val="002F5B6A"/>
    <w:rPr>
      <w:b/>
      <w:bCs/>
    </w:rPr>
  </w:style>
  <w:style w:type="character" w:styleId="Emphasis">
    <w:name w:val="Emphasis"/>
    <w:uiPriority w:val="20"/>
    <w:qFormat/>
    <w:rsid w:val="002F5B6A"/>
    <w:rPr>
      <w:b/>
      <w:bCs/>
      <w:i/>
      <w:iCs/>
      <w:spacing w:val="10"/>
      <w:bdr w:val="none" w:sz="0" w:space="0" w:color="auto"/>
      <w:shd w:val="clear" w:color="auto" w:fill="auto"/>
    </w:rPr>
  </w:style>
  <w:style w:type="paragraph" w:customStyle="1" w:styleId="MediumShading1-Accent11">
    <w:name w:val="Medium Shading 1 - Accent 11"/>
    <w:aliases w:val="Bob Comments"/>
    <w:basedOn w:val="Normal"/>
    <w:link w:val="MediumShading1-Accent1Char"/>
    <w:uiPriority w:val="1"/>
    <w:qFormat/>
    <w:rsid w:val="002F5B6A"/>
    <w:rPr>
      <w:lang w:val="x-none" w:eastAsia="x-none"/>
    </w:rPr>
  </w:style>
  <w:style w:type="paragraph" w:customStyle="1" w:styleId="MediumGrid1-Accent21">
    <w:name w:val="Medium Grid 1 - Accent 21"/>
    <w:basedOn w:val="Normal"/>
    <w:uiPriority w:val="34"/>
    <w:qFormat/>
    <w:rsid w:val="002F5B6A"/>
    <w:pPr>
      <w:contextualSpacing/>
    </w:pPr>
  </w:style>
  <w:style w:type="paragraph" w:customStyle="1" w:styleId="MediumGrid2-Accent21">
    <w:name w:val="Medium Grid 2 - Accent 21"/>
    <w:basedOn w:val="Normal"/>
    <w:next w:val="Normal"/>
    <w:link w:val="MediumGrid2-Accent2Char"/>
    <w:uiPriority w:val="29"/>
    <w:qFormat/>
    <w:rsid w:val="002F5B6A"/>
    <w:pPr>
      <w:spacing w:before="200"/>
      <w:ind w:right="360"/>
    </w:pPr>
    <w:rPr>
      <w:rFonts w:ascii="Calibri" w:hAnsi="Calibri"/>
      <w:i/>
      <w:iCs/>
      <w:szCs w:val="20"/>
      <w:lang w:val="x-none" w:eastAsia="x-none" w:bidi="ar-SA"/>
    </w:rPr>
  </w:style>
  <w:style w:type="character" w:customStyle="1" w:styleId="MediumGrid2-Accent2Char">
    <w:name w:val="Medium Grid 2 - Accent 2 Char"/>
    <w:link w:val="MediumGrid2-Accent21"/>
    <w:uiPriority w:val="29"/>
    <w:rsid w:val="002F5B6A"/>
    <w:rPr>
      <w:i/>
      <w:iCs/>
    </w:rPr>
  </w:style>
  <w:style w:type="paragraph" w:customStyle="1" w:styleId="MediumGrid3-Accent21">
    <w:name w:val="Medium Grid 3 - Accent 21"/>
    <w:basedOn w:val="Normal"/>
    <w:next w:val="Normal"/>
    <w:link w:val="MediumGrid3-Accent2Char"/>
    <w:uiPriority w:val="30"/>
    <w:qFormat/>
    <w:rsid w:val="002F5B6A"/>
    <w:pPr>
      <w:pBdr>
        <w:bottom w:val="single" w:sz="4" w:space="1" w:color="auto"/>
      </w:pBdr>
      <w:spacing w:before="200" w:after="280"/>
      <w:ind w:left="1008" w:right="1152"/>
    </w:pPr>
    <w:rPr>
      <w:rFonts w:ascii="Calibri" w:hAnsi="Calibri"/>
      <w:b/>
      <w:bCs/>
      <w:i/>
      <w:iCs/>
      <w:szCs w:val="20"/>
      <w:lang w:val="x-none" w:eastAsia="x-none" w:bidi="ar-SA"/>
    </w:rPr>
  </w:style>
  <w:style w:type="character" w:customStyle="1" w:styleId="MediumGrid3-Accent2Char">
    <w:name w:val="Medium Grid 3 - Accent 2 Char"/>
    <w:link w:val="MediumGrid3-Accent21"/>
    <w:uiPriority w:val="30"/>
    <w:rsid w:val="002F5B6A"/>
    <w:rPr>
      <w:b/>
      <w:bCs/>
      <w:i/>
      <w:iCs/>
    </w:rPr>
  </w:style>
  <w:style w:type="character" w:customStyle="1" w:styleId="PlainTable31">
    <w:name w:val="Plain Table 31"/>
    <w:uiPriority w:val="19"/>
    <w:qFormat/>
    <w:rsid w:val="002F5B6A"/>
    <w:rPr>
      <w:i/>
      <w:iCs/>
    </w:rPr>
  </w:style>
  <w:style w:type="character" w:customStyle="1" w:styleId="PlainTable41">
    <w:name w:val="Plain Table 41"/>
    <w:uiPriority w:val="21"/>
    <w:qFormat/>
    <w:rsid w:val="002F5B6A"/>
    <w:rPr>
      <w:b/>
      <w:bCs/>
    </w:rPr>
  </w:style>
  <w:style w:type="character" w:customStyle="1" w:styleId="PlainTable51">
    <w:name w:val="Plain Table 51"/>
    <w:uiPriority w:val="31"/>
    <w:qFormat/>
    <w:rsid w:val="002F5B6A"/>
    <w:rPr>
      <w:smallCaps/>
    </w:rPr>
  </w:style>
  <w:style w:type="character" w:customStyle="1" w:styleId="TableGridLight1">
    <w:name w:val="Table Grid Light1"/>
    <w:uiPriority w:val="32"/>
    <w:qFormat/>
    <w:rsid w:val="002F5B6A"/>
    <w:rPr>
      <w:smallCaps/>
      <w:spacing w:val="5"/>
      <w:u w:val="single"/>
    </w:rPr>
  </w:style>
  <w:style w:type="character" w:customStyle="1" w:styleId="GridTable1Light1">
    <w:name w:val="Grid Table 1 Light1"/>
    <w:uiPriority w:val="33"/>
    <w:qFormat/>
    <w:rsid w:val="002F5B6A"/>
    <w:rPr>
      <w:i/>
      <w:iCs/>
      <w:smallCaps/>
      <w:spacing w:val="5"/>
    </w:rPr>
  </w:style>
  <w:style w:type="paragraph" w:customStyle="1" w:styleId="GridTable31">
    <w:name w:val="Grid Table 31"/>
    <w:basedOn w:val="Heading1"/>
    <w:next w:val="Normal"/>
    <w:uiPriority w:val="39"/>
    <w:qFormat/>
    <w:rsid w:val="002F5B6A"/>
    <w:pPr>
      <w:outlineLvl w:val="9"/>
    </w:pPr>
  </w:style>
  <w:style w:type="character" w:styleId="Hyperlink">
    <w:name w:val="Hyperlink"/>
    <w:uiPriority w:val="99"/>
    <w:unhideWhenUsed/>
    <w:rsid w:val="00DF24C0"/>
    <w:rPr>
      <w:color w:val="0000FF"/>
      <w:u w:val="single"/>
    </w:rPr>
  </w:style>
  <w:style w:type="paragraph" w:styleId="Header">
    <w:name w:val="header"/>
    <w:basedOn w:val="Normal"/>
    <w:link w:val="HeaderChar"/>
    <w:uiPriority w:val="99"/>
    <w:unhideWhenUsed/>
    <w:rsid w:val="006C7EC1"/>
    <w:pPr>
      <w:tabs>
        <w:tab w:val="center" w:pos="4680"/>
        <w:tab w:val="right" w:pos="9360"/>
      </w:tabs>
    </w:pPr>
    <w:rPr>
      <w:lang w:val="x-none" w:eastAsia="x-none"/>
    </w:rPr>
  </w:style>
  <w:style w:type="character" w:customStyle="1" w:styleId="HeaderChar">
    <w:name w:val="Header Char"/>
    <w:link w:val="Header"/>
    <w:uiPriority w:val="99"/>
    <w:rsid w:val="006C7EC1"/>
    <w:rPr>
      <w:rFonts w:ascii="Arial" w:hAnsi="Arial"/>
      <w:szCs w:val="22"/>
      <w:lang w:bidi="en-US"/>
    </w:rPr>
  </w:style>
  <w:style w:type="paragraph" w:styleId="Footer">
    <w:name w:val="footer"/>
    <w:basedOn w:val="Normal"/>
    <w:link w:val="FooterChar"/>
    <w:uiPriority w:val="99"/>
    <w:unhideWhenUsed/>
    <w:rsid w:val="006C7EC1"/>
    <w:pPr>
      <w:tabs>
        <w:tab w:val="center" w:pos="4680"/>
        <w:tab w:val="right" w:pos="9360"/>
      </w:tabs>
    </w:pPr>
    <w:rPr>
      <w:lang w:val="x-none" w:eastAsia="x-none"/>
    </w:rPr>
  </w:style>
  <w:style w:type="character" w:customStyle="1" w:styleId="FooterChar">
    <w:name w:val="Footer Char"/>
    <w:link w:val="Footer"/>
    <w:uiPriority w:val="99"/>
    <w:rsid w:val="006C7EC1"/>
    <w:rPr>
      <w:rFonts w:ascii="Arial" w:hAnsi="Arial"/>
      <w:szCs w:val="22"/>
      <w:lang w:bidi="en-US"/>
    </w:rPr>
  </w:style>
  <w:style w:type="character" w:customStyle="1" w:styleId="MediumShading1-Accent1Char">
    <w:name w:val="Medium Shading 1 - Accent 1 Char"/>
    <w:aliases w:val="Bob Comments Char,No Spacing Char"/>
    <w:link w:val="MediumShading1-Accent11"/>
    <w:uiPriority w:val="1"/>
    <w:rsid w:val="00BA6FBA"/>
    <w:rPr>
      <w:rFonts w:ascii="Arial" w:hAnsi="Arial"/>
      <w:szCs w:val="22"/>
      <w:lang w:bidi="en-US"/>
    </w:rPr>
  </w:style>
  <w:style w:type="paragraph" w:styleId="BalloonText">
    <w:name w:val="Balloon Text"/>
    <w:basedOn w:val="Normal"/>
    <w:link w:val="BalloonTextChar"/>
    <w:uiPriority w:val="99"/>
    <w:semiHidden/>
    <w:unhideWhenUsed/>
    <w:rsid w:val="006E1247"/>
    <w:rPr>
      <w:rFonts w:ascii="Tahoma" w:hAnsi="Tahoma" w:cs="Tahoma"/>
      <w:sz w:val="16"/>
      <w:szCs w:val="16"/>
      <w:lang w:val="x-none" w:eastAsia="x-none"/>
    </w:rPr>
  </w:style>
  <w:style w:type="character" w:customStyle="1" w:styleId="BalloonTextChar">
    <w:name w:val="Balloon Text Char"/>
    <w:link w:val="BalloonText"/>
    <w:uiPriority w:val="99"/>
    <w:semiHidden/>
    <w:rsid w:val="006E1247"/>
    <w:rPr>
      <w:rFonts w:ascii="Tahoma" w:hAnsi="Tahoma" w:cs="Tahoma"/>
      <w:sz w:val="16"/>
      <w:szCs w:val="16"/>
      <w:lang w:bidi="en-US"/>
    </w:rPr>
  </w:style>
  <w:style w:type="character" w:styleId="CommentReference">
    <w:name w:val="annotation reference"/>
    <w:uiPriority w:val="99"/>
    <w:semiHidden/>
    <w:unhideWhenUsed/>
    <w:rsid w:val="004F4484"/>
    <w:rPr>
      <w:sz w:val="16"/>
      <w:szCs w:val="16"/>
    </w:rPr>
  </w:style>
  <w:style w:type="paragraph" w:styleId="CommentText">
    <w:name w:val="annotation text"/>
    <w:basedOn w:val="Normal"/>
    <w:link w:val="CommentTextChar"/>
    <w:uiPriority w:val="99"/>
    <w:semiHidden/>
    <w:unhideWhenUsed/>
    <w:rsid w:val="004F4484"/>
    <w:rPr>
      <w:szCs w:val="20"/>
      <w:lang w:val="x-none" w:eastAsia="x-none"/>
    </w:rPr>
  </w:style>
  <w:style w:type="character" w:customStyle="1" w:styleId="CommentTextChar">
    <w:name w:val="Comment Text Char"/>
    <w:link w:val="CommentText"/>
    <w:uiPriority w:val="99"/>
    <w:semiHidden/>
    <w:rsid w:val="004F4484"/>
    <w:rPr>
      <w:rFonts w:ascii="Arial" w:hAnsi="Arial"/>
      <w:lang w:bidi="en-US"/>
    </w:rPr>
  </w:style>
  <w:style w:type="paragraph" w:styleId="CommentSubject">
    <w:name w:val="annotation subject"/>
    <w:basedOn w:val="CommentText"/>
    <w:next w:val="CommentText"/>
    <w:link w:val="CommentSubjectChar"/>
    <w:uiPriority w:val="99"/>
    <w:semiHidden/>
    <w:unhideWhenUsed/>
    <w:rsid w:val="004F4484"/>
    <w:rPr>
      <w:b/>
      <w:bCs/>
    </w:rPr>
  </w:style>
  <w:style w:type="character" w:customStyle="1" w:styleId="CommentSubjectChar">
    <w:name w:val="Comment Subject Char"/>
    <w:link w:val="CommentSubject"/>
    <w:uiPriority w:val="99"/>
    <w:semiHidden/>
    <w:rsid w:val="004F4484"/>
    <w:rPr>
      <w:rFonts w:ascii="Arial" w:hAnsi="Arial"/>
      <w:b/>
      <w:bCs/>
      <w:lang w:bidi="en-US"/>
    </w:rPr>
  </w:style>
  <w:style w:type="character" w:customStyle="1" w:styleId="apple-converted-space">
    <w:name w:val="apple-converted-space"/>
    <w:rsid w:val="00BC5BB5"/>
  </w:style>
  <w:style w:type="character" w:styleId="FollowedHyperlink">
    <w:name w:val="FollowedHyperlink"/>
    <w:uiPriority w:val="99"/>
    <w:semiHidden/>
    <w:unhideWhenUsed/>
    <w:rsid w:val="00BD3EE9"/>
    <w:rPr>
      <w:color w:val="954F72"/>
      <w:u w:val="single"/>
    </w:rPr>
  </w:style>
  <w:style w:type="paragraph" w:customStyle="1" w:styleId="MediumGrid21">
    <w:name w:val="Medium Grid 21"/>
    <w:basedOn w:val="Normal"/>
    <w:uiPriority w:val="1"/>
    <w:qFormat/>
    <w:rsid w:val="00A6352B"/>
    <w:pPr>
      <w:ind w:left="0"/>
    </w:pPr>
    <w:rPr>
      <w:lang w:val="x-none" w:eastAsia="x-none"/>
    </w:rPr>
  </w:style>
  <w:style w:type="paragraph" w:customStyle="1" w:styleId="MediumGrid1-Accent22">
    <w:name w:val="Medium Grid 1 - Accent 22"/>
    <w:basedOn w:val="Normal"/>
    <w:uiPriority w:val="34"/>
    <w:qFormat/>
    <w:rsid w:val="00A6352B"/>
    <w:pPr>
      <w:ind w:left="0"/>
      <w:contextualSpacing/>
    </w:pPr>
    <w:rPr>
      <w:szCs w:val="20"/>
    </w:rPr>
  </w:style>
  <w:style w:type="paragraph" w:styleId="ListParagraph">
    <w:name w:val="List Paragraph"/>
    <w:basedOn w:val="Normal"/>
    <w:uiPriority w:val="34"/>
    <w:qFormat/>
    <w:rsid w:val="0010781F"/>
    <w:pPr>
      <w:ind w:left="720"/>
    </w:pPr>
    <w:rPr>
      <w:rFonts w:ascii="Calibri" w:hAnsi="Calibri"/>
      <w:sz w:val="22"/>
      <w:lang w:bidi="ar-SA"/>
    </w:rPr>
  </w:style>
  <w:style w:type="paragraph" w:styleId="NormalWeb">
    <w:name w:val="Normal (Web)"/>
    <w:basedOn w:val="Normal"/>
    <w:uiPriority w:val="99"/>
    <w:unhideWhenUsed/>
    <w:rsid w:val="0082069A"/>
    <w:pPr>
      <w:spacing w:before="100" w:beforeAutospacing="1" w:after="100" w:afterAutospacing="1"/>
      <w:ind w:left="0"/>
    </w:pPr>
    <w:rPr>
      <w:rFonts w:ascii="Times New Roman" w:eastAsia="Times New Roman" w:hAnsi="Times New Roman"/>
      <w:sz w:val="24"/>
      <w:szCs w:val="24"/>
      <w:lang w:bidi="ar-SA"/>
    </w:rPr>
  </w:style>
  <w:style w:type="paragraph" w:styleId="PlainText">
    <w:name w:val="Plain Text"/>
    <w:basedOn w:val="Normal"/>
    <w:link w:val="PlainTextChar"/>
    <w:uiPriority w:val="99"/>
    <w:unhideWhenUsed/>
    <w:rsid w:val="000663CB"/>
    <w:pPr>
      <w:ind w:left="0"/>
    </w:pPr>
    <w:rPr>
      <w:rFonts w:ascii="Calibri" w:hAnsi="Calibri"/>
      <w:sz w:val="22"/>
      <w:lang w:bidi="ar-SA"/>
    </w:rPr>
  </w:style>
  <w:style w:type="character" w:customStyle="1" w:styleId="PlainTextChar">
    <w:name w:val="Plain Text Char"/>
    <w:link w:val="PlainText"/>
    <w:uiPriority w:val="99"/>
    <w:rsid w:val="000663C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2217">
      <w:bodyDiv w:val="1"/>
      <w:marLeft w:val="0"/>
      <w:marRight w:val="0"/>
      <w:marTop w:val="0"/>
      <w:marBottom w:val="0"/>
      <w:divBdr>
        <w:top w:val="none" w:sz="0" w:space="0" w:color="auto"/>
        <w:left w:val="none" w:sz="0" w:space="0" w:color="auto"/>
        <w:bottom w:val="none" w:sz="0" w:space="0" w:color="auto"/>
        <w:right w:val="none" w:sz="0" w:space="0" w:color="auto"/>
      </w:divBdr>
    </w:div>
    <w:div w:id="83302626">
      <w:bodyDiv w:val="1"/>
      <w:marLeft w:val="0"/>
      <w:marRight w:val="0"/>
      <w:marTop w:val="0"/>
      <w:marBottom w:val="0"/>
      <w:divBdr>
        <w:top w:val="none" w:sz="0" w:space="0" w:color="auto"/>
        <w:left w:val="none" w:sz="0" w:space="0" w:color="auto"/>
        <w:bottom w:val="none" w:sz="0" w:space="0" w:color="auto"/>
        <w:right w:val="none" w:sz="0" w:space="0" w:color="auto"/>
      </w:divBdr>
    </w:div>
    <w:div w:id="137959024">
      <w:bodyDiv w:val="1"/>
      <w:marLeft w:val="0"/>
      <w:marRight w:val="0"/>
      <w:marTop w:val="0"/>
      <w:marBottom w:val="0"/>
      <w:divBdr>
        <w:top w:val="none" w:sz="0" w:space="0" w:color="auto"/>
        <w:left w:val="none" w:sz="0" w:space="0" w:color="auto"/>
        <w:bottom w:val="none" w:sz="0" w:space="0" w:color="auto"/>
        <w:right w:val="none" w:sz="0" w:space="0" w:color="auto"/>
      </w:divBdr>
    </w:div>
    <w:div w:id="354042484">
      <w:bodyDiv w:val="1"/>
      <w:marLeft w:val="0"/>
      <w:marRight w:val="0"/>
      <w:marTop w:val="0"/>
      <w:marBottom w:val="0"/>
      <w:divBdr>
        <w:top w:val="none" w:sz="0" w:space="0" w:color="auto"/>
        <w:left w:val="none" w:sz="0" w:space="0" w:color="auto"/>
        <w:bottom w:val="none" w:sz="0" w:space="0" w:color="auto"/>
        <w:right w:val="none" w:sz="0" w:space="0" w:color="auto"/>
      </w:divBdr>
    </w:div>
    <w:div w:id="366030277">
      <w:bodyDiv w:val="1"/>
      <w:marLeft w:val="0"/>
      <w:marRight w:val="0"/>
      <w:marTop w:val="0"/>
      <w:marBottom w:val="0"/>
      <w:divBdr>
        <w:top w:val="none" w:sz="0" w:space="0" w:color="auto"/>
        <w:left w:val="none" w:sz="0" w:space="0" w:color="auto"/>
        <w:bottom w:val="none" w:sz="0" w:space="0" w:color="auto"/>
        <w:right w:val="none" w:sz="0" w:space="0" w:color="auto"/>
      </w:divBdr>
    </w:div>
    <w:div w:id="393284577">
      <w:bodyDiv w:val="1"/>
      <w:marLeft w:val="0"/>
      <w:marRight w:val="0"/>
      <w:marTop w:val="0"/>
      <w:marBottom w:val="0"/>
      <w:divBdr>
        <w:top w:val="none" w:sz="0" w:space="0" w:color="auto"/>
        <w:left w:val="none" w:sz="0" w:space="0" w:color="auto"/>
        <w:bottom w:val="none" w:sz="0" w:space="0" w:color="auto"/>
        <w:right w:val="none" w:sz="0" w:space="0" w:color="auto"/>
      </w:divBdr>
    </w:div>
    <w:div w:id="610209470">
      <w:bodyDiv w:val="1"/>
      <w:marLeft w:val="0"/>
      <w:marRight w:val="0"/>
      <w:marTop w:val="0"/>
      <w:marBottom w:val="0"/>
      <w:divBdr>
        <w:top w:val="none" w:sz="0" w:space="0" w:color="auto"/>
        <w:left w:val="none" w:sz="0" w:space="0" w:color="auto"/>
        <w:bottom w:val="none" w:sz="0" w:space="0" w:color="auto"/>
        <w:right w:val="none" w:sz="0" w:space="0" w:color="auto"/>
      </w:divBdr>
    </w:div>
    <w:div w:id="627395642">
      <w:bodyDiv w:val="1"/>
      <w:marLeft w:val="0"/>
      <w:marRight w:val="0"/>
      <w:marTop w:val="0"/>
      <w:marBottom w:val="0"/>
      <w:divBdr>
        <w:top w:val="none" w:sz="0" w:space="0" w:color="auto"/>
        <w:left w:val="none" w:sz="0" w:space="0" w:color="auto"/>
        <w:bottom w:val="none" w:sz="0" w:space="0" w:color="auto"/>
        <w:right w:val="none" w:sz="0" w:space="0" w:color="auto"/>
      </w:divBdr>
    </w:div>
    <w:div w:id="641274789">
      <w:bodyDiv w:val="1"/>
      <w:marLeft w:val="0"/>
      <w:marRight w:val="0"/>
      <w:marTop w:val="0"/>
      <w:marBottom w:val="0"/>
      <w:divBdr>
        <w:top w:val="none" w:sz="0" w:space="0" w:color="auto"/>
        <w:left w:val="none" w:sz="0" w:space="0" w:color="auto"/>
        <w:bottom w:val="none" w:sz="0" w:space="0" w:color="auto"/>
        <w:right w:val="none" w:sz="0" w:space="0" w:color="auto"/>
      </w:divBdr>
    </w:div>
    <w:div w:id="665789839">
      <w:bodyDiv w:val="1"/>
      <w:marLeft w:val="0"/>
      <w:marRight w:val="0"/>
      <w:marTop w:val="0"/>
      <w:marBottom w:val="0"/>
      <w:divBdr>
        <w:top w:val="none" w:sz="0" w:space="0" w:color="auto"/>
        <w:left w:val="none" w:sz="0" w:space="0" w:color="auto"/>
        <w:bottom w:val="none" w:sz="0" w:space="0" w:color="auto"/>
        <w:right w:val="none" w:sz="0" w:space="0" w:color="auto"/>
      </w:divBdr>
    </w:div>
    <w:div w:id="849107132">
      <w:bodyDiv w:val="1"/>
      <w:marLeft w:val="0"/>
      <w:marRight w:val="0"/>
      <w:marTop w:val="0"/>
      <w:marBottom w:val="0"/>
      <w:divBdr>
        <w:top w:val="none" w:sz="0" w:space="0" w:color="auto"/>
        <w:left w:val="none" w:sz="0" w:space="0" w:color="auto"/>
        <w:bottom w:val="none" w:sz="0" w:space="0" w:color="auto"/>
        <w:right w:val="none" w:sz="0" w:space="0" w:color="auto"/>
      </w:divBdr>
    </w:div>
    <w:div w:id="883519030">
      <w:bodyDiv w:val="1"/>
      <w:marLeft w:val="0"/>
      <w:marRight w:val="0"/>
      <w:marTop w:val="0"/>
      <w:marBottom w:val="0"/>
      <w:divBdr>
        <w:top w:val="none" w:sz="0" w:space="0" w:color="auto"/>
        <w:left w:val="none" w:sz="0" w:space="0" w:color="auto"/>
        <w:bottom w:val="none" w:sz="0" w:space="0" w:color="auto"/>
        <w:right w:val="none" w:sz="0" w:space="0" w:color="auto"/>
      </w:divBdr>
    </w:div>
    <w:div w:id="883836423">
      <w:bodyDiv w:val="1"/>
      <w:marLeft w:val="0"/>
      <w:marRight w:val="0"/>
      <w:marTop w:val="0"/>
      <w:marBottom w:val="0"/>
      <w:divBdr>
        <w:top w:val="none" w:sz="0" w:space="0" w:color="auto"/>
        <w:left w:val="none" w:sz="0" w:space="0" w:color="auto"/>
        <w:bottom w:val="none" w:sz="0" w:space="0" w:color="auto"/>
        <w:right w:val="none" w:sz="0" w:space="0" w:color="auto"/>
      </w:divBdr>
    </w:div>
    <w:div w:id="1119759630">
      <w:bodyDiv w:val="1"/>
      <w:marLeft w:val="0"/>
      <w:marRight w:val="0"/>
      <w:marTop w:val="0"/>
      <w:marBottom w:val="0"/>
      <w:divBdr>
        <w:top w:val="none" w:sz="0" w:space="0" w:color="auto"/>
        <w:left w:val="none" w:sz="0" w:space="0" w:color="auto"/>
        <w:bottom w:val="none" w:sz="0" w:space="0" w:color="auto"/>
        <w:right w:val="none" w:sz="0" w:space="0" w:color="auto"/>
      </w:divBdr>
    </w:div>
    <w:div w:id="1205412951">
      <w:bodyDiv w:val="1"/>
      <w:marLeft w:val="0"/>
      <w:marRight w:val="0"/>
      <w:marTop w:val="0"/>
      <w:marBottom w:val="0"/>
      <w:divBdr>
        <w:top w:val="none" w:sz="0" w:space="0" w:color="auto"/>
        <w:left w:val="none" w:sz="0" w:space="0" w:color="auto"/>
        <w:bottom w:val="none" w:sz="0" w:space="0" w:color="auto"/>
        <w:right w:val="none" w:sz="0" w:space="0" w:color="auto"/>
      </w:divBdr>
    </w:div>
    <w:div w:id="1309676462">
      <w:bodyDiv w:val="1"/>
      <w:marLeft w:val="0"/>
      <w:marRight w:val="0"/>
      <w:marTop w:val="0"/>
      <w:marBottom w:val="0"/>
      <w:divBdr>
        <w:top w:val="none" w:sz="0" w:space="0" w:color="auto"/>
        <w:left w:val="none" w:sz="0" w:space="0" w:color="auto"/>
        <w:bottom w:val="none" w:sz="0" w:space="0" w:color="auto"/>
        <w:right w:val="none" w:sz="0" w:space="0" w:color="auto"/>
      </w:divBdr>
    </w:div>
    <w:div w:id="1342121686">
      <w:bodyDiv w:val="1"/>
      <w:marLeft w:val="0"/>
      <w:marRight w:val="0"/>
      <w:marTop w:val="0"/>
      <w:marBottom w:val="0"/>
      <w:divBdr>
        <w:top w:val="none" w:sz="0" w:space="0" w:color="auto"/>
        <w:left w:val="none" w:sz="0" w:space="0" w:color="auto"/>
        <w:bottom w:val="none" w:sz="0" w:space="0" w:color="auto"/>
        <w:right w:val="none" w:sz="0" w:space="0" w:color="auto"/>
      </w:divBdr>
    </w:div>
    <w:div w:id="1348022903">
      <w:bodyDiv w:val="1"/>
      <w:marLeft w:val="0"/>
      <w:marRight w:val="0"/>
      <w:marTop w:val="0"/>
      <w:marBottom w:val="0"/>
      <w:divBdr>
        <w:top w:val="none" w:sz="0" w:space="0" w:color="auto"/>
        <w:left w:val="none" w:sz="0" w:space="0" w:color="auto"/>
        <w:bottom w:val="none" w:sz="0" w:space="0" w:color="auto"/>
        <w:right w:val="none" w:sz="0" w:space="0" w:color="auto"/>
      </w:divBdr>
    </w:div>
    <w:div w:id="1388992767">
      <w:bodyDiv w:val="1"/>
      <w:marLeft w:val="0"/>
      <w:marRight w:val="0"/>
      <w:marTop w:val="0"/>
      <w:marBottom w:val="0"/>
      <w:divBdr>
        <w:top w:val="none" w:sz="0" w:space="0" w:color="auto"/>
        <w:left w:val="none" w:sz="0" w:space="0" w:color="auto"/>
        <w:bottom w:val="none" w:sz="0" w:space="0" w:color="auto"/>
        <w:right w:val="none" w:sz="0" w:space="0" w:color="auto"/>
      </w:divBdr>
    </w:div>
    <w:div w:id="1447701154">
      <w:bodyDiv w:val="1"/>
      <w:marLeft w:val="0"/>
      <w:marRight w:val="0"/>
      <w:marTop w:val="0"/>
      <w:marBottom w:val="0"/>
      <w:divBdr>
        <w:top w:val="none" w:sz="0" w:space="0" w:color="auto"/>
        <w:left w:val="none" w:sz="0" w:space="0" w:color="auto"/>
        <w:bottom w:val="none" w:sz="0" w:space="0" w:color="auto"/>
        <w:right w:val="none" w:sz="0" w:space="0" w:color="auto"/>
      </w:divBdr>
    </w:div>
    <w:div w:id="1882354525">
      <w:bodyDiv w:val="1"/>
      <w:marLeft w:val="0"/>
      <w:marRight w:val="0"/>
      <w:marTop w:val="0"/>
      <w:marBottom w:val="0"/>
      <w:divBdr>
        <w:top w:val="none" w:sz="0" w:space="0" w:color="auto"/>
        <w:left w:val="none" w:sz="0" w:space="0" w:color="auto"/>
        <w:bottom w:val="none" w:sz="0" w:space="0" w:color="auto"/>
        <w:right w:val="none" w:sz="0" w:space="0" w:color="auto"/>
      </w:divBdr>
    </w:div>
    <w:div w:id="1998722864">
      <w:bodyDiv w:val="1"/>
      <w:marLeft w:val="0"/>
      <w:marRight w:val="0"/>
      <w:marTop w:val="0"/>
      <w:marBottom w:val="0"/>
      <w:divBdr>
        <w:top w:val="none" w:sz="0" w:space="0" w:color="auto"/>
        <w:left w:val="none" w:sz="0" w:space="0" w:color="auto"/>
        <w:bottom w:val="none" w:sz="0" w:space="0" w:color="auto"/>
        <w:right w:val="none" w:sz="0" w:space="0" w:color="auto"/>
      </w:divBdr>
    </w:div>
    <w:div w:id="201110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C1689-4F51-EA4D-95FA-D02BAF604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2080</Words>
  <Characters>11856</Characters>
  <Application>Microsoft Macintosh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The Real Impact of HIPAA Changes on Brokers</vt:lpstr>
    </vt:vector>
  </TitlesOfParts>
  <Company>Microsoft</Company>
  <LinksUpToDate>false</LinksUpToDate>
  <CharactersWithSpaces>13909</CharactersWithSpaces>
  <SharedDoc>false</SharedDoc>
  <HLinks>
    <vt:vector size="12" baseType="variant">
      <vt:variant>
        <vt:i4>5832719</vt:i4>
      </vt:variant>
      <vt:variant>
        <vt:i4>3</vt:i4>
      </vt:variant>
      <vt:variant>
        <vt:i4>0</vt:i4>
      </vt:variant>
      <vt:variant>
        <vt:i4>5</vt:i4>
      </vt:variant>
      <vt:variant>
        <vt:lpwstr>http://www.cms.gov/CCIIO/Resources/Regulations-and-Guidance/Downloads/transition-to-compliant-policies-03-06-2015.pdf</vt:lpwstr>
      </vt:variant>
      <vt:variant>
        <vt:lpwstr/>
      </vt:variant>
      <vt:variant>
        <vt:i4>8192111</vt:i4>
      </vt:variant>
      <vt:variant>
        <vt:i4>0</vt:i4>
      </vt:variant>
      <vt:variant>
        <vt:i4>0</vt:i4>
      </vt:variant>
      <vt:variant>
        <vt:i4>5</vt:i4>
      </vt:variant>
      <vt:variant>
        <vt:lpwstr>http://www.cms.gov/CCIIO/Resources/Fact-Sheets-and-FAQs/Downloads/Final-Master-FAQs-5-16-14.pdf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Real Impact of HIPAA Changes on Brokers</dc:title>
  <dc:subject/>
  <dc:creator>Bob</dc:creator>
  <cp:keywords/>
  <cp:lastModifiedBy>Anthony Radecki</cp:lastModifiedBy>
  <cp:revision>3</cp:revision>
  <cp:lastPrinted>2016-01-05T14:42:00Z</cp:lastPrinted>
  <dcterms:created xsi:type="dcterms:W3CDTF">2016-01-05T14:42:00Z</dcterms:created>
  <dcterms:modified xsi:type="dcterms:W3CDTF">2016-01-05T18:20:00Z</dcterms:modified>
</cp:coreProperties>
</file>