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CF1B" w14:textId="50369D8E" w:rsidR="00C62225" w:rsidRDefault="00C62225" w:rsidP="00AD44D9">
      <w:pPr>
        <w:pStyle w:val="Heading1"/>
      </w:pPr>
      <w:bookmarkStart w:id="0" w:name="_Toc302216887"/>
    </w:p>
    <w:tbl>
      <w:tblPr>
        <w:tblW w:w="5000" w:type="pct"/>
        <w:tblCellMar>
          <w:left w:w="0" w:type="dxa"/>
          <w:right w:w="0" w:type="dxa"/>
        </w:tblCellMar>
        <w:tblLook w:val="04A0" w:firstRow="1" w:lastRow="0" w:firstColumn="1" w:lastColumn="0" w:noHBand="0" w:noVBand="1"/>
      </w:tblPr>
      <w:tblGrid>
        <w:gridCol w:w="6427"/>
        <w:gridCol w:w="2933"/>
      </w:tblGrid>
      <w:tr w:rsidR="002A3F5D" w:rsidRPr="008D1681" w14:paraId="64C5D50B" w14:textId="77777777" w:rsidTr="002A3F5D">
        <w:trPr>
          <w:trHeight w:val="4032"/>
        </w:trPr>
        <w:tc>
          <w:tcPr>
            <w:tcW w:w="5601" w:type="dxa"/>
          </w:tcPr>
          <w:p w14:paraId="04E99BDE" w14:textId="70486F21" w:rsidR="002A3F5D" w:rsidRDefault="005A10A7" w:rsidP="002A3F5D">
            <w:pPr>
              <w:pStyle w:val="TOC1"/>
            </w:pPr>
            <w:r w:rsidRPr="00D35526">
              <w:rPr>
                <w:noProof/>
              </w:rPr>
              <mc:AlternateContent>
                <mc:Choice Requires="wps">
                  <w:drawing>
                    <wp:anchor distT="0" distB="0" distL="114300" distR="114300" simplePos="0" relativeHeight="251694080" behindDoc="0" locked="0" layoutInCell="1" allowOverlap="1" wp14:anchorId="6AEE4CF9" wp14:editId="0AF6018E">
                      <wp:simplePos x="0" y="0"/>
                      <wp:positionH relativeFrom="margin">
                        <wp:posOffset>2060847</wp:posOffset>
                      </wp:positionH>
                      <wp:positionV relativeFrom="paragraph">
                        <wp:posOffset>128270</wp:posOffset>
                      </wp:positionV>
                      <wp:extent cx="4554220" cy="1362075"/>
                      <wp:effectExtent l="0" t="0" r="0" b="0"/>
                      <wp:wrapNone/>
                      <wp:docPr id="1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4220" cy="13620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A5DB5E8" w14:textId="77777777" w:rsidR="00D35526" w:rsidRPr="00ED6BE5" w:rsidRDefault="00D35526" w:rsidP="00D35526">
                                  <w:pPr>
                                    <w:pStyle w:val="ContactInfo"/>
                                    <w:rPr>
                                      <w:rFonts w:ascii="Times New Roman" w:hAnsi="Times New Roman" w:cs="Times New Roman"/>
                                      <w:color w:val="0070C0"/>
                                      <w:sz w:val="144"/>
                                      <w:szCs w:val="144"/>
                                    </w:rPr>
                                  </w:pPr>
                                  <w:r w:rsidRPr="00ED6BE5">
                                    <w:rPr>
                                      <w:rFonts w:ascii="Times New Roman" w:hAnsi="Times New Roman" w:cs="Times New Roman"/>
                                      <w:color w:val="0070C0"/>
                                      <w:sz w:val="144"/>
                                      <w:szCs w:val="144"/>
                                    </w:rPr>
                                    <w:t>Compliance</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EE4CF9" id="_x0000_t202" coordsize="21600,21600" o:spt="202" path="m,l,21600r21600,l21600,xe">
                      <v:stroke joinstyle="miter"/>
                      <v:path gradientshapeok="t" o:connecttype="rect"/>
                    </v:shapetype>
                    <v:shape id="Text Box 52" o:spid="_x0000_s1026" type="#_x0000_t202" style="position:absolute;margin-left:162.25pt;margin-top:10.1pt;width:358.6pt;height:107.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" filled="f" fillcolor="#fffffe" stroked="f" strokecolor="#212120" insetpen="t">
                      <v:textbox inset="2.88pt,2.88pt,2.88pt,2.88pt">
                        <w:txbxContent>
                          <w:p w14:paraId="7A5DB5E8" w14:textId="77777777" w:rsidR="00D35526" w:rsidRPr="00ED6BE5" w:rsidRDefault="00D35526" w:rsidP="00D35526">
                            <w:pPr>
                              <w:pStyle w:val="ContactInfo"/>
                              <w:rPr>
                                <w:rFonts w:ascii="Times New Roman" w:hAnsi="Times New Roman" w:cs="Times New Roman"/>
                                <w:color w:val="0070C0"/>
                                <w:sz w:val="144"/>
                                <w:szCs w:val="144"/>
                              </w:rPr>
                            </w:pPr>
                            <w:r w:rsidRPr="00ED6BE5">
                              <w:rPr>
                                <w:rFonts w:ascii="Times New Roman" w:hAnsi="Times New Roman" w:cs="Times New Roman"/>
                                <w:color w:val="0070C0"/>
                                <w:sz w:val="144"/>
                                <w:szCs w:val="144"/>
                              </w:rPr>
                              <w:t>Compliance</w:t>
                            </w:r>
                          </w:p>
                        </w:txbxContent>
                      </v:textbox>
                      <w10:wrap anchorx="margin"/>
                    </v:shape>
                  </w:pict>
                </mc:Fallback>
              </mc:AlternateContent>
            </w:r>
            <w:r w:rsidR="00D176FE" w:rsidRPr="00B1461A">
              <w:t>In this issue</w:t>
            </w:r>
            <w:r w:rsidR="00B77AC2" w:rsidRPr="00B1461A">
              <w:rPr>
                <w:caps/>
              </w:rPr>
              <w:fldChar w:fldCharType="begin"/>
            </w:r>
            <w:r w:rsidR="00B77AC2" w:rsidRPr="00B1461A">
              <w:instrText xml:space="preserve"> TOC \o "1-2" \h \z \u </w:instrText>
            </w:r>
            <w:r w:rsidR="00B77AC2" w:rsidRPr="00B1461A">
              <w:rPr>
                <w:caps/>
              </w:rPr>
              <w:fldChar w:fldCharType="separate"/>
            </w:r>
          </w:p>
          <w:p w14:paraId="4787F01D" w14:textId="25DC2EA4" w:rsidR="002A3F5D" w:rsidRDefault="002A3F5D" w:rsidP="002A3F5D">
            <w:pPr>
              <w:pStyle w:val="TOC1"/>
              <w:ind w:right="3808"/>
              <w:rPr>
                <w:rFonts w:asciiTheme="minorHAnsi" w:hAnsiTheme="minorHAnsi" w:cstheme="minorBidi"/>
                <w:noProof/>
                <w:sz w:val="24"/>
                <w:szCs w:val="24"/>
                <w:lang w:eastAsia="en-US"/>
              </w:rPr>
            </w:pPr>
            <w:r w:rsidRPr="00D35526">
              <w:rPr>
                <w:noProof/>
              </w:rPr>
              <mc:AlternateContent>
                <mc:Choice Requires="wps">
                  <w:drawing>
                    <wp:anchor distT="0" distB="0" distL="114300" distR="114300" simplePos="0" relativeHeight="251695104" behindDoc="0" locked="0" layoutInCell="1" allowOverlap="1" wp14:anchorId="0694F9D8" wp14:editId="41BC3674">
                      <wp:simplePos x="0" y="0"/>
                      <wp:positionH relativeFrom="margin">
                        <wp:posOffset>2732405</wp:posOffset>
                      </wp:positionH>
                      <wp:positionV relativeFrom="paragraph">
                        <wp:posOffset>344133</wp:posOffset>
                      </wp:positionV>
                      <wp:extent cx="3323590" cy="1371600"/>
                      <wp:effectExtent l="0" t="0" r="0" b="0"/>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3590" cy="13716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sdt>
                                  <w:sdtPr>
                                    <w:rPr>
                                      <w:lang w:val="en"/>
                                    </w:rPr>
                                    <w:id w:val="-1749411840"/>
                                    <w:placeholder>
                                      <w:docPart w:val="807D45BD4846E2428EB9F38F68954E8D"/>
                                    </w:placeholder>
                                    <w:temporary/>
                                    <w:showingPlcHdr/>
                                    <w15:appearance w15:val="hidden"/>
                                  </w:sdtPr>
                                  <w:sdtEndPr/>
                                  <w:sdtContent>
                                    <w:p w14:paraId="60CE2BE5" w14:textId="77777777" w:rsidR="00D35526" w:rsidRDefault="00D35526" w:rsidP="00D35526">
                                      <w:pPr>
                                        <w:jc w:val="right"/>
                                        <w:rPr>
                                          <w:i/>
                                          <w:lang w:val="en"/>
                                        </w:rPr>
                                      </w:pPr>
                                      <w:r w:rsidRPr="00D35526">
                                        <w:rPr>
                                          <w:rFonts w:ascii="Times New Roman" w:hAnsi="Times New Roman" w:cs="Times New Roman"/>
                                          <w:i/>
                                          <w:iCs/>
                                          <w:color w:val="61ADBF" w:themeColor="accent4"/>
                                          <w:sz w:val="144"/>
                                          <w:szCs w:val="144"/>
                                          <w:lang w:val="en"/>
                                        </w:rPr>
                                        <w:t>focus</w:t>
                                      </w:r>
                                    </w:p>
                                  </w:sdtContent>
                                </w:sdt>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94F9D8" id="Text Box 60" o:spid="_x0000_s1027" type="#_x0000_t202" style="position:absolute;margin-left:215.15pt;margin-top:27.1pt;width:261.7pt;height:108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" filled="f" fillcolor="#fffffe" stroked="f" strokecolor="#212120" insetpen="t">
                      <v:textbox inset="2.88pt,2.88pt,2.88pt,2.88pt">
                        <w:txbxContent>
                          <w:sdt>
                            <w:sdtPr>
                              <w:rPr>
                                <w:lang w:val="en"/>
                              </w:rPr>
                              <w:id w:val="-1749411840"/>
                              <w:placeholder>
                                <w:docPart w:val="807D45BD4846E2428EB9F38F68954E8D"/>
                              </w:placeholder>
                              <w:temporary/>
                              <w:showingPlcHdr/>
                              <w15:appearance w15:val="hidden"/>
                            </w:sdtPr>
                            <w:sdtEndPr/>
                            <w:sdtContent>
                              <w:p w14:paraId="60CE2BE5" w14:textId="77777777" w:rsidR="00D35526" w:rsidRDefault="00D35526" w:rsidP="00D35526">
                                <w:pPr>
                                  <w:jc w:val="right"/>
                                  <w:rPr>
                                    <w:i/>
                                    <w:lang w:val="en"/>
                                  </w:rPr>
                                </w:pPr>
                                <w:r w:rsidRPr="00D35526">
                                  <w:rPr>
                                    <w:rFonts w:ascii="Times New Roman" w:hAnsi="Times New Roman" w:cs="Times New Roman"/>
                                    <w:i/>
                                    <w:iCs/>
                                    <w:color w:val="61ADBF" w:themeColor="accent4"/>
                                    <w:sz w:val="144"/>
                                    <w:szCs w:val="144"/>
                                    <w:lang w:val="en"/>
                                  </w:rPr>
                                  <w:t>focus</w:t>
                                </w:r>
                              </w:p>
                            </w:sdtContent>
                          </w:sdt>
                        </w:txbxContent>
                      </v:textbox>
                      <w10:wrap anchorx="margin"/>
                    </v:shape>
                  </w:pict>
                </mc:Fallback>
              </mc:AlternateContent>
            </w:r>
            <w:hyperlink w:anchor="_Toc28596242" w:history="1">
              <w:r w:rsidRPr="00610E86">
                <w:rPr>
                  <w:rStyle w:val="Hyperlink"/>
                  <w:noProof/>
                </w:rPr>
                <w:t>Pa</w:t>
              </w:r>
              <w:r w:rsidRPr="00610E86">
                <w:rPr>
                  <w:rStyle w:val="Hyperlink"/>
                  <w:noProof/>
                </w:rPr>
                <w:t>y</w:t>
              </w:r>
              <w:r w:rsidRPr="00610E86">
                <w:rPr>
                  <w:rStyle w:val="Hyperlink"/>
                  <w:noProof/>
                </w:rPr>
                <w:t xml:space="preserve"> Attention to New State Reporting Requirements for Employers</w:t>
              </w:r>
              <w:r>
                <w:rPr>
                  <w:noProof/>
                  <w:webHidden/>
                </w:rPr>
                <w:tab/>
              </w:r>
              <w:r>
                <w:rPr>
                  <w:noProof/>
                  <w:webHidden/>
                </w:rPr>
                <w:fldChar w:fldCharType="begin"/>
              </w:r>
              <w:r>
                <w:rPr>
                  <w:noProof/>
                  <w:webHidden/>
                </w:rPr>
                <w:instrText xml:space="preserve"> PAGEREF _Toc28596242 \h </w:instrText>
              </w:r>
              <w:r>
                <w:rPr>
                  <w:noProof/>
                  <w:webHidden/>
                </w:rPr>
              </w:r>
              <w:r>
                <w:rPr>
                  <w:noProof/>
                  <w:webHidden/>
                </w:rPr>
                <w:fldChar w:fldCharType="separate"/>
              </w:r>
              <w:r>
                <w:rPr>
                  <w:noProof/>
                  <w:webHidden/>
                </w:rPr>
                <w:t>1</w:t>
              </w:r>
              <w:r>
                <w:rPr>
                  <w:noProof/>
                  <w:webHidden/>
                </w:rPr>
                <w:fldChar w:fldCharType="end"/>
              </w:r>
            </w:hyperlink>
          </w:p>
          <w:p w14:paraId="45135E8E" w14:textId="397B6911" w:rsidR="002A3F5D" w:rsidRDefault="002A3F5D" w:rsidP="002A3F5D">
            <w:pPr>
              <w:pStyle w:val="TOC1"/>
              <w:ind w:right="3808"/>
              <w:rPr>
                <w:rFonts w:asciiTheme="minorHAnsi" w:hAnsiTheme="minorHAnsi" w:cstheme="minorBidi"/>
                <w:noProof/>
                <w:sz w:val="24"/>
                <w:szCs w:val="24"/>
                <w:lang w:eastAsia="en-US"/>
              </w:rPr>
            </w:pPr>
            <w:hyperlink w:anchor="_Toc28596243" w:history="1">
              <w:r w:rsidRPr="00610E86">
                <w:rPr>
                  <w:rStyle w:val="Hyperlink"/>
                  <w:noProof/>
                </w:rPr>
                <w:t>Be Sure You Didn’t Miss It!</w:t>
              </w:r>
              <w:r>
                <w:rPr>
                  <w:noProof/>
                  <w:webHidden/>
                </w:rPr>
                <w:tab/>
              </w:r>
              <w:r>
                <w:rPr>
                  <w:noProof/>
                  <w:webHidden/>
                </w:rPr>
                <w:fldChar w:fldCharType="begin"/>
              </w:r>
              <w:r>
                <w:rPr>
                  <w:noProof/>
                  <w:webHidden/>
                </w:rPr>
                <w:instrText xml:space="preserve"> PAGEREF _Toc28596243 \h </w:instrText>
              </w:r>
              <w:r>
                <w:rPr>
                  <w:noProof/>
                  <w:webHidden/>
                </w:rPr>
              </w:r>
              <w:r>
                <w:rPr>
                  <w:noProof/>
                  <w:webHidden/>
                </w:rPr>
                <w:fldChar w:fldCharType="separate"/>
              </w:r>
              <w:r>
                <w:rPr>
                  <w:noProof/>
                  <w:webHidden/>
                </w:rPr>
                <w:t>2</w:t>
              </w:r>
              <w:r>
                <w:rPr>
                  <w:noProof/>
                  <w:webHidden/>
                </w:rPr>
                <w:fldChar w:fldCharType="end"/>
              </w:r>
            </w:hyperlink>
          </w:p>
          <w:p w14:paraId="41552D22" w14:textId="0DE1FCE2" w:rsidR="002A3F5D" w:rsidRDefault="002A3F5D" w:rsidP="002A3F5D">
            <w:pPr>
              <w:pStyle w:val="TOC1"/>
              <w:ind w:right="3808"/>
              <w:rPr>
                <w:rFonts w:asciiTheme="minorHAnsi" w:hAnsiTheme="minorHAnsi" w:cstheme="minorBidi"/>
                <w:noProof/>
                <w:sz w:val="24"/>
                <w:szCs w:val="24"/>
                <w:lang w:eastAsia="en-US"/>
              </w:rPr>
            </w:pPr>
            <w:hyperlink w:anchor="_Toc28596246" w:history="1">
              <w:r w:rsidRPr="00610E86">
                <w:rPr>
                  <w:rStyle w:val="Hyperlink"/>
                  <w:noProof/>
                </w:rPr>
                <w:t>Quarterly Q&amp;A</w:t>
              </w:r>
              <w:r>
                <w:rPr>
                  <w:noProof/>
                  <w:webHidden/>
                </w:rPr>
                <w:tab/>
              </w:r>
              <w:r>
                <w:rPr>
                  <w:noProof/>
                  <w:webHidden/>
                </w:rPr>
                <w:fldChar w:fldCharType="begin"/>
              </w:r>
              <w:r>
                <w:rPr>
                  <w:noProof/>
                  <w:webHidden/>
                </w:rPr>
                <w:instrText xml:space="preserve"> PAGEREF _Toc28596246 \h </w:instrText>
              </w:r>
              <w:r>
                <w:rPr>
                  <w:noProof/>
                  <w:webHidden/>
                </w:rPr>
              </w:r>
              <w:r>
                <w:rPr>
                  <w:noProof/>
                  <w:webHidden/>
                </w:rPr>
                <w:fldChar w:fldCharType="separate"/>
              </w:r>
              <w:r>
                <w:rPr>
                  <w:noProof/>
                  <w:webHidden/>
                </w:rPr>
                <w:t>6</w:t>
              </w:r>
              <w:r>
                <w:rPr>
                  <w:noProof/>
                  <w:webHidden/>
                </w:rPr>
                <w:fldChar w:fldCharType="end"/>
              </w:r>
            </w:hyperlink>
          </w:p>
          <w:p w14:paraId="1CC58F13" w14:textId="1393A964" w:rsidR="00B77AC2" w:rsidRPr="008D1681" w:rsidRDefault="00B77AC2" w:rsidP="009A2C1C">
            <w:pPr>
              <w:ind w:right="3996"/>
            </w:pPr>
            <w:r w:rsidRPr="00B1461A">
              <w:rPr>
                <w:rFonts w:ascii="Arial" w:hAnsi="Arial" w:cs="Arial"/>
                <w:sz w:val="18"/>
                <w:szCs w:val="18"/>
              </w:rPr>
              <w:fldChar w:fldCharType="end"/>
            </w:r>
          </w:p>
        </w:tc>
        <w:tc>
          <w:tcPr>
            <w:tcW w:w="3759" w:type="dxa"/>
          </w:tcPr>
          <w:p w14:paraId="620E970E" w14:textId="53ABEFFF" w:rsidR="00B77AC2" w:rsidRPr="008D1681" w:rsidRDefault="00B77AC2" w:rsidP="009A2C1C">
            <w:pPr>
              <w:pStyle w:val="IssueInfo"/>
              <w:ind w:right="3996"/>
            </w:pPr>
            <w:r w:rsidRPr="0077463E">
              <w:rPr>
                <w:color w:val="FFFFFF" w:themeColor="background1"/>
              </w:rPr>
              <w:sym w:font="Wingdings" w:char="F0A1"/>
            </w:r>
          </w:p>
        </w:tc>
      </w:tr>
    </w:tbl>
    <w:p w14:paraId="0407E10A" w14:textId="64090EA3" w:rsidR="0020660C" w:rsidRPr="00BB3AEB" w:rsidRDefault="00FB4101" w:rsidP="00BB3AEB">
      <w:pPr>
        <w:pStyle w:val="Heading1"/>
        <w:rPr>
          <w:color w:val="0070C0"/>
          <w:sz w:val="56"/>
          <w:szCs w:val="56"/>
        </w:rPr>
        <w:sectPr w:rsidR="0020660C" w:rsidRPr="00BB3AEB" w:rsidSect="002B4808">
          <w:footerReference w:type="default" r:id="rId10"/>
          <w:type w:val="continuous"/>
          <w:pgSz w:w="12240" w:h="15840" w:code="1"/>
          <w:pgMar w:top="1080" w:right="1440" w:bottom="1080" w:left="1440" w:header="720" w:footer="720" w:gutter="0"/>
          <w:cols w:space="720"/>
          <w:docGrid w:linePitch="360"/>
        </w:sectPr>
      </w:pPr>
      <w:bookmarkStart w:id="1" w:name="_Toc28596242"/>
      <w:bookmarkEnd w:id="0"/>
      <w:r w:rsidRPr="0049185D">
        <w:rPr>
          <w:color w:val="0070C0"/>
          <w:sz w:val="56"/>
          <w:szCs w:val="56"/>
        </w:rPr>
        <w:t>Pay Attention to New State Reporting Requirements for Employer</w:t>
      </w:r>
      <w:r w:rsidR="00BB3AEB">
        <w:rPr>
          <w:color w:val="0070C0"/>
          <w:sz w:val="56"/>
          <w:szCs w:val="56"/>
        </w:rPr>
        <w:t>s</w:t>
      </w:r>
      <w:bookmarkEnd w:id="1"/>
    </w:p>
    <w:p w14:paraId="7FDF6B9F" w14:textId="77777777" w:rsidR="00C65FEF" w:rsidRDefault="00C65FEF" w:rsidP="00C65FEF">
      <w:pPr>
        <w:shd w:val="clear" w:color="auto" w:fill="FFFFFF"/>
        <w:spacing w:after="360" w:line="360" w:lineRule="auto"/>
        <w:jc w:val="both"/>
        <w:textAlignment w:val="baseline"/>
        <w:rPr>
          <w:rFonts w:eastAsia="Times New Roman" w:cstheme="minorHAnsi"/>
          <w:color w:val="000000" w:themeColor="text1"/>
          <w:sz w:val="20"/>
          <w:szCs w:val="20"/>
        </w:rPr>
      </w:pPr>
    </w:p>
    <w:p w14:paraId="6B89713A" w14:textId="1A887439" w:rsidR="0020660C" w:rsidRPr="00C65FEF" w:rsidRDefault="0020660C" w:rsidP="00C65FEF">
      <w:pPr>
        <w:shd w:val="clear" w:color="auto" w:fill="FFFFFF"/>
        <w:spacing w:after="360" w:line="360" w:lineRule="auto"/>
        <w:jc w:val="both"/>
        <w:textAlignment w:val="baseline"/>
        <w:rPr>
          <w:rFonts w:eastAsia="Times New Roman" w:cstheme="minorHAnsi"/>
          <w:color w:val="000000" w:themeColor="text1"/>
          <w:sz w:val="20"/>
          <w:szCs w:val="20"/>
        </w:rPr>
      </w:pPr>
      <w:r w:rsidRPr="00C65FEF">
        <w:rPr>
          <w:rFonts w:eastAsia="Times New Roman" w:cstheme="minorHAnsi"/>
          <w:color w:val="000000" w:themeColor="text1"/>
          <w:sz w:val="20"/>
          <w:szCs w:val="20"/>
        </w:rPr>
        <w:t>When Congress repealed the ACA individual mandate in 2017, the Congressional Budget Office (CBO) estimated that eliminating the penalty would lead to five million fewer people enrolling in non-group coverage by 2027. Some in the industry argued that the lack of a penalty would have a negative impact on the individual health insurance market by reducing the number of younger, healthier individuals purchasing individual health insurance policies.</w:t>
      </w:r>
    </w:p>
    <w:p w14:paraId="12C9AB3E" w14:textId="77777777" w:rsidR="0020660C" w:rsidRPr="00C65FEF" w:rsidRDefault="0020660C" w:rsidP="00C65FEF">
      <w:pPr>
        <w:shd w:val="clear" w:color="auto" w:fill="FFFFFF"/>
        <w:spacing w:after="360" w:line="360" w:lineRule="auto"/>
        <w:jc w:val="both"/>
        <w:textAlignment w:val="baseline"/>
        <w:rPr>
          <w:rFonts w:eastAsia="Times New Roman" w:cstheme="minorHAnsi"/>
          <w:color w:val="000000" w:themeColor="text1"/>
          <w:sz w:val="20"/>
          <w:szCs w:val="20"/>
        </w:rPr>
      </w:pPr>
      <w:r w:rsidRPr="00C65FEF">
        <w:rPr>
          <w:rFonts w:eastAsia="Times New Roman" w:cstheme="minorHAnsi"/>
          <w:color w:val="000000" w:themeColor="text1"/>
          <w:sz w:val="20"/>
          <w:szCs w:val="20"/>
        </w:rPr>
        <w:t>In response, some states have begun to look into adding a state tax–based individual mandate. Massachusetts already had a state mandate prior to the enactment of the ACA; now four more states (California, New Jersey, Rhode Island, and Vermont) and the District of Columbia have passed new laws implementing a state mandate. New Jersey and Washington DC’s laws are the first to go into effect in 2019.</w:t>
      </w:r>
    </w:p>
    <w:p w14:paraId="12F6FCD0" w14:textId="7C27B645" w:rsidR="0020660C" w:rsidRDefault="0020660C" w:rsidP="00C65FEF">
      <w:pPr>
        <w:shd w:val="clear" w:color="auto" w:fill="FFFFFF"/>
        <w:spacing w:after="360" w:line="360" w:lineRule="auto"/>
        <w:jc w:val="both"/>
        <w:textAlignment w:val="baseline"/>
      </w:pPr>
      <w:r w:rsidRPr="00C65FEF">
        <w:rPr>
          <w:rFonts w:eastAsia="Times New Roman" w:cstheme="minorHAnsi"/>
          <w:color w:val="000000" w:themeColor="text1"/>
          <w:sz w:val="20"/>
          <w:szCs w:val="20"/>
        </w:rPr>
        <w:t>In what will turn out to be an administrative challenge for multi-state employers, each state will have its own employer reporting requirement related to the mandate. The first new employer reporting (excluding existing reporting in MA) will be required beginning early in 2020 for employers with employees in NJ and DC. Employer reporting for CA and RI will begin early in 2021. VT rules and details have yet to be determined. The good news is that it appears most states will accept data from the federal 1094/1095 reporting, but each state will have a different process for submitting the necessary data</w:t>
      </w:r>
      <w:r w:rsidR="00C65FEF">
        <w:rPr>
          <w:rFonts w:eastAsia="Times New Roman" w:cstheme="minorHAnsi"/>
          <w:color w:val="000000" w:themeColor="text1"/>
          <w:sz w:val="20"/>
          <w:szCs w:val="20"/>
        </w:rPr>
        <w:t>.</w:t>
      </w:r>
      <w:r w:rsidR="00C65FEF">
        <w:t xml:space="preserve"> </w:t>
      </w:r>
    </w:p>
    <w:p w14:paraId="40858879" w14:textId="77777777" w:rsidR="0020660C" w:rsidRDefault="0020660C" w:rsidP="00AD44D9">
      <w:pPr>
        <w:pStyle w:val="Heading1"/>
      </w:pPr>
    </w:p>
    <w:p w14:paraId="495B0E12" w14:textId="15C52818" w:rsidR="004120F7" w:rsidRPr="0049185D" w:rsidRDefault="004120F7" w:rsidP="004120F7">
      <w:pPr>
        <w:pStyle w:val="Heading1"/>
        <w:rPr>
          <w:color w:val="0070C0"/>
          <w:sz w:val="56"/>
          <w:szCs w:val="56"/>
        </w:rPr>
      </w:pPr>
      <w:bookmarkStart w:id="2" w:name="_Toc28596243"/>
      <w:r>
        <w:rPr>
          <w:color w:val="0070C0"/>
          <w:sz w:val="56"/>
          <w:szCs w:val="56"/>
        </w:rPr>
        <w:lastRenderedPageBreak/>
        <w:t>Be Sure You Didn’t Miss It</w:t>
      </w:r>
      <w:r w:rsidR="005C01C7">
        <w:rPr>
          <w:color w:val="0070C0"/>
          <w:sz w:val="56"/>
          <w:szCs w:val="56"/>
        </w:rPr>
        <w:t>!</w:t>
      </w:r>
      <w:bookmarkEnd w:id="2"/>
    </w:p>
    <w:p w14:paraId="555CE861" w14:textId="6E593E31" w:rsidR="002D4C25" w:rsidRPr="00C65FEF" w:rsidRDefault="00BA32D5" w:rsidP="002D4C25">
      <w:pPr>
        <w:pStyle w:val="Heading2"/>
        <w:numPr>
          <w:ilvl w:val="0"/>
          <w:numId w:val="0"/>
        </w:numPr>
        <w:rPr>
          <w:i/>
          <w:iCs/>
        </w:rPr>
      </w:pPr>
      <w:bookmarkStart w:id="3" w:name="_Toc27560137"/>
      <w:bookmarkStart w:id="4" w:name="_Toc28596244"/>
      <w:r>
        <w:rPr>
          <w:noProof/>
        </w:rPr>
        <mc:AlternateContent>
          <mc:Choice Requires="wps">
            <w:drawing>
              <wp:anchor distT="0" distB="0" distL="114300" distR="114300" simplePos="0" relativeHeight="251697152" behindDoc="0" locked="0" layoutInCell="1" allowOverlap="1" wp14:anchorId="14F2463B" wp14:editId="290F68CE">
                <wp:simplePos x="0" y="0"/>
                <wp:positionH relativeFrom="column">
                  <wp:posOffset>3582035</wp:posOffset>
                </wp:positionH>
                <wp:positionV relativeFrom="paragraph">
                  <wp:posOffset>227965</wp:posOffset>
                </wp:positionV>
                <wp:extent cx="3008630" cy="7992110"/>
                <wp:effectExtent l="0" t="0" r="1270" b="0"/>
                <wp:wrapSquare wrapText="bothSides"/>
                <wp:docPr id="1" name="Text Box 1"/>
                <wp:cNvGraphicFramePr/>
                <a:graphic xmlns:a="http://schemas.openxmlformats.org/drawingml/2006/main">
                  <a:graphicData uri="http://schemas.microsoft.com/office/word/2010/wordprocessingShape">
                    <wps:wsp>
                      <wps:cNvSpPr txBox="1"/>
                      <wps:spPr>
                        <a:xfrm>
                          <a:off x="0" y="0"/>
                          <a:ext cx="3008630" cy="7992110"/>
                        </a:xfrm>
                        <a:prstGeom prst="rect">
                          <a:avLst/>
                        </a:prstGeom>
                        <a:solidFill>
                          <a:schemeClr val="accent4">
                            <a:lumMod val="20000"/>
                            <a:lumOff val="80000"/>
                          </a:schemeClr>
                        </a:solidFill>
                        <a:ln w="6350">
                          <a:noFill/>
                        </a:ln>
                      </wps:spPr>
                      <wps:txbx>
                        <w:txbxContent>
                          <w:p w14:paraId="4FC6EA6A" w14:textId="5CD29AA8" w:rsidR="00005732" w:rsidRPr="006000F7" w:rsidRDefault="000929E6" w:rsidP="004120F7">
                            <w:pPr>
                              <w:spacing w:line="276" w:lineRule="auto"/>
                              <w:ind w:left="360"/>
                              <w:rPr>
                                <w:rFonts w:ascii="Arial" w:hAnsi="Arial" w:cs="Arial"/>
                                <w:b/>
                                <w:bCs/>
                                <w:color w:val="0070C0"/>
                                <w:sz w:val="26"/>
                                <w:szCs w:val="26"/>
                              </w:rPr>
                            </w:pPr>
                            <w:r>
                              <w:rPr>
                                <w:rFonts w:ascii="Arial" w:hAnsi="Arial" w:cs="Arial"/>
                                <w:b/>
                                <w:bCs/>
                                <w:color w:val="0070C0"/>
                                <w:sz w:val="26"/>
                                <w:szCs w:val="26"/>
                              </w:rPr>
                              <w:br/>
                            </w:r>
                            <w:r w:rsidR="006000F7" w:rsidRPr="006000F7">
                              <w:rPr>
                                <w:rFonts w:ascii="Arial" w:hAnsi="Arial" w:cs="Arial"/>
                                <w:b/>
                                <w:bCs/>
                                <w:color w:val="0070C0"/>
                                <w:sz w:val="26"/>
                                <w:szCs w:val="26"/>
                              </w:rPr>
                              <w:t>B</w:t>
                            </w:r>
                            <w:r w:rsidR="00005732" w:rsidRPr="006000F7">
                              <w:rPr>
                                <w:rFonts w:ascii="Arial" w:hAnsi="Arial" w:cs="Arial"/>
                                <w:b/>
                                <w:bCs/>
                                <w:color w:val="0070C0"/>
                                <w:sz w:val="26"/>
                                <w:szCs w:val="26"/>
                              </w:rPr>
                              <w:t>ENEFITS NEWS</w:t>
                            </w:r>
                            <w:r w:rsidR="00C65FEF">
                              <w:rPr>
                                <w:rFonts w:ascii="Arial" w:hAnsi="Arial" w:cs="Arial"/>
                                <w:b/>
                                <w:bCs/>
                                <w:color w:val="0070C0"/>
                                <w:sz w:val="26"/>
                                <w:szCs w:val="26"/>
                              </w:rPr>
                              <w:t xml:space="preserve"> </w:t>
                            </w:r>
                            <w:r w:rsidR="00005732" w:rsidRPr="006000F7">
                              <w:rPr>
                                <w:rFonts w:ascii="Arial" w:hAnsi="Arial" w:cs="Arial"/>
                                <w:b/>
                                <w:bCs/>
                                <w:color w:val="0070C0"/>
                                <w:sz w:val="26"/>
                                <w:szCs w:val="26"/>
                              </w:rPr>
                              <w:t>HIGHLIGHTS</w:t>
                            </w:r>
                            <w:r w:rsidR="004120F7">
                              <w:rPr>
                                <w:rFonts w:ascii="Arial" w:hAnsi="Arial" w:cs="Arial"/>
                                <w:b/>
                                <w:bCs/>
                                <w:color w:val="0070C0"/>
                                <w:sz w:val="26"/>
                                <w:szCs w:val="26"/>
                              </w:rPr>
                              <w:br/>
                            </w:r>
                          </w:p>
                          <w:p w14:paraId="5C651FAC" w14:textId="5B120306" w:rsidR="00005732" w:rsidRDefault="00005732" w:rsidP="00C57C98">
                            <w:pPr>
                              <w:numPr>
                                <w:ilvl w:val="0"/>
                                <w:numId w:val="33"/>
                              </w:numPr>
                              <w:spacing w:line="360" w:lineRule="auto"/>
                              <w:rPr>
                                <w:rFonts w:ascii="Times New Roman" w:eastAsia="Times New Roman" w:hAnsi="Times New Roman" w:cs="Times New Roman"/>
                                <w:color w:val="000000" w:themeColor="text1"/>
                                <w:sz w:val="20"/>
                                <w:szCs w:val="20"/>
                                <w:lang w:eastAsia="en-US"/>
                              </w:rPr>
                            </w:pPr>
                            <w:r w:rsidRPr="000929E6">
                              <w:rPr>
                                <w:rFonts w:ascii="Times New Roman" w:eastAsia="Times New Roman" w:hAnsi="Times New Roman" w:cs="Times New Roman"/>
                                <w:color w:val="000000" w:themeColor="text1"/>
                                <w:sz w:val="20"/>
                                <w:szCs w:val="20"/>
                                <w:lang w:eastAsia="en-US"/>
                              </w:rPr>
                              <w:t>On September 25, 2019, the Kaiser Family Foundation published their </w:t>
                            </w:r>
                            <w:hyperlink r:id="rId11" w:history="1">
                              <w:r w:rsidRPr="000929E6">
                                <w:rPr>
                                  <w:rStyle w:val="Hyperlink"/>
                                  <w:rFonts w:ascii="Times New Roman" w:eastAsia="Times New Roman" w:hAnsi="Times New Roman" w:cs="Times New Roman"/>
                                  <w:color w:val="000000" w:themeColor="text1"/>
                                  <w:sz w:val="20"/>
                                  <w:szCs w:val="20"/>
                                  <w:lang w:eastAsia="en-US"/>
                                </w:rPr>
                                <w:t>2019 Employer Health Benefits Benchmark Survey</w:t>
                              </w:r>
                            </w:hyperlink>
                            <w:r w:rsidRPr="000929E6">
                              <w:rPr>
                                <w:rFonts w:ascii="Times New Roman" w:eastAsia="Times New Roman" w:hAnsi="Times New Roman" w:cs="Times New Roman"/>
                                <w:color w:val="000000" w:themeColor="text1"/>
                                <w:sz w:val="20"/>
                                <w:szCs w:val="20"/>
                                <w:lang w:eastAsia="en-US"/>
                              </w:rPr>
                              <w:t>. The survey found that the “average annual premiums for employer-sponsored health insurance in 2019 are $7,188 for single coverage and $20,576 for family coverage.”</w:t>
                            </w:r>
                          </w:p>
                          <w:p w14:paraId="5D0AD7EB" w14:textId="77777777" w:rsidR="00BA32D5" w:rsidRPr="000929E6" w:rsidRDefault="00BA32D5" w:rsidP="00BA32D5">
                            <w:pPr>
                              <w:spacing w:line="360" w:lineRule="auto"/>
                              <w:ind w:left="720"/>
                              <w:rPr>
                                <w:rFonts w:ascii="Times New Roman" w:eastAsia="Times New Roman" w:hAnsi="Times New Roman" w:cs="Times New Roman"/>
                                <w:color w:val="000000" w:themeColor="text1"/>
                                <w:sz w:val="20"/>
                                <w:szCs w:val="20"/>
                                <w:lang w:eastAsia="en-US"/>
                              </w:rPr>
                            </w:pPr>
                          </w:p>
                          <w:p w14:paraId="2E7CF05D" w14:textId="1D5AF536" w:rsidR="00005732" w:rsidRDefault="00005732" w:rsidP="00C57C98">
                            <w:pPr>
                              <w:numPr>
                                <w:ilvl w:val="0"/>
                                <w:numId w:val="33"/>
                              </w:numPr>
                              <w:spacing w:line="360" w:lineRule="auto"/>
                              <w:rPr>
                                <w:rFonts w:ascii="Times New Roman" w:eastAsia="Times New Roman" w:hAnsi="Times New Roman" w:cs="Times New Roman"/>
                                <w:color w:val="000000" w:themeColor="text1"/>
                                <w:sz w:val="20"/>
                                <w:szCs w:val="20"/>
                                <w:lang w:eastAsia="en-US"/>
                              </w:rPr>
                            </w:pPr>
                            <w:r w:rsidRPr="00C57C98">
                              <w:rPr>
                                <w:rFonts w:ascii="Times New Roman" w:eastAsia="Times New Roman" w:hAnsi="Times New Roman" w:cs="Times New Roman"/>
                                <w:color w:val="000000" w:themeColor="text1"/>
                                <w:sz w:val="20"/>
                                <w:szCs w:val="20"/>
                                <w:lang w:eastAsia="en-US"/>
                              </w:rPr>
                              <w:t>On September 30, 2019, the IRS (Internal Revenue Service) issued </w:t>
                            </w:r>
                            <w:hyperlink r:id="rId12" w:history="1">
                              <w:r w:rsidRPr="00C57C98">
                                <w:rPr>
                                  <w:rStyle w:val="Hyperlink"/>
                                  <w:rFonts w:ascii="Times New Roman" w:eastAsia="Times New Roman" w:hAnsi="Times New Roman" w:cs="Times New Roman"/>
                                  <w:color w:val="000000" w:themeColor="text1"/>
                                  <w:sz w:val="20"/>
                                  <w:szCs w:val="20"/>
                                  <w:lang w:eastAsia="en-US"/>
                                </w:rPr>
                                <w:t>proposed Individual Coverage HRA (ICHRA) regulations</w:t>
                              </w:r>
                            </w:hyperlink>
                            <w:r w:rsidRPr="00C57C98">
                              <w:rPr>
                                <w:rFonts w:ascii="Times New Roman" w:eastAsia="Times New Roman" w:hAnsi="Times New Roman" w:cs="Times New Roman"/>
                                <w:color w:val="000000" w:themeColor="text1"/>
                                <w:sz w:val="20"/>
                                <w:szCs w:val="20"/>
                                <w:lang w:eastAsia="en-US"/>
                              </w:rPr>
                              <w:t> to address employer compliance with §4980H offer of coverage requirements, employer reporting requirements under §6055 and §6056, and §105(h) nondiscrimination rules. Perhaps most importantly, the proposed rules describe how an employer can determine when an ICHRA will be considered an offer of affordable minimum value coverage. For further information, check out our </w:t>
                            </w:r>
                            <w:hyperlink r:id="rId13" w:history="1">
                              <w:r w:rsidRPr="00C57C98">
                                <w:rPr>
                                  <w:rStyle w:val="Hyperlink"/>
                                  <w:rFonts w:ascii="Times New Roman" w:eastAsia="Times New Roman" w:hAnsi="Times New Roman" w:cs="Times New Roman"/>
                                  <w:color w:val="000000" w:themeColor="text1"/>
                                  <w:sz w:val="20"/>
                                  <w:szCs w:val="20"/>
                                  <w:lang w:eastAsia="en-US"/>
                                </w:rPr>
                                <w:t>Compliance Alert</w:t>
                              </w:r>
                            </w:hyperlink>
                            <w:r w:rsidRPr="00C57C98">
                              <w:rPr>
                                <w:rFonts w:ascii="Times New Roman" w:eastAsia="Times New Roman" w:hAnsi="Times New Roman" w:cs="Times New Roman"/>
                                <w:color w:val="000000" w:themeColor="text1"/>
                                <w:sz w:val="20"/>
                                <w:szCs w:val="20"/>
                                <w:lang w:eastAsia="en-US"/>
                              </w:rPr>
                              <w:t>.</w:t>
                            </w:r>
                          </w:p>
                          <w:p w14:paraId="457DD383" w14:textId="77777777" w:rsidR="00BA32D5" w:rsidRPr="00C57C98" w:rsidRDefault="00BA32D5" w:rsidP="00BA32D5">
                            <w:pPr>
                              <w:spacing w:line="360" w:lineRule="auto"/>
                              <w:rPr>
                                <w:rFonts w:ascii="Times New Roman" w:eastAsia="Times New Roman" w:hAnsi="Times New Roman" w:cs="Times New Roman"/>
                                <w:color w:val="000000" w:themeColor="text1"/>
                                <w:sz w:val="20"/>
                                <w:szCs w:val="20"/>
                                <w:lang w:eastAsia="en-US"/>
                              </w:rPr>
                            </w:pPr>
                          </w:p>
                          <w:p w14:paraId="4148AC33" w14:textId="08DD5499" w:rsidR="003C6AE1" w:rsidRPr="003C6AE1" w:rsidRDefault="00005732" w:rsidP="003C6AE1">
                            <w:pPr>
                              <w:numPr>
                                <w:ilvl w:val="0"/>
                                <w:numId w:val="33"/>
                              </w:numPr>
                              <w:spacing w:line="360" w:lineRule="auto"/>
                              <w:rPr>
                                <w:rFonts w:ascii="Times New Roman" w:eastAsia="Times New Roman" w:hAnsi="Times New Roman" w:cs="Times New Roman"/>
                                <w:color w:val="000000" w:themeColor="text1"/>
                                <w:sz w:val="20"/>
                                <w:szCs w:val="20"/>
                                <w:lang w:eastAsia="en-US"/>
                              </w:rPr>
                            </w:pPr>
                            <w:r w:rsidRPr="00C57C98">
                              <w:rPr>
                                <w:rFonts w:ascii="Times New Roman" w:eastAsia="Times New Roman" w:hAnsi="Times New Roman" w:cs="Times New Roman"/>
                                <w:color w:val="000000" w:themeColor="text1"/>
                                <w:sz w:val="20"/>
                                <w:szCs w:val="20"/>
                                <w:lang w:eastAsia="en-US"/>
                              </w:rPr>
                              <w:t>On November 5, 2019, HHS (Health and Human Services) released an </w:t>
                            </w:r>
                            <w:hyperlink r:id="rId14" w:history="1">
                              <w:r w:rsidRPr="00C57C98">
                                <w:rPr>
                                  <w:rStyle w:val="Hyperlink"/>
                                  <w:rFonts w:ascii="Times New Roman" w:eastAsia="Times New Roman" w:hAnsi="Times New Roman" w:cs="Times New Roman"/>
                                  <w:color w:val="000000" w:themeColor="text1"/>
                                  <w:sz w:val="20"/>
                                  <w:szCs w:val="20"/>
                                  <w:lang w:eastAsia="en-US"/>
                                </w:rPr>
                                <w:t>update</w:t>
                              </w:r>
                            </w:hyperlink>
                            <w:r w:rsidRPr="00C57C98">
                              <w:rPr>
                                <w:rFonts w:ascii="Times New Roman" w:eastAsia="Times New Roman" w:hAnsi="Times New Roman" w:cs="Times New Roman"/>
                                <w:color w:val="000000" w:themeColor="text1"/>
                                <w:sz w:val="20"/>
                                <w:szCs w:val="20"/>
                                <w:lang w:eastAsia="en-US"/>
                              </w:rPr>
                              <w:t> to “its regulations to reflect required annual inflation-related increases to the civil monetary penalties in its regulations” – including increases to civil monetary penalties related to failures under HIPAA Privacy and Security Requirements.</w:t>
                            </w:r>
                          </w:p>
                          <w:p w14:paraId="4F7E0781" w14:textId="1853681C" w:rsidR="00005732" w:rsidRPr="000929E6" w:rsidRDefault="00005732" w:rsidP="00BA32D5">
                            <w:pPr>
                              <w:spacing w:line="360" w:lineRule="auto"/>
                              <w:rPr>
                                <w:rFonts w:ascii="Times New Roman" w:eastAsia="Times New Roman" w:hAnsi="Times New Roman" w:cs="Times New Roman"/>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2463B" id="Text Box 1" o:spid="_x0000_s1028" type="#_x0000_t202" style="position:absolute;margin-left:282.05pt;margin-top:17.95pt;width:236.9pt;height:629.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" fillcolor="#dfeef2 [663]" stroked="f" strokeweight=".5pt">
                <v:textbox>
                  <w:txbxContent>
                    <w:p w14:paraId="4FC6EA6A" w14:textId="5CD29AA8" w:rsidR="00005732" w:rsidRPr="006000F7" w:rsidRDefault="000929E6" w:rsidP="004120F7">
                      <w:pPr>
                        <w:spacing w:line="276" w:lineRule="auto"/>
                        <w:ind w:left="360"/>
                        <w:rPr>
                          <w:rFonts w:ascii="Arial" w:hAnsi="Arial" w:cs="Arial"/>
                          <w:b/>
                          <w:bCs/>
                          <w:color w:val="0070C0"/>
                          <w:sz w:val="26"/>
                          <w:szCs w:val="26"/>
                        </w:rPr>
                      </w:pPr>
                      <w:r>
                        <w:rPr>
                          <w:rFonts w:ascii="Arial" w:hAnsi="Arial" w:cs="Arial"/>
                          <w:b/>
                          <w:bCs/>
                          <w:color w:val="0070C0"/>
                          <w:sz w:val="26"/>
                          <w:szCs w:val="26"/>
                        </w:rPr>
                        <w:br/>
                      </w:r>
                      <w:r w:rsidR="006000F7" w:rsidRPr="006000F7">
                        <w:rPr>
                          <w:rFonts w:ascii="Arial" w:hAnsi="Arial" w:cs="Arial"/>
                          <w:b/>
                          <w:bCs/>
                          <w:color w:val="0070C0"/>
                          <w:sz w:val="26"/>
                          <w:szCs w:val="26"/>
                        </w:rPr>
                        <w:t>B</w:t>
                      </w:r>
                      <w:r w:rsidR="00005732" w:rsidRPr="006000F7">
                        <w:rPr>
                          <w:rFonts w:ascii="Arial" w:hAnsi="Arial" w:cs="Arial"/>
                          <w:b/>
                          <w:bCs/>
                          <w:color w:val="0070C0"/>
                          <w:sz w:val="26"/>
                          <w:szCs w:val="26"/>
                        </w:rPr>
                        <w:t>ENEFITS NEWS</w:t>
                      </w:r>
                      <w:r w:rsidR="00C65FEF">
                        <w:rPr>
                          <w:rFonts w:ascii="Arial" w:hAnsi="Arial" w:cs="Arial"/>
                          <w:b/>
                          <w:bCs/>
                          <w:color w:val="0070C0"/>
                          <w:sz w:val="26"/>
                          <w:szCs w:val="26"/>
                        </w:rPr>
                        <w:t xml:space="preserve"> </w:t>
                      </w:r>
                      <w:r w:rsidR="00005732" w:rsidRPr="006000F7">
                        <w:rPr>
                          <w:rFonts w:ascii="Arial" w:hAnsi="Arial" w:cs="Arial"/>
                          <w:b/>
                          <w:bCs/>
                          <w:color w:val="0070C0"/>
                          <w:sz w:val="26"/>
                          <w:szCs w:val="26"/>
                        </w:rPr>
                        <w:t>HIGHLIGHTS</w:t>
                      </w:r>
                      <w:r w:rsidR="004120F7">
                        <w:rPr>
                          <w:rFonts w:ascii="Arial" w:hAnsi="Arial" w:cs="Arial"/>
                          <w:b/>
                          <w:bCs/>
                          <w:color w:val="0070C0"/>
                          <w:sz w:val="26"/>
                          <w:szCs w:val="26"/>
                        </w:rPr>
                        <w:br/>
                      </w:r>
                    </w:p>
                    <w:p w14:paraId="5C651FAC" w14:textId="5B120306" w:rsidR="00005732" w:rsidRDefault="00005732" w:rsidP="00C57C98">
                      <w:pPr>
                        <w:numPr>
                          <w:ilvl w:val="0"/>
                          <w:numId w:val="33"/>
                        </w:numPr>
                        <w:spacing w:line="360" w:lineRule="auto"/>
                        <w:rPr>
                          <w:rFonts w:ascii="Times New Roman" w:eastAsia="Times New Roman" w:hAnsi="Times New Roman" w:cs="Times New Roman"/>
                          <w:color w:val="000000" w:themeColor="text1"/>
                          <w:sz w:val="20"/>
                          <w:szCs w:val="20"/>
                          <w:lang w:eastAsia="en-US"/>
                        </w:rPr>
                      </w:pPr>
                      <w:r w:rsidRPr="000929E6">
                        <w:rPr>
                          <w:rFonts w:ascii="Times New Roman" w:eastAsia="Times New Roman" w:hAnsi="Times New Roman" w:cs="Times New Roman"/>
                          <w:color w:val="000000" w:themeColor="text1"/>
                          <w:sz w:val="20"/>
                          <w:szCs w:val="20"/>
                          <w:lang w:eastAsia="en-US"/>
                        </w:rPr>
                        <w:t>On September 25, 2019, the Kaiser Family Foundation published their </w:t>
                      </w:r>
                      <w:hyperlink r:id="rId15" w:history="1">
                        <w:r w:rsidRPr="000929E6">
                          <w:rPr>
                            <w:rStyle w:val="Hyperlink"/>
                            <w:rFonts w:ascii="Times New Roman" w:eastAsia="Times New Roman" w:hAnsi="Times New Roman" w:cs="Times New Roman"/>
                            <w:color w:val="000000" w:themeColor="text1"/>
                            <w:sz w:val="20"/>
                            <w:szCs w:val="20"/>
                            <w:lang w:eastAsia="en-US"/>
                          </w:rPr>
                          <w:t>2019 Employer Health Benefits Benchmark Survey</w:t>
                        </w:r>
                      </w:hyperlink>
                      <w:r w:rsidRPr="000929E6">
                        <w:rPr>
                          <w:rFonts w:ascii="Times New Roman" w:eastAsia="Times New Roman" w:hAnsi="Times New Roman" w:cs="Times New Roman"/>
                          <w:color w:val="000000" w:themeColor="text1"/>
                          <w:sz w:val="20"/>
                          <w:szCs w:val="20"/>
                          <w:lang w:eastAsia="en-US"/>
                        </w:rPr>
                        <w:t>. The survey found that the “average annual premiums for employer-sponsored health insurance in 2019 are $7,188 for single coverage and $20,576 for family coverage.”</w:t>
                      </w:r>
                    </w:p>
                    <w:p w14:paraId="5D0AD7EB" w14:textId="77777777" w:rsidR="00BA32D5" w:rsidRPr="000929E6" w:rsidRDefault="00BA32D5" w:rsidP="00BA32D5">
                      <w:pPr>
                        <w:spacing w:line="360" w:lineRule="auto"/>
                        <w:ind w:left="720"/>
                        <w:rPr>
                          <w:rFonts w:ascii="Times New Roman" w:eastAsia="Times New Roman" w:hAnsi="Times New Roman" w:cs="Times New Roman"/>
                          <w:color w:val="000000" w:themeColor="text1"/>
                          <w:sz w:val="20"/>
                          <w:szCs w:val="20"/>
                          <w:lang w:eastAsia="en-US"/>
                        </w:rPr>
                      </w:pPr>
                    </w:p>
                    <w:p w14:paraId="2E7CF05D" w14:textId="1D5AF536" w:rsidR="00005732" w:rsidRDefault="00005732" w:rsidP="00C57C98">
                      <w:pPr>
                        <w:numPr>
                          <w:ilvl w:val="0"/>
                          <w:numId w:val="33"/>
                        </w:numPr>
                        <w:spacing w:line="360" w:lineRule="auto"/>
                        <w:rPr>
                          <w:rFonts w:ascii="Times New Roman" w:eastAsia="Times New Roman" w:hAnsi="Times New Roman" w:cs="Times New Roman"/>
                          <w:color w:val="000000" w:themeColor="text1"/>
                          <w:sz w:val="20"/>
                          <w:szCs w:val="20"/>
                          <w:lang w:eastAsia="en-US"/>
                        </w:rPr>
                      </w:pPr>
                      <w:r w:rsidRPr="00C57C98">
                        <w:rPr>
                          <w:rFonts w:ascii="Times New Roman" w:eastAsia="Times New Roman" w:hAnsi="Times New Roman" w:cs="Times New Roman"/>
                          <w:color w:val="000000" w:themeColor="text1"/>
                          <w:sz w:val="20"/>
                          <w:szCs w:val="20"/>
                          <w:lang w:eastAsia="en-US"/>
                        </w:rPr>
                        <w:t>On September 30, 2019, the IRS (Internal Revenue Service) issued </w:t>
                      </w:r>
                      <w:hyperlink r:id="rId16" w:history="1">
                        <w:r w:rsidRPr="00C57C98">
                          <w:rPr>
                            <w:rStyle w:val="Hyperlink"/>
                            <w:rFonts w:ascii="Times New Roman" w:eastAsia="Times New Roman" w:hAnsi="Times New Roman" w:cs="Times New Roman"/>
                            <w:color w:val="000000" w:themeColor="text1"/>
                            <w:sz w:val="20"/>
                            <w:szCs w:val="20"/>
                            <w:lang w:eastAsia="en-US"/>
                          </w:rPr>
                          <w:t>proposed Individual Coverage HRA (ICHRA) regulations</w:t>
                        </w:r>
                      </w:hyperlink>
                      <w:r w:rsidRPr="00C57C98">
                        <w:rPr>
                          <w:rFonts w:ascii="Times New Roman" w:eastAsia="Times New Roman" w:hAnsi="Times New Roman" w:cs="Times New Roman"/>
                          <w:color w:val="000000" w:themeColor="text1"/>
                          <w:sz w:val="20"/>
                          <w:szCs w:val="20"/>
                          <w:lang w:eastAsia="en-US"/>
                        </w:rPr>
                        <w:t> to address employer compliance with §4980H offer of coverage requirements, employer reporting requirements under §6055 and §6056, and §105(h) nondiscrimination rules. Perhaps most importantly, the proposed rules describe how an employer can determine when an ICHRA will be considered an offer of affordable minimum value coverage. For further information, check out our </w:t>
                      </w:r>
                      <w:hyperlink r:id="rId17" w:history="1">
                        <w:r w:rsidRPr="00C57C98">
                          <w:rPr>
                            <w:rStyle w:val="Hyperlink"/>
                            <w:rFonts w:ascii="Times New Roman" w:eastAsia="Times New Roman" w:hAnsi="Times New Roman" w:cs="Times New Roman"/>
                            <w:color w:val="000000" w:themeColor="text1"/>
                            <w:sz w:val="20"/>
                            <w:szCs w:val="20"/>
                            <w:lang w:eastAsia="en-US"/>
                          </w:rPr>
                          <w:t>Compliance Alert</w:t>
                        </w:r>
                      </w:hyperlink>
                      <w:r w:rsidRPr="00C57C98">
                        <w:rPr>
                          <w:rFonts w:ascii="Times New Roman" w:eastAsia="Times New Roman" w:hAnsi="Times New Roman" w:cs="Times New Roman"/>
                          <w:color w:val="000000" w:themeColor="text1"/>
                          <w:sz w:val="20"/>
                          <w:szCs w:val="20"/>
                          <w:lang w:eastAsia="en-US"/>
                        </w:rPr>
                        <w:t>.</w:t>
                      </w:r>
                    </w:p>
                    <w:p w14:paraId="457DD383" w14:textId="77777777" w:rsidR="00BA32D5" w:rsidRPr="00C57C98" w:rsidRDefault="00BA32D5" w:rsidP="00BA32D5">
                      <w:pPr>
                        <w:spacing w:line="360" w:lineRule="auto"/>
                        <w:rPr>
                          <w:rFonts w:ascii="Times New Roman" w:eastAsia="Times New Roman" w:hAnsi="Times New Roman" w:cs="Times New Roman"/>
                          <w:color w:val="000000" w:themeColor="text1"/>
                          <w:sz w:val="20"/>
                          <w:szCs w:val="20"/>
                          <w:lang w:eastAsia="en-US"/>
                        </w:rPr>
                      </w:pPr>
                    </w:p>
                    <w:p w14:paraId="4148AC33" w14:textId="08DD5499" w:rsidR="003C6AE1" w:rsidRPr="003C6AE1" w:rsidRDefault="00005732" w:rsidP="003C6AE1">
                      <w:pPr>
                        <w:numPr>
                          <w:ilvl w:val="0"/>
                          <w:numId w:val="33"/>
                        </w:numPr>
                        <w:spacing w:line="360" w:lineRule="auto"/>
                        <w:rPr>
                          <w:rFonts w:ascii="Times New Roman" w:eastAsia="Times New Roman" w:hAnsi="Times New Roman" w:cs="Times New Roman"/>
                          <w:color w:val="000000" w:themeColor="text1"/>
                          <w:sz w:val="20"/>
                          <w:szCs w:val="20"/>
                          <w:lang w:eastAsia="en-US"/>
                        </w:rPr>
                      </w:pPr>
                      <w:r w:rsidRPr="00C57C98">
                        <w:rPr>
                          <w:rFonts w:ascii="Times New Roman" w:eastAsia="Times New Roman" w:hAnsi="Times New Roman" w:cs="Times New Roman"/>
                          <w:color w:val="000000" w:themeColor="text1"/>
                          <w:sz w:val="20"/>
                          <w:szCs w:val="20"/>
                          <w:lang w:eastAsia="en-US"/>
                        </w:rPr>
                        <w:t>On November 5, 2019, HHS (Health and Human Services) released an </w:t>
                      </w:r>
                      <w:hyperlink r:id="rId18" w:history="1">
                        <w:r w:rsidRPr="00C57C98">
                          <w:rPr>
                            <w:rStyle w:val="Hyperlink"/>
                            <w:rFonts w:ascii="Times New Roman" w:eastAsia="Times New Roman" w:hAnsi="Times New Roman" w:cs="Times New Roman"/>
                            <w:color w:val="000000" w:themeColor="text1"/>
                            <w:sz w:val="20"/>
                            <w:szCs w:val="20"/>
                            <w:lang w:eastAsia="en-US"/>
                          </w:rPr>
                          <w:t>update</w:t>
                        </w:r>
                      </w:hyperlink>
                      <w:r w:rsidRPr="00C57C98">
                        <w:rPr>
                          <w:rFonts w:ascii="Times New Roman" w:eastAsia="Times New Roman" w:hAnsi="Times New Roman" w:cs="Times New Roman"/>
                          <w:color w:val="000000" w:themeColor="text1"/>
                          <w:sz w:val="20"/>
                          <w:szCs w:val="20"/>
                          <w:lang w:eastAsia="en-US"/>
                        </w:rPr>
                        <w:t> to “its regulations to reflect required annual inflation-related increases to the civil monetary penalties in its regulations” – including increases to civil monetary penalties related to failures under HIPAA Privacy and Security Requirements.</w:t>
                      </w:r>
                    </w:p>
                    <w:p w14:paraId="4F7E0781" w14:textId="1853681C" w:rsidR="00005732" w:rsidRPr="000929E6" w:rsidRDefault="00005732" w:rsidP="00BA32D5">
                      <w:pPr>
                        <w:spacing w:line="360" w:lineRule="auto"/>
                        <w:rPr>
                          <w:rFonts w:ascii="Times New Roman" w:eastAsia="Times New Roman" w:hAnsi="Times New Roman" w:cs="Times New Roman"/>
                          <w:color w:val="000000" w:themeColor="text1"/>
                          <w:sz w:val="20"/>
                          <w:szCs w:val="20"/>
                        </w:rPr>
                      </w:pPr>
                    </w:p>
                  </w:txbxContent>
                </v:textbox>
                <w10:wrap type="square"/>
              </v:shape>
            </w:pict>
          </mc:Fallback>
        </mc:AlternateContent>
      </w:r>
      <w:r w:rsidR="00C65FEF">
        <w:rPr>
          <w:i/>
          <w:iCs/>
          <w:sz w:val="24"/>
          <w:szCs w:val="24"/>
        </w:rPr>
        <w:br/>
      </w:r>
      <w:r w:rsidR="005C01C7" w:rsidRPr="00C65FEF">
        <w:rPr>
          <w:i/>
          <w:iCs/>
        </w:rPr>
        <w:t xml:space="preserve">Recap of </w:t>
      </w:r>
      <w:r w:rsidR="009024A5">
        <w:rPr>
          <w:i/>
          <w:iCs/>
        </w:rPr>
        <w:t>4</w:t>
      </w:r>
      <w:r w:rsidR="009024A5" w:rsidRPr="009024A5">
        <w:rPr>
          <w:i/>
          <w:iCs/>
          <w:vertAlign w:val="superscript"/>
        </w:rPr>
        <w:t>th</w:t>
      </w:r>
      <w:bookmarkStart w:id="5" w:name="_GoBack"/>
      <w:bookmarkEnd w:id="5"/>
      <w:r w:rsidR="005C01C7" w:rsidRPr="00C65FEF">
        <w:rPr>
          <w:i/>
          <w:iCs/>
        </w:rPr>
        <w:t xml:space="preserve"> Quarter Issue Briefs and Alerts</w:t>
      </w:r>
      <w:bookmarkEnd w:id="3"/>
      <w:bookmarkEnd w:id="4"/>
    </w:p>
    <w:p w14:paraId="5CFA05FE" w14:textId="77777777" w:rsidR="00044AD3" w:rsidRDefault="00044AD3" w:rsidP="002D4C25">
      <w:pPr>
        <w:pStyle w:val="Heading2"/>
        <w:numPr>
          <w:ilvl w:val="0"/>
          <w:numId w:val="0"/>
        </w:numPr>
        <w:rPr>
          <w:rFonts w:ascii="Times New Roman" w:hAnsi="Times New Roman" w:cs="Times New Roman"/>
          <w:b/>
          <w:bCs/>
          <w:color w:val="000000" w:themeColor="text1"/>
          <w:sz w:val="24"/>
          <w:szCs w:val="24"/>
        </w:rPr>
      </w:pPr>
    </w:p>
    <w:p w14:paraId="5EE080FF" w14:textId="1FB424F1" w:rsidR="002D4C25" w:rsidRPr="00C65FEF" w:rsidRDefault="002D4C25" w:rsidP="00C65FEF">
      <w:pPr>
        <w:pStyle w:val="Heading2"/>
        <w:numPr>
          <w:ilvl w:val="0"/>
          <w:numId w:val="0"/>
        </w:numPr>
        <w:rPr>
          <w:rFonts w:ascii="Times New Roman" w:hAnsi="Times New Roman" w:cs="Times New Roman"/>
          <w:b/>
          <w:color w:val="000000" w:themeColor="text1"/>
        </w:rPr>
      </w:pPr>
      <w:bookmarkStart w:id="6" w:name="_Toc27560138"/>
      <w:bookmarkStart w:id="7" w:name="_Toc28596245"/>
      <w:r w:rsidRPr="00C65FEF">
        <w:rPr>
          <w:rFonts w:ascii="Times New Roman" w:hAnsi="Times New Roman" w:cs="Times New Roman"/>
          <w:b/>
          <w:bCs/>
          <w:color w:val="000000" w:themeColor="text1"/>
        </w:rPr>
        <w:t>COBRA Qualifying Events</w:t>
      </w:r>
      <w:bookmarkEnd w:id="6"/>
      <w:bookmarkEnd w:id="7"/>
    </w:p>
    <w:p w14:paraId="65C1A0F5" w14:textId="77777777" w:rsidR="002D4C25" w:rsidRPr="00C65FEF" w:rsidRDefault="002D4C25" w:rsidP="00C65FEF">
      <w:pPr>
        <w:pStyle w:val="NormalWeb"/>
        <w:shd w:val="clear" w:color="auto" w:fill="FFFFFF"/>
        <w:spacing w:line="360" w:lineRule="auto"/>
        <w:rPr>
          <w:color w:val="000000" w:themeColor="text1"/>
          <w:sz w:val="20"/>
          <w:szCs w:val="20"/>
        </w:rPr>
      </w:pPr>
      <w:r w:rsidRPr="00C65FEF">
        <w:rPr>
          <w:color w:val="000000" w:themeColor="text1"/>
          <w:sz w:val="20"/>
          <w:szCs w:val="20"/>
        </w:rPr>
        <w:t xml:space="preserve">COBRA requires covered employers to offer continued health plan coverage to qualified beneficiaries when they experience a COBRA “qualifying event.” Whether a qualifying event has occurred depends on whether an individual has experienced one of seven triggering events listed in the statute, and whether that event causes a loss of eligibility for health coverage. </w:t>
      </w:r>
    </w:p>
    <w:p w14:paraId="5048CD8A" w14:textId="77777777" w:rsidR="002D4C25" w:rsidRPr="00C65FEF" w:rsidRDefault="002D4C25" w:rsidP="00C65FEF">
      <w:pPr>
        <w:pStyle w:val="NormalWeb"/>
        <w:shd w:val="clear" w:color="auto" w:fill="FFFFFF"/>
        <w:spacing w:line="360" w:lineRule="auto"/>
        <w:rPr>
          <w:color w:val="000000" w:themeColor="text1"/>
          <w:sz w:val="20"/>
          <w:szCs w:val="20"/>
        </w:rPr>
      </w:pPr>
      <w:r w:rsidRPr="00C65FEF">
        <w:rPr>
          <w:color w:val="000000" w:themeColor="text1"/>
          <w:sz w:val="20"/>
          <w:szCs w:val="20"/>
        </w:rPr>
        <w:t>It is important for employers subject to COBRA to discern whether an individual has in fact experienced a qualifying event to ensure that an election notice is provided on a timely basis and to avoid issues with carrier coverage or an inadvertent extension of the maximum coverage period.</w:t>
      </w:r>
    </w:p>
    <w:p w14:paraId="14020E9D" w14:textId="77777777" w:rsidR="002D4C25" w:rsidRPr="00C65FEF" w:rsidRDefault="002D4C25" w:rsidP="00C65FEF">
      <w:pPr>
        <w:spacing w:line="360" w:lineRule="auto"/>
        <w:rPr>
          <w:rFonts w:ascii="Times New Roman" w:hAnsi="Times New Roman" w:cs="Times New Roman"/>
          <w:color w:val="000000" w:themeColor="text1"/>
          <w:sz w:val="20"/>
          <w:szCs w:val="20"/>
        </w:rPr>
      </w:pPr>
      <w:r w:rsidRPr="00C65FEF">
        <w:rPr>
          <w:rFonts w:ascii="Times New Roman" w:hAnsi="Times New Roman" w:cs="Times New Roman"/>
          <w:color w:val="000000" w:themeColor="text1"/>
          <w:sz w:val="20"/>
          <w:szCs w:val="20"/>
        </w:rPr>
        <w:t>More here:</w:t>
      </w:r>
      <w:r w:rsidRPr="00C65FEF">
        <w:rPr>
          <w:rFonts w:ascii="Times New Roman" w:hAnsi="Times New Roman" w:cs="Times New Roman"/>
          <w:b/>
          <w:bCs/>
          <w:color w:val="000000" w:themeColor="text1"/>
          <w:sz w:val="20"/>
          <w:szCs w:val="20"/>
        </w:rPr>
        <w:t xml:space="preserve"> </w:t>
      </w:r>
      <w:hyperlink r:id="rId19" w:history="1">
        <w:r w:rsidRPr="00C65FEF">
          <w:rPr>
            <w:rStyle w:val="Hyperlink"/>
            <w:rFonts w:ascii="Times New Roman" w:hAnsi="Times New Roman" w:cs="Times New Roman"/>
            <w:color w:val="000000" w:themeColor="text1"/>
            <w:sz w:val="20"/>
            <w:szCs w:val="20"/>
          </w:rPr>
          <w:t>http://benefitcomply.com/issue-brief-cobra-basics-what-is-a-cobra-qualifying-event/</w:t>
        </w:r>
      </w:hyperlink>
    </w:p>
    <w:p w14:paraId="6F50B028" w14:textId="77777777" w:rsidR="00373911" w:rsidRPr="00C65FEF" w:rsidRDefault="00373911" w:rsidP="00C65FEF">
      <w:pPr>
        <w:pStyle w:val="ListParagraph"/>
        <w:spacing w:after="160" w:line="360" w:lineRule="auto"/>
        <w:rPr>
          <w:rFonts w:ascii="Times New Roman" w:hAnsi="Times New Roman" w:cs="Times New Roman"/>
          <w:color w:val="000000" w:themeColor="text1"/>
        </w:rPr>
      </w:pPr>
    </w:p>
    <w:p w14:paraId="2DF74A98" w14:textId="5339E69B" w:rsidR="002D4C25" w:rsidRPr="00C65FEF" w:rsidRDefault="002D4C25" w:rsidP="00C65FEF">
      <w:pPr>
        <w:spacing w:after="160" w:line="360" w:lineRule="auto"/>
        <w:rPr>
          <w:rFonts w:ascii="Times New Roman" w:hAnsi="Times New Roman" w:cs="Times New Roman"/>
          <w:color w:val="000000" w:themeColor="text1"/>
          <w:sz w:val="20"/>
          <w:szCs w:val="20"/>
        </w:rPr>
      </w:pPr>
      <w:r w:rsidRPr="00C65FEF">
        <w:rPr>
          <w:rFonts w:ascii="Times New Roman" w:hAnsi="Times New Roman" w:cs="Times New Roman"/>
          <w:b/>
          <w:bCs/>
          <w:color w:val="000000" w:themeColor="text1"/>
          <w:sz w:val="20"/>
          <w:szCs w:val="20"/>
        </w:rPr>
        <w:t>Offer of Coverage Requirements and Associated Penalties</w:t>
      </w:r>
    </w:p>
    <w:p w14:paraId="02F56D7C" w14:textId="77777777" w:rsidR="002D4C25" w:rsidRPr="00C65FEF" w:rsidRDefault="002D4C25" w:rsidP="00C65FEF">
      <w:pPr>
        <w:spacing w:line="360" w:lineRule="auto"/>
        <w:rPr>
          <w:rFonts w:ascii="Times New Roman" w:hAnsi="Times New Roman" w:cs="Times New Roman"/>
          <w:color w:val="000000" w:themeColor="text1"/>
          <w:sz w:val="20"/>
          <w:szCs w:val="20"/>
          <w:shd w:val="clear" w:color="auto" w:fill="FFFFFF"/>
        </w:rPr>
      </w:pPr>
      <w:r w:rsidRPr="00C65FEF">
        <w:rPr>
          <w:rFonts w:ascii="Times New Roman" w:hAnsi="Times New Roman" w:cs="Times New Roman"/>
          <w:color w:val="000000" w:themeColor="text1"/>
          <w:sz w:val="20"/>
          <w:szCs w:val="20"/>
          <w:shd w:val="clear" w:color="auto" w:fill="FFFFFF"/>
        </w:rPr>
        <w:t xml:space="preserve">As the IRS continues to actively enforce the employer shared responsibility payments and associated employer reporting requirements, we are reminded that the employer mandate under §4980H of the ACA remains in effect and requires compliance to avoid potential penalties. All applicable large employers (ALEs) are subject to §4980H offer of coverage requirements and §6056 employer reporting requirements. ALEs who fail to comply with §4980H offer of coverage requirements and report accordingly to the IRS via Forms 1094-C and 1095-C may find themselves subject to penalties (employer shared responsibility payments). </w:t>
      </w:r>
    </w:p>
    <w:p w14:paraId="33FC4EBC" w14:textId="77777777" w:rsidR="00044AD3" w:rsidRPr="00C65FEF" w:rsidRDefault="00044AD3" w:rsidP="00C65FEF">
      <w:pPr>
        <w:spacing w:line="360" w:lineRule="auto"/>
        <w:rPr>
          <w:rFonts w:ascii="Times New Roman" w:hAnsi="Times New Roman" w:cs="Times New Roman"/>
          <w:color w:val="000000" w:themeColor="text1"/>
          <w:sz w:val="20"/>
          <w:szCs w:val="20"/>
          <w:shd w:val="clear" w:color="auto" w:fill="FFFFFF"/>
        </w:rPr>
      </w:pPr>
    </w:p>
    <w:p w14:paraId="628D168D" w14:textId="77777777" w:rsidR="00C65FEF" w:rsidRPr="00C65FEF" w:rsidRDefault="00C65FEF" w:rsidP="00C65FEF">
      <w:pPr>
        <w:spacing w:line="360" w:lineRule="auto"/>
        <w:rPr>
          <w:rFonts w:ascii="Times New Roman" w:hAnsi="Times New Roman" w:cs="Times New Roman"/>
          <w:color w:val="000000" w:themeColor="text1"/>
          <w:sz w:val="20"/>
          <w:szCs w:val="20"/>
          <w:shd w:val="clear" w:color="auto" w:fill="FFFFFF"/>
        </w:rPr>
        <w:sectPr w:rsidR="00C65FEF" w:rsidRPr="00C65FEF" w:rsidSect="002B4808">
          <w:type w:val="continuous"/>
          <w:pgSz w:w="12240" w:h="15840" w:code="1"/>
          <w:pgMar w:top="1080" w:right="1440" w:bottom="1080" w:left="1440" w:header="720" w:footer="720" w:gutter="0"/>
          <w:cols w:space="720"/>
          <w:docGrid w:linePitch="360"/>
        </w:sectPr>
      </w:pPr>
    </w:p>
    <w:p w14:paraId="1C75CD5F" w14:textId="16840A55" w:rsidR="002D4C25" w:rsidRPr="00C65FEF" w:rsidRDefault="002D4C25" w:rsidP="00C65FEF">
      <w:pPr>
        <w:spacing w:line="360" w:lineRule="auto"/>
        <w:rPr>
          <w:rFonts w:ascii="Times New Roman" w:hAnsi="Times New Roman" w:cs="Times New Roman"/>
          <w:color w:val="000000" w:themeColor="text1"/>
          <w:sz w:val="20"/>
          <w:szCs w:val="20"/>
          <w:shd w:val="clear" w:color="auto" w:fill="FFFFFF"/>
        </w:rPr>
      </w:pPr>
      <w:r w:rsidRPr="00C65FEF">
        <w:rPr>
          <w:rFonts w:ascii="Times New Roman" w:hAnsi="Times New Roman" w:cs="Times New Roman"/>
          <w:color w:val="000000" w:themeColor="text1"/>
          <w:sz w:val="20"/>
          <w:szCs w:val="20"/>
          <w:shd w:val="clear" w:color="auto" w:fill="FFFFFF"/>
        </w:rPr>
        <w:t xml:space="preserve">More here: </w:t>
      </w:r>
      <w:hyperlink r:id="rId20" w:history="1">
        <w:r w:rsidRPr="00C65FEF">
          <w:rPr>
            <w:rStyle w:val="Hyperlink"/>
            <w:rFonts w:ascii="Times New Roman" w:hAnsi="Times New Roman" w:cs="Times New Roman"/>
            <w:color w:val="000000" w:themeColor="text1"/>
            <w:sz w:val="20"/>
            <w:szCs w:val="20"/>
          </w:rPr>
          <w:t>https://benefitcomply.com/issue-brief-%c2%a74980h-offer-requirements-and-associated-penalties-2/</w:t>
        </w:r>
      </w:hyperlink>
    </w:p>
    <w:p w14:paraId="39D62704" w14:textId="77777777" w:rsidR="00044AD3" w:rsidRDefault="00044AD3" w:rsidP="00C65FEF">
      <w:pPr>
        <w:spacing w:after="160" w:line="360" w:lineRule="auto"/>
        <w:rPr>
          <w:rFonts w:ascii="Times New Roman" w:hAnsi="Times New Roman" w:cs="Times New Roman"/>
          <w:b/>
          <w:bCs/>
          <w:color w:val="000000" w:themeColor="text1"/>
          <w:sz w:val="20"/>
          <w:szCs w:val="20"/>
        </w:rPr>
      </w:pPr>
    </w:p>
    <w:p w14:paraId="605E8A43" w14:textId="56C0B46A" w:rsidR="003C6AE1" w:rsidRPr="00C65FEF" w:rsidRDefault="003C6AE1" w:rsidP="00C65FEF">
      <w:pPr>
        <w:spacing w:after="160" w:line="360" w:lineRule="auto"/>
        <w:rPr>
          <w:rFonts w:ascii="Times New Roman" w:hAnsi="Times New Roman" w:cs="Times New Roman"/>
          <w:b/>
          <w:bCs/>
          <w:color w:val="000000" w:themeColor="text1"/>
          <w:sz w:val="20"/>
          <w:szCs w:val="20"/>
        </w:rPr>
        <w:sectPr w:rsidR="003C6AE1" w:rsidRPr="00C65FEF" w:rsidSect="00C65FEF">
          <w:type w:val="continuous"/>
          <w:pgSz w:w="12240" w:h="15840" w:code="1"/>
          <w:pgMar w:top="1080" w:right="1440" w:bottom="1080" w:left="1440" w:header="720" w:footer="720" w:gutter="0"/>
          <w:cols w:space="720"/>
          <w:docGrid w:linePitch="360"/>
        </w:sectPr>
      </w:pPr>
    </w:p>
    <w:p w14:paraId="6E546624" w14:textId="7EE83AA4" w:rsidR="002D4C25" w:rsidRPr="00C65FEF" w:rsidRDefault="003C6AE1" w:rsidP="00C65FEF">
      <w:pPr>
        <w:spacing w:after="160" w:line="360" w:lineRule="auto"/>
        <w:rPr>
          <w:rFonts w:ascii="Times New Roman" w:hAnsi="Times New Roman" w:cs="Times New Roman"/>
          <w:color w:val="000000" w:themeColor="text1"/>
          <w:sz w:val="20"/>
          <w:szCs w:val="20"/>
        </w:rPr>
      </w:pPr>
      <w:r>
        <w:rPr>
          <w:noProof/>
        </w:rPr>
        <w:lastRenderedPageBreak/>
        <mc:AlternateContent>
          <mc:Choice Requires="wps">
            <w:drawing>
              <wp:anchor distT="0" distB="0" distL="114300" distR="114300" simplePos="0" relativeHeight="251699200" behindDoc="0" locked="0" layoutInCell="1" allowOverlap="1" wp14:anchorId="2755F615" wp14:editId="546BB7EA">
                <wp:simplePos x="0" y="0"/>
                <wp:positionH relativeFrom="column">
                  <wp:posOffset>3573780</wp:posOffset>
                </wp:positionH>
                <wp:positionV relativeFrom="paragraph">
                  <wp:posOffset>320040</wp:posOffset>
                </wp:positionV>
                <wp:extent cx="3025140" cy="5570220"/>
                <wp:effectExtent l="0" t="0" r="3810" b="0"/>
                <wp:wrapSquare wrapText="bothSides"/>
                <wp:docPr id="3" name="Text Box 3"/>
                <wp:cNvGraphicFramePr/>
                <a:graphic xmlns:a="http://schemas.openxmlformats.org/drawingml/2006/main">
                  <a:graphicData uri="http://schemas.microsoft.com/office/word/2010/wordprocessingShape">
                    <wps:wsp>
                      <wps:cNvSpPr txBox="1"/>
                      <wps:spPr>
                        <a:xfrm>
                          <a:off x="0" y="0"/>
                          <a:ext cx="3025140" cy="5570220"/>
                        </a:xfrm>
                        <a:prstGeom prst="rect">
                          <a:avLst/>
                        </a:prstGeom>
                        <a:solidFill>
                          <a:schemeClr val="accent4">
                            <a:lumMod val="20000"/>
                            <a:lumOff val="80000"/>
                          </a:schemeClr>
                        </a:solidFill>
                        <a:ln w="6350">
                          <a:noFill/>
                        </a:ln>
                      </wps:spPr>
                      <wps:txbx>
                        <w:txbxContent>
                          <w:p w14:paraId="52051B41" w14:textId="202388B2" w:rsidR="00BA32D5" w:rsidRPr="003C6AE1" w:rsidRDefault="00BA32D5" w:rsidP="003C6AE1">
                            <w:pPr>
                              <w:spacing w:line="276" w:lineRule="auto"/>
                            </w:pPr>
                            <w:r w:rsidRPr="003C6AE1">
                              <w:rPr>
                                <w:rFonts w:ascii="Arial" w:hAnsi="Arial" w:cs="Arial"/>
                                <w:b/>
                                <w:bCs/>
                                <w:color w:val="0070C0"/>
                                <w:sz w:val="26"/>
                                <w:szCs w:val="26"/>
                              </w:rPr>
                              <w:br/>
                              <w:t>BENEFITS NEWS HIGHLIGHTS</w:t>
                            </w:r>
                            <w:r w:rsidRPr="003C6AE1">
                              <w:rPr>
                                <w:rFonts w:ascii="Arial" w:hAnsi="Arial" w:cs="Arial"/>
                                <w:b/>
                                <w:bCs/>
                                <w:color w:val="0070C0"/>
                                <w:sz w:val="26"/>
                                <w:szCs w:val="26"/>
                              </w:rPr>
                              <w:br/>
                            </w:r>
                          </w:p>
                          <w:p w14:paraId="5644AAF2" w14:textId="0E3FDD93" w:rsidR="00BA32D5" w:rsidRDefault="00BA32D5" w:rsidP="00BA32D5">
                            <w:pPr>
                              <w:numPr>
                                <w:ilvl w:val="0"/>
                                <w:numId w:val="33"/>
                              </w:numPr>
                              <w:spacing w:line="360" w:lineRule="auto"/>
                              <w:rPr>
                                <w:rFonts w:ascii="Times New Roman" w:eastAsia="Times New Roman" w:hAnsi="Times New Roman" w:cs="Times New Roman"/>
                                <w:color w:val="000000" w:themeColor="text1"/>
                                <w:sz w:val="20"/>
                                <w:szCs w:val="20"/>
                              </w:rPr>
                            </w:pPr>
                            <w:r w:rsidRPr="00C57C98">
                              <w:rPr>
                                <w:rFonts w:ascii="Times New Roman" w:eastAsia="Times New Roman" w:hAnsi="Times New Roman" w:cs="Times New Roman"/>
                                <w:color w:val="000000" w:themeColor="text1"/>
                                <w:sz w:val="20"/>
                                <w:szCs w:val="20"/>
                                <w:lang w:eastAsia="en-US"/>
                              </w:rPr>
                              <w:t>In November, the DOL (Department of Labor) </w:t>
                            </w:r>
                            <w:hyperlink r:id="rId21" w:history="1">
                              <w:r w:rsidRPr="00C57C98">
                                <w:rPr>
                                  <w:rStyle w:val="Hyperlink"/>
                                  <w:rFonts w:ascii="Times New Roman" w:eastAsia="Times New Roman" w:hAnsi="Times New Roman" w:cs="Times New Roman"/>
                                  <w:color w:val="000000" w:themeColor="text1"/>
                                  <w:sz w:val="20"/>
                                  <w:szCs w:val="20"/>
                                  <w:lang w:eastAsia="en-US"/>
                                </w:rPr>
                                <w:t>updated</w:t>
                              </w:r>
                            </w:hyperlink>
                            <w:r w:rsidRPr="00C57C98">
                              <w:rPr>
                                <w:rFonts w:ascii="Times New Roman" w:eastAsia="Times New Roman" w:hAnsi="Times New Roman" w:cs="Times New Roman"/>
                                <w:color w:val="000000" w:themeColor="text1"/>
                                <w:sz w:val="20"/>
                                <w:szCs w:val="20"/>
                                <w:lang w:eastAsia="en-US"/>
                              </w:rPr>
                              <w:t> the SBC (Summary of Benefits and Coverage) templates, instructions, and related materials for plan years beginning on or after January 1, 2021.</w:t>
                            </w:r>
                          </w:p>
                          <w:p w14:paraId="4323F9C3" w14:textId="77777777" w:rsidR="003C6AE1" w:rsidRDefault="003C6AE1" w:rsidP="003C6AE1">
                            <w:pPr>
                              <w:spacing w:line="360" w:lineRule="auto"/>
                              <w:ind w:left="720"/>
                              <w:rPr>
                                <w:rFonts w:ascii="Times New Roman" w:eastAsia="Times New Roman" w:hAnsi="Times New Roman" w:cs="Times New Roman"/>
                                <w:color w:val="000000" w:themeColor="text1"/>
                                <w:sz w:val="20"/>
                                <w:szCs w:val="20"/>
                              </w:rPr>
                            </w:pPr>
                          </w:p>
                          <w:p w14:paraId="4FD7FE11" w14:textId="30D3FDE6" w:rsidR="003C6AE1" w:rsidRDefault="003C6AE1" w:rsidP="003C6AE1">
                            <w:pPr>
                              <w:numPr>
                                <w:ilvl w:val="0"/>
                                <w:numId w:val="33"/>
                              </w:numPr>
                              <w:spacing w:line="360" w:lineRule="auto"/>
                              <w:rPr>
                                <w:rFonts w:ascii="Times New Roman" w:eastAsia="Times New Roman" w:hAnsi="Times New Roman" w:cs="Times New Roman"/>
                                <w:color w:val="000000" w:themeColor="text1"/>
                                <w:sz w:val="20"/>
                                <w:szCs w:val="20"/>
                              </w:rPr>
                            </w:pPr>
                            <w:r w:rsidRPr="003C6AE1">
                              <w:rPr>
                                <w:rFonts w:ascii="Times New Roman" w:eastAsia="Times New Roman" w:hAnsi="Times New Roman" w:cs="Times New Roman"/>
                                <w:color w:val="000000" w:themeColor="text1"/>
                                <w:sz w:val="20"/>
                                <w:szCs w:val="20"/>
                                <w:lang w:eastAsia="en-US"/>
                              </w:rPr>
                              <w:t xml:space="preserve">The IRS has released final tax forms and </w:t>
                            </w:r>
                            <w:r w:rsidRPr="00272438">
                              <w:rPr>
                                <w:rFonts w:ascii="Times New Roman" w:hAnsi="Times New Roman" w:cs="Times New Roman"/>
                                <w:sz w:val="20"/>
                                <w:szCs w:val="20"/>
                              </w:rPr>
                              <w:t>reporting instructions to be</w:t>
                            </w:r>
                            <w:r w:rsidRPr="003C6AE1">
                              <w:rPr>
                                <w:rFonts w:ascii="Times New Roman" w:hAnsi="Times New Roman" w:cs="Times New Roman"/>
                              </w:rPr>
                              <w:t xml:space="preserve"> </w:t>
                            </w:r>
                            <w:r w:rsidRPr="003C6AE1">
                              <w:rPr>
                                <w:rFonts w:ascii="Times New Roman" w:hAnsi="Times New Roman" w:cs="Times New Roman"/>
                                <w:sz w:val="20"/>
                                <w:szCs w:val="20"/>
                              </w:rPr>
                              <w:t xml:space="preserve">used as required under §6055 &amp; §6056 of the ACA for the 2019 tax year, including: </w:t>
                            </w:r>
                            <w:hyperlink r:id="rId22" w:history="1">
                              <w:r w:rsidRPr="003C6AE1">
                                <w:rPr>
                                  <w:rFonts w:ascii="Times New Roman" w:hAnsi="Times New Roman" w:cs="Times New Roman"/>
                                  <w:sz w:val="20"/>
                                  <w:szCs w:val="20"/>
                                  <w:u w:val="single"/>
                                </w:rPr>
                                <w:t>Final Instructions for Forms 1094-C &amp; 1095-C</w:t>
                              </w:r>
                            </w:hyperlink>
                            <w:r w:rsidRPr="003C6AE1">
                              <w:rPr>
                                <w:rFonts w:ascii="Times New Roman" w:hAnsi="Times New Roman" w:cs="Times New Roman"/>
                                <w:sz w:val="20"/>
                                <w:szCs w:val="20"/>
                              </w:rPr>
                              <w:t xml:space="preserve"> and </w:t>
                            </w:r>
                            <w:hyperlink r:id="rId23" w:history="1">
                              <w:hyperlink r:id="rId24" w:history="1">
                                <w:r w:rsidRPr="003C6AE1">
                                  <w:rPr>
                                    <w:rStyle w:val="Hyperlink"/>
                                    <w:rFonts w:ascii="Times New Roman" w:hAnsi="Times New Roman" w:cs="Times New Roman"/>
                                    <w:sz w:val="20"/>
                                    <w:szCs w:val="20"/>
                                  </w:rPr>
                                  <w:t>Final Instructions for Forms 1094-B &amp; 1095-B</w:t>
                                </w:r>
                              </w:hyperlink>
                            </w:hyperlink>
                          </w:p>
                          <w:p w14:paraId="2C31CA91" w14:textId="77777777" w:rsidR="003C6AE1" w:rsidRPr="003C6AE1" w:rsidRDefault="003C6AE1" w:rsidP="003C6AE1">
                            <w:pPr>
                              <w:ind w:left="360"/>
                              <w:rPr>
                                <w:rFonts w:ascii="Times New Roman" w:eastAsia="Times New Roman" w:hAnsi="Times New Roman" w:cs="Times New Roman"/>
                                <w:color w:val="000000" w:themeColor="text1"/>
                              </w:rPr>
                            </w:pPr>
                          </w:p>
                          <w:p w14:paraId="7E6A37A2" w14:textId="77777777" w:rsidR="003C6AE1" w:rsidRPr="003C6AE1" w:rsidRDefault="003C6AE1" w:rsidP="003C6AE1">
                            <w:pPr>
                              <w:numPr>
                                <w:ilvl w:val="0"/>
                                <w:numId w:val="33"/>
                              </w:numPr>
                              <w:tabs>
                                <w:tab w:val="num" w:pos="720"/>
                              </w:tabs>
                              <w:spacing w:line="360" w:lineRule="auto"/>
                              <w:rPr>
                                <w:rFonts w:ascii="Times New Roman" w:eastAsia="Times New Roman" w:hAnsi="Times New Roman" w:cs="Times New Roman"/>
                                <w:color w:val="000000" w:themeColor="text1"/>
                                <w:sz w:val="20"/>
                                <w:szCs w:val="20"/>
                              </w:rPr>
                            </w:pPr>
                            <w:r w:rsidRPr="003C6AE1">
                              <w:rPr>
                                <w:rFonts w:ascii="Times New Roman" w:eastAsia="Times New Roman" w:hAnsi="Times New Roman" w:cs="Times New Roman"/>
                                <w:color w:val="000000" w:themeColor="text1"/>
                                <w:sz w:val="20"/>
                                <w:szCs w:val="20"/>
                              </w:rPr>
                              <w:t xml:space="preserve">On December 18, 2019, the FDA (Food and Drug Administration) released a </w:t>
                            </w:r>
                            <w:hyperlink r:id="rId25" w:history="1">
                              <w:r w:rsidRPr="003C6AE1">
                                <w:rPr>
                                  <w:rStyle w:val="Hyperlink"/>
                                  <w:rFonts w:ascii="Times New Roman" w:eastAsia="Times New Roman" w:hAnsi="Times New Roman" w:cs="Times New Roman"/>
                                  <w:sz w:val="20"/>
                                  <w:szCs w:val="20"/>
                                </w:rPr>
                                <w:t>proposed rule</w:t>
                              </w:r>
                            </w:hyperlink>
                            <w:r w:rsidRPr="003C6AE1">
                              <w:rPr>
                                <w:rFonts w:ascii="Times New Roman" w:eastAsia="Times New Roman" w:hAnsi="Times New Roman" w:cs="Times New Roman"/>
                                <w:color w:val="000000" w:themeColor="text1"/>
                                <w:sz w:val="20"/>
                                <w:szCs w:val="20"/>
                              </w:rPr>
                              <w:t xml:space="preserve"> that, if finalized, would allow commercial importation of certain prescription drugs from Canada. See the FDA’s Impact Analysis </w:t>
                            </w:r>
                            <w:hyperlink r:id="rId26" w:history="1">
                              <w:r w:rsidRPr="003C6AE1">
                                <w:rPr>
                                  <w:rStyle w:val="Hyperlink"/>
                                  <w:rFonts w:ascii="Times New Roman" w:eastAsia="Times New Roman" w:hAnsi="Times New Roman" w:cs="Times New Roman"/>
                                  <w:sz w:val="20"/>
                                  <w:szCs w:val="20"/>
                                </w:rPr>
                                <w:t>here</w:t>
                              </w:r>
                            </w:hyperlink>
                            <w:r w:rsidRPr="003C6AE1">
                              <w:rPr>
                                <w:rFonts w:ascii="Times New Roman" w:eastAsia="Times New Roman" w:hAnsi="Times New Roman" w:cs="Times New Roman"/>
                                <w:color w:val="000000" w:themeColor="text1"/>
                                <w:sz w:val="20"/>
                                <w:szCs w:val="20"/>
                              </w:rPr>
                              <w:t>.</w:t>
                            </w:r>
                          </w:p>
                          <w:p w14:paraId="07F3B9F6" w14:textId="05E427EE" w:rsidR="003C6AE1" w:rsidRPr="003C6AE1" w:rsidRDefault="003C6AE1" w:rsidP="003C6AE1">
                            <w:pPr>
                              <w:spacing w:line="360" w:lineRule="auto"/>
                              <w:ind w:left="720"/>
                              <w:rPr>
                                <w:rFonts w:ascii="Times New Roman" w:eastAsia="Times New Roman" w:hAnsi="Times New Roman" w:cs="Times New Roman"/>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5F615" id="Text Box 3" o:spid="_x0000_s1029" type="#_x0000_t202" style="position:absolute;margin-left:281.4pt;margin-top:25.2pt;width:238.2pt;height:438.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" fillcolor="#dfeef2 [663]" stroked="f" strokeweight=".5pt">
                <v:textbox>
                  <w:txbxContent>
                    <w:p w14:paraId="52051B41" w14:textId="202388B2" w:rsidR="00BA32D5" w:rsidRPr="003C6AE1" w:rsidRDefault="00BA32D5" w:rsidP="003C6AE1">
                      <w:pPr>
                        <w:spacing w:line="276" w:lineRule="auto"/>
                      </w:pPr>
                      <w:r w:rsidRPr="003C6AE1">
                        <w:rPr>
                          <w:rFonts w:ascii="Arial" w:hAnsi="Arial" w:cs="Arial"/>
                          <w:b/>
                          <w:bCs/>
                          <w:color w:val="0070C0"/>
                          <w:sz w:val="26"/>
                          <w:szCs w:val="26"/>
                        </w:rPr>
                        <w:br/>
                        <w:t>BENEFITS NEWS HIGHLIGHTS</w:t>
                      </w:r>
                      <w:r w:rsidRPr="003C6AE1">
                        <w:rPr>
                          <w:rFonts w:ascii="Arial" w:hAnsi="Arial" w:cs="Arial"/>
                          <w:b/>
                          <w:bCs/>
                          <w:color w:val="0070C0"/>
                          <w:sz w:val="26"/>
                          <w:szCs w:val="26"/>
                        </w:rPr>
                        <w:br/>
                      </w:r>
                    </w:p>
                    <w:p w14:paraId="5644AAF2" w14:textId="0E3FDD93" w:rsidR="00BA32D5" w:rsidRDefault="00BA32D5" w:rsidP="00BA32D5">
                      <w:pPr>
                        <w:numPr>
                          <w:ilvl w:val="0"/>
                          <w:numId w:val="33"/>
                        </w:numPr>
                        <w:spacing w:line="360" w:lineRule="auto"/>
                        <w:rPr>
                          <w:rFonts w:ascii="Times New Roman" w:eastAsia="Times New Roman" w:hAnsi="Times New Roman" w:cs="Times New Roman"/>
                          <w:color w:val="000000" w:themeColor="text1"/>
                          <w:sz w:val="20"/>
                          <w:szCs w:val="20"/>
                        </w:rPr>
                      </w:pPr>
                      <w:r w:rsidRPr="00C57C98">
                        <w:rPr>
                          <w:rFonts w:ascii="Times New Roman" w:eastAsia="Times New Roman" w:hAnsi="Times New Roman" w:cs="Times New Roman"/>
                          <w:color w:val="000000" w:themeColor="text1"/>
                          <w:sz w:val="20"/>
                          <w:szCs w:val="20"/>
                          <w:lang w:eastAsia="en-US"/>
                        </w:rPr>
                        <w:t>In November, the DOL (Department of Labor) </w:t>
                      </w:r>
                      <w:hyperlink r:id="rId27" w:history="1">
                        <w:r w:rsidRPr="00C57C98">
                          <w:rPr>
                            <w:rStyle w:val="Hyperlink"/>
                            <w:rFonts w:ascii="Times New Roman" w:eastAsia="Times New Roman" w:hAnsi="Times New Roman" w:cs="Times New Roman"/>
                            <w:color w:val="000000" w:themeColor="text1"/>
                            <w:sz w:val="20"/>
                            <w:szCs w:val="20"/>
                            <w:lang w:eastAsia="en-US"/>
                          </w:rPr>
                          <w:t>updated</w:t>
                        </w:r>
                      </w:hyperlink>
                      <w:r w:rsidRPr="00C57C98">
                        <w:rPr>
                          <w:rFonts w:ascii="Times New Roman" w:eastAsia="Times New Roman" w:hAnsi="Times New Roman" w:cs="Times New Roman"/>
                          <w:color w:val="000000" w:themeColor="text1"/>
                          <w:sz w:val="20"/>
                          <w:szCs w:val="20"/>
                          <w:lang w:eastAsia="en-US"/>
                        </w:rPr>
                        <w:t> the SBC (Summary of Benefits and Coverage) templates, instructions, and related materials for plan years beginning on or after January 1, 2021.</w:t>
                      </w:r>
                    </w:p>
                    <w:p w14:paraId="4323F9C3" w14:textId="77777777" w:rsidR="003C6AE1" w:rsidRDefault="003C6AE1" w:rsidP="003C6AE1">
                      <w:pPr>
                        <w:spacing w:line="360" w:lineRule="auto"/>
                        <w:ind w:left="720"/>
                        <w:rPr>
                          <w:rFonts w:ascii="Times New Roman" w:eastAsia="Times New Roman" w:hAnsi="Times New Roman" w:cs="Times New Roman"/>
                          <w:color w:val="000000" w:themeColor="text1"/>
                          <w:sz w:val="20"/>
                          <w:szCs w:val="20"/>
                        </w:rPr>
                      </w:pPr>
                    </w:p>
                    <w:p w14:paraId="4FD7FE11" w14:textId="30D3FDE6" w:rsidR="003C6AE1" w:rsidRDefault="003C6AE1" w:rsidP="003C6AE1">
                      <w:pPr>
                        <w:numPr>
                          <w:ilvl w:val="0"/>
                          <w:numId w:val="33"/>
                        </w:numPr>
                        <w:spacing w:line="360" w:lineRule="auto"/>
                        <w:rPr>
                          <w:rFonts w:ascii="Times New Roman" w:eastAsia="Times New Roman" w:hAnsi="Times New Roman" w:cs="Times New Roman"/>
                          <w:color w:val="000000" w:themeColor="text1"/>
                          <w:sz w:val="20"/>
                          <w:szCs w:val="20"/>
                        </w:rPr>
                      </w:pPr>
                      <w:r w:rsidRPr="003C6AE1">
                        <w:rPr>
                          <w:rFonts w:ascii="Times New Roman" w:eastAsia="Times New Roman" w:hAnsi="Times New Roman" w:cs="Times New Roman"/>
                          <w:color w:val="000000" w:themeColor="text1"/>
                          <w:sz w:val="20"/>
                          <w:szCs w:val="20"/>
                          <w:lang w:eastAsia="en-US"/>
                        </w:rPr>
                        <w:t xml:space="preserve">The IRS has released final tax forms and </w:t>
                      </w:r>
                      <w:r w:rsidRPr="00272438">
                        <w:rPr>
                          <w:rFonts w:ascii="Times New Roman" w:hAnsi="Times New Roman" w:cs="Times New Roman"/>
                          <w:sz w:val="20"/>
                          <w:szCs w:val="20"/>
                        </w:rPr>
                        <w:t>reporting instructions to be</w:t>
                      </w:r>
                      <w:r w:rsidRPr="003C6AE1">
                        <w:rPr>
                          <w:rFonts w:ascii="Times New Roman" w:hAnsi="Times New Roman" w:cs="Times New Roman"/>
                        </w:rPr>
                        <w:t xml:space="preserve"> </w:t>
                      </w:r>
                      <w:r w:rsidRPr="003C6AE1">
                        <w:rPr>
                          <w:rFonts w:ascii="Times New Roman" w:hAnsi="Times New Roman" w:cs="Times New Roman"/>
                          <w:sz w:val="20"/>
                          <w:szCs w:val="20"/>
                        </w:rPr>
                        <w:t xml:space="preserve">used as required under §6055 &amp; §6056 of the ACA for the 2019 tax year, including: </w:t>
                      </w:r>
                      <w:hyperlink r:id="rId28" w:history="1">
                        <w:r w:rsidRPr="003C6AE1">
                          <w:rPr>
                            <w:rFonts w:ascii="Times New Roman" w:hAnsi="Times New Roman" w:cs="Times New Roman"/>
                            <w:sz w:val="20"/>
                            <w:szCs w:val="20"/>
                            <w:u w:val="single"/>
                          </w:rPr>
                          <w:t>Final Instructions for Forms 1094-C &amp; 1095-C</w:t>
                        </w:r>
                      </w:hyperlink>
                      <w:r w:rsidRPr="003C6AE1">
                        <w:rPr>
                          <w:rFonts w:ascii="Times New Roman" w:hAnsi="Times New Roman" w:cs="Times New Roman"/>
                          <w:sz w:val="20"/>
                          <w:szCs w:val="20"/>
                        </w:rPr>
                        <w:t xml:space="preserve"> and </w:t>
                      </w:r>
                      <w:hyperlink r:id="rId29" w:history="1">
                        <w:hyperlink r:id="rId30" w:history="1">
                          <w:r w:rsidRPr="003C6AE1">
                            <w:rPr>
                              <w:rStyle w:val="Hyperlink"/>
                              <w:rFonts w:ascii="Times New Roman" w:hAnsi="Times New Roman" w:cs="Times New Roman"/>
                              <w:sz w:val="20"/>
                              <w:szCs w:val="20"/>
                            </w:rPr>
                            <w:t>Final Instructions for Forms 1094-B &amp; 1095-B</w:t>
                          </w:r>
                        </w:hyperlink>
                      </w:hyperlink>
                    </w:p>
                    <w:p w14:paraId="2C31CA91" w14:textId="77777777" w:rsidR="003C6AE1" w:rsidRPr="003C6AE1" w:rsidRDefault="003C6AE1" w:rsidP="003C6AE1">
                      <w:pPr>
                        <w:ind w:left="360"/>
                        <w:rPr>
                          <w:rFonts w:ascii="Times New Roman" w:eastAsia="Times New Roman" w:hAnsi="Times New Roman" w:cs="Times New Roman"/>
                          <w:color w:val="000000" w:themeColor="text1"/>
                        </w:rPr>
                      </w:pPr>
                    </w:p>
                    <w:p w14:paraId="7E6A37A2" w14:textId="77777777" w:rsidR="003C6AE1" w:rsidRPr="003C6AE1" w:rsidRDefault="003C6AE1" w:rsidP="003C6AE1">
                      <w:pPr>
                        <w:numPr>
                          <w:ilvl w:val="0"/>
                          <w:numId w:val="33"/>
                        </w:numPr>
                        <w:tabs>
                          <w:tab w:val="num" w:pos="720"/>
                        </w:tabs>
                        <w:spacing w:line="360" w:lineRule="auto"/>
                        <w:rPr>
                          <w:rFonts w:ascii="Times New Roman" w:eastAsia="Times New Roman" w:hAnsi="Times New Roman" w:cs="Times New Roman"/>
                          <w:color w:val="000000" w:themeColor="text1"/>
                          <w:sz w:val="20"/>
                          <w:szCs w:val="20"/>
                        </w:rPr>
                      </w:pPr>
                      <w:r w:rsidRPr="003C6AE1">
                        <w:rPr>
                          <w:rFonts w:ascii="Times New Roman" w:eastAsia="Times New Roman" w:hAnsi="Times New Roman" w:cs="Times New Roman"/>
                          <w:color w:val="000000" w:themeColor="text1"/>
                          <w:sz w:val="20"/>
                          <w:szCs w:val="20"/>
                        </w:rPr>
                        <w:t xml:space="preserve">On December 18, 2019, the FDA (Food and Drug Administration) released a </w:t>
                      </w:r>
                      <w:hyperlink r:id="rId31" w:history="1">
                        <w:r w:rsidRPr="003C6AE1">
                          <w:rPr>
                            <w:rStyle w:val="Hyperlink"/>
                            <w:rFonts w:ascii="Times New Roman" w:eastAsia="Times New Roman" w:hAnsi="Times New Roman" w:cs="Times New Roman"/>
                            <w:sz w:val="20"/>
                            <w:szCs w:val="20"/>
                          </w:rPr>
                          <w:t>proposed rule</w:t>
                        </w:r>
                      </w:hyperlink>
                      <w:r w:rsidRPr="003C6AE1">
                        <w:rPr>
                          <w:rFonts w:ascii="Times New Roman" w:eastAsia="Times New Roman" w:hAnsi="Times New Roman" w:cs="Times New Roman"/>
                          <w:color w:val="000000" w:themeColor="text1"/>
                          <w:sz w:val="20"/>
                          <w:szCs w:val="20"/>
                        </w:rPr>
                        <w:t xml:space="preserve"> that, if finalized, would allow commercial importation of certain prescription drugs from Canada. See the FDA’s Impact Analysis </w:t>
                      </w:r>
                      <w:hyperlink r:id="rId32" w:history="1">
                        <w:r w:rsidRPr="003C6AE1">
                          <w:rPr>
                            <w:rStyle w:val="Hyperlink"/>
                            <w:rFonts w:ascii="Times New Roman" w:eastAsia="Times New Roman" w:hAnsi="Times New Roman" w:cs="Times New Roman"/>
                            <w:sz w:val="20"/>
                            <w:szCs w:val="20"/>
                          </w:rPr>
                          <w:t>here</w:t>
                        </w:r>
                      </w:hyperlink>
                      <w:r w:rsidRPr="003C6AE1">
                        <w:rPr>
                          <w:rFonts w:ascii="Times New Roman" w:eastAsia="Times New Roman" w:hAnsi="Times New Roman" w:cs="Times New Roman"/>
                          <w:color w:val="000000" w:themeColor="text1"/>
                          <w:sz w:val="20"/>
                          <w:szCs w:val="20"/>
                        </w:rPr>
                        <w:t>.</w:t>
                      </w:r>
                    </w:p>
                    <w:p w14:paraId="07F3B9F6" w14:textId="05E427EE" w:rsidR="003C6AE1" w:rsidRPr="003C6AE1" w:rsidRDefault="003C6AE1" w:rsidP="003C6AE1">
                      <w:pPr>
                        <w:spacing w:line="360" w:lineRule="auto"/>
                        <w:ind w:left="720"/>
                        <w:rPr>
                          <w:rFonts w:ascii="Times New Roman" w:eastAsia="Times New Roman" w:hAnsi="Times New Roman" w:cs="Times New Roman"/>
                          <w:color w:val="000000" w:themeColor="text1"/>
                          <w:sz w:val="20"/>
                          <w:szCs w:val="20"/>
                        </w:rPr>
                      </w:pPr>
                    </w:p>
                  </w:txbxContent>
                </v:textbox>
                <w10:wrap type="square"/>
              </v:shape>
            </w:pict>
          </mc:Fallback>
        </mc:AlternateContent>
      </w:r>
      <w:r w:rsidR="002D4C25" w:rsidRPr="00C65FEF">
        <w:rPr>
          <w:rFonts w:ascii="Times New Roman" w:hAnsi="Times New Roman" w:cs="Times New Roman"/>
          <w:b/>
          <w:bCs/>
          <w:color w:val="000000" w:themeColor="text1"/>
          <w:sz w:val="20"/>
          <w:szCs w:val="20"/>
        </w:rPr>
        <w:t>IRS Announced 2020 Health FSA Contribution Limits</w:t>
      </w:r>
    </w:p>
    <w:p w14:paraId="36DF5F80" w14:textId="17464C42" w:rsidR="002D4C25" w:rsidRPr="00C65FEF" w:rsidRDefault="002D4C25" w:rsidP="00C65FEF">
      <w:pPr>
        <w:shd w:val="clear" w:color="auto" w:fill="FFFFFF"/>
        <w:spacing w:before="100" w:beforeAutospacing="1" w:after="100" w:afterAutospacing="1" w:line="360" w:lineRule="auto"/>
        <w:rPr>
          <w:rFonts w:ascii="Times New Roman" w:eastAsia="Times New Roman" w:hAnsi="Times New Roman" w:cs="Times New Roman"/>
          <w:color w:val="000000" w:themeColor="text1"/>
          <w:sz w:val="20"/>
          <w:szCs w:val="20"/>
        </w:rPr>
      </w:pPr>
      <w:r w:rsidRPr="00C65FEF">
        <w:rPr>
          <w:rFonts w:ascii="Times New Roman" w:eastAsia="Times New Roman" w:hAnsi="Times New Roman" w:cs="Times New Roman"/>
          <w:color w:val="000000" w:themeColor="text1"/>
          <w:sz w:val="20"/>
          <w:szCs w:val="20"/>
        </w:rPr>
        <w:t xml:space="preserve">In </w:t>
      </w:r>
      <w:hyperlink r:id="rId33" w:history="1">
        <w:r w:rsidRPr="00C65FEF">
          <w:rPr>
            <w:rStyle w:val="Hyperlink"/>
            <w:rFonts w:ascii="Times New Roman" w:eastAsia="Times New Roman" w:hAnsi="Times New Roman" w:cs="Times New Roman"/>
            <w:color w:val="000000" w:themeColor="text1"/>
            <w:sz w:val="20"/>
            <w:szCs w:val="20"/>
          </w:rPr>
          <w:t>Revenue Procedure 2019-44</w:t>
        </w:r>
      </w:hyperlink>
      <w:r w:rsidRPr="00C65FEF">
        <w:rPr>
          <w:rFonts w:ascii="Times New Roman" w:eastAsia="Times New Roman" w:hAnsi="Times New Roman" w:cs="Times New Roman"/>
          <w:color w:val="000000" w:themeColor="text1"/>
          <w:sz w:val="20"/>
          <w:szCs w:val="20"/>
        </w:rPr>
        <w:t>, the IRS sets forth a variety of 2020 adjusted tax limits. Among other things, the notice addresses slightly increased limits for employee contributions toward health flexible spending accounts (FSAs). The annual limitation has now increased by $50 to $2,750 for 2020. Employers who currently offer health FSAs may choose to increase the annual election limit for participants for the 2020 plan year.</w:t>
      </w:r>
    </w:p>
    <w:p w14:paraId="74CF9BCD" w14:textId="79608050" w:rsidR="00810BF4" w:rsidRPr="00810BF4" w:rsidRDefault="002D4C25" w:rsidP="003C6AE1">
      <w:pPr>
        <w:shd w:val="clear" w:color="auto" w:fill="FFFFFF"/>
        <w:spacing w:before="100" w:beforeAutospacing="1" w:after="100" w:afterAutospacing="1" w:line="360" w:lineRule="auto"/>
        <w:rPr>
          <w:rFonts w:ascii="Times New Roman" w:hAnsi="Times New Roman" w:cs="Times New Roman"/>
          <w:color w:val="000000" w:themeColor="text1"/>
          <w:sz w:val="20"/>
          <w:szCs w:val="20"/>
        </w:rPr>
      </w:pPr>
      <w:r w:rsidRPr="00C65FEF">
        <w:rPr>
          <w:rFonts w:ascii="Times New Roman" w:eastAsia="Times New Roman" w:hAnsi="Times New Roman" w:cs="Times New Roman"/>
          <w:color w:val="000000" w:themeColor="text1"/>
          <w:sz w:val="20"/>
          <w:szCs w:val="20"/>
        </w:rPr>
        <w:t xml:space="preserve">More here: </w:t>
      </w:r>
      <w:hyperlink r:id="rId34" w:history="1">
        <w:r w:rsidRPr="00C65FEF">
          <w:rPr>
            <w:rStyle w:val="Hyperlink"/>
            <w:rFonts w:ascii="Times New Roman" w:hAnsi="Times New Roman" w:cs="Times New Roman"/>
            <w:color w:val="000000" w:themeColor="text1"/>
            <w:sz w:val="20"/>
            <w:szCs w:val="20"/>
          </w:rPr>
          <w:t>https://benefitcomply.com/compliance-alert-irs-announces-2020-health-fsa-limits/</w:t>
        </w:r>
      </w:hyperlink>
    </w:p>
    <w:p w14:paraId="32AFFA74" w14:textId="2427FFD2" w:rsidR="003C6AE1" w:rsidRDefault="003C6AE1" w:rsidP="00C65FEF">
      <w:pPr>
        <w:spacing w:line="360" w:lineRule="auto"/>
        <w:rPr>
          <w:rStyle w:val="Hyperlink"/>
          <w:rFonts w:ascii="Times New Roman" w:hAnsi="Times New Roman" w:cs="Times New Roman"/>
          <w:color w:val="000000" w:themeColor="text1"/>
          <w:sz w:val="20"/>
          <w:szCs w:val="20"/>
        </w:rPr>
      </w:pPr>
    </w:p>
    <w:p w14:paraId="36E2A89D" w14:textId="77777777" w:rsidR="003C6AE1" w:rsidRPr="00C65FEF" w:rsidRDefault="003C6AE1" w:rsidP="003C6AE1">
      <w:pPr>
        <w:spacing w:after="160" w:line="360" w:lineRule="auto"/>
        <w:rPr>
          <w:rFonts w:ascii="Times New Roman" w:hAnsi="Times New Roman" w:cs="Times New Roman"/>
          <w:color w:val="000000" w:themeColor="text1"/>
          <w:sz w:val="20"/>
          <w:szCs w:val="20"/>
        </w:rPr>
      </w:pPr>
      <w:r w:rsidRPr="00C65FEF">
        <w:rPr>
          <w:rFonts w:ascii="Times New Roman" w:hAnsi="Times New Roman" w:cs="Times New Roman"/>
          <w:b/>
          <w:bCs/>
          <w:color w:val="000000" w:themeColor="text1"/>
          <w:sz w:val="20"/>
          <w:szCs w:val="20"/>
        </w:rPr>
        <w:t>HHS Finalized Rescission of HPID Requirements</w:t>
      </w:r>
    </w:p>
    <w:p w14:paraId="306B632E" w14:textId="77777777" w:rsidR="003C6AE1" w:rsidRPr="00C65FEF" w:rsidRDefault="003C6AE1" w:rsidP="003C6AE1">
      <w:pPr>
        <w:shd w:val="clear" w:color="auto" w:fill="FFFFFF"/>
        <w:spacing w:before="100" w:beforeAutospacing="1" w:after="100" w:afterAutospacing="1" w:line="360" w:lineRule="auto"/>
        <w:rPr>
          <w:rFonts w:ascii="Times New Roman" w:eastAsia="Times New Roman" w:hAnsi="Times New Roman" w:cs="Times New Roman"/>
          <w:color w:val="000000" w:themeColor="text1"/>
          <w:sz w:val="20"/>
          <w:szCs w:val="20"/>
        </w:rPr>
      </w:pPr>
      <w:r w:rsidRPr="00C65FEF">
        <w:rPr>
          <w:rFonts w:ascii="Times New Roman" w:hAnsi="Times New Roman" w:cs="Times New Roman"/>
          <w:color w:val="000000" w:themeColor="text1"/>
          <w:sz w:val="20"/>
          <w:szCs w:val="20"/>
          <w:shd w:val="clear" w:color="auto" w:fill="FFFFFF"/>
        </w:rPr>
        <w:t>On October 28, 2019, the Department of Health and Human Services (HHS) issued final regulations to rescind the requirement that employers and plan sponsors obtain and use a unique health plan identifier (HPID), as well as to eliminate the voluntary use of an</w:t>
      </w:r>
      <w:r>
        <w:rPr>
          <w:rFonts w:ascii="Times New Roman" w:hAnsi="Times New Roman" w:cs="Times New Roman"/>
          <w:color w:val="000000" w:themeColor="text1"/>
          <w:sz w:val="20"/>
          <w:szCs w:val="20"/>
          <w:shd w:val="clear" w:color="auto" w:fill="FFFFFF"/>
        </w:rPr>
        <w:t>y</w:t>
      </w:r>
      <w:r w:rsidRPr="00C65FEF">
        <w:rPr>
          <w:rFonts w:ascii="Times New Roman" w:hAnsi="Times New Roman" w:cs="Times New Roman"/>
          <w:color w:val="000000" w:themeColor="text1"/>
          <w:sz w:val="20"/>
          <w:szCs w:val="20"/>
          <w:shd w:val="clear" w:color="auto" w:fill="FFFFFF"/>
        </w:rPr>
        <w:t xml:space="preserve"> other entity identifier (OEID). </w:t>
      </w:r>
      <w:r w:rsidRPr="00C65FEF">
        <w:rPr>
          <w:rFonts w:ascii="Times New Roman" w:eastAsia="Times New Roman" w:hAnsi="Times New Roman" w:cs="Times New Roman"/>
          <w:color w:val="000000" w:themeColor="text1"/>
          <w:sz w:val="20"/>
          <w:szCs w:val="20"/>
        </w:rPr>
        <w:t xml:space="preserve">This rule finalizes the December proposed rule, making the elimination of the HPID requirement and OEID standard official, and allowing entities to continue using their Payer IDs for HIPAA standard transactions. </w:t>
      </w:r>
    </w:p>
    <w:p w14:paraId="2D8DE04D" w14:textId="08CFD510" w:rsidR="003C6AE1" w:rsidRPr="003C6AE1" w:rsidRDefault="003C6AE1" w:rsidP="003C6AE1">
      <w:pPr>
        <w:shd w:val="clear" w:color="auto" w:fill="FFFFFF"/>
        <w:spacing w:before="100" w:beforeAutospacing="1" w:after="100" w:afterAutospacing="1" w:line="360" w:lineRule="auto"/>
        <w:rPr>
          <w:rStyle w:val="Hyperlink"/>
          <w:rFonts w:ascii="Times New Roman" w:eastAsia="Times New Roman" w:hAnsi="Times New Roman" w:cs="Times New Roman"/>
          <w:color w:val="000000" w:themeColor="text1"/>
          <w:sz w:val="20"/>
          <w:szCs w:val="20"/>
          <w:u w:val="none"/>
        </w:rPr>
      </w:pPr>
      <w:r w:rsidRPr="00C65FEF">
        <w:rPr>
          <w:rFonts w:ascii="Times New Roman" w:eastAsia="Times New Roman" w:hAnsi="Times New Roman" w:cs="Times New Roman"/>
          <w:color w:val="000000" w:themeColor="text1"/>
          <w:sz w:val="20"/>
          <w:szCs w:val="20"/>
        </w:rPr>
        <w:t xml:space="preserve">More here: </w:t>
      </w:r>
      <w:hyperlink r:id="rId35" w:history="1">
        <w:r w:rsidRPr="00C65FEF">
          <w:rPr>
            <w:rStyle w:val="Hyperlink"/>
            <w:rFonts w:ascii="Times New Roman" w:hAnsi="Times New Roman" w:cs="Times New Roman"/>
            <w:color w:val="000000" w:themeColor="text1"/>
            <w:sz w:val="20"/>
            <w:szCs w:val="20"/>
          </w:rPr>
          <w:t>https://benefitcomply.com/hhs-finalizes-rescission-of-hpid-requirement/</w:t>
        </w:r>
      </w:hyperlink>
    </w:p>
    <w:p w14:paraId="588C6230" w14:textId="77777777" w:rsidR="003C6AE1" w:rsidRPr="00C65FEF" w:rsidRDefault="003C6AE1" w:rsidP="003C6AE1">
      <w:pPr>
        <w:shd w:val="clear" w:color="auto" w:fill="FFFFFF"/>
        <w:spacing w:before="100" w:beforeAutospacing="1" w:after="100" w:afterAutospacing="1" w:line="360" w:lineRule="auto"/>
        <w:rPr>
          <w:rFonts w:ascii="Times New Roman" w:eastAsia="Times New Roman" w:hAnsi="Times New Roman" w:cs="Times New Roman"/>
          <w:color w:val="000000" w:themeColor="text1"/>
          <w:sz w:val="20"/>
          <w:szCs w:val="20"/>
        </w:rPr>
      </w:pPr>
      <w:r w:rsidRPr="00C65FEF">
        <w:rPr>
          <w:rFonts w:ascii="Times New Roman" w:hAnsi="Times New Roman" w:cs="Times New Roman"/>
          <w:b/>
          <w:bCs/>
          <w:color w:val="000000" w:themeColor="text1"/>
          <w:sz w:val="20"/>
          <w:szCs w:val="20"/>
        </w:rPr>
        <w:t>ERISA Documentation, Disclosures &amp; Reporting</w:t>
      </w:r>
    </w:p>
    <w:p w14:paraId="1C9FBD8E" w14:textId="77777777" w:rsidR="003C6AE1" w:rsidRDefault="003C6AE1" w:rsidP="003C6AE1">
      <w:pPr>
        <w:spacing w:line="360" w:lineRule="auto"/>
        <w:rPr>
          <w:rFonts w:ascii="Times New Roman" w:hAnsi="Times New Roman" w:cs="Times New Roman"/>
          <w:color w:val="000000" w:themeColor="text1"/>
          <w:sz w:val="20"/>
          <w:szCs w:val="20"/>
          <w:shd w:val="clear" w:color="auto" w:fill="FFFFFF"/>
        </w:rPr>
      </w:pPr>
      <w:r w:rsidRPr="00C65FEF">
        <w:rPr>
          <w:rFonts w:ascii="Times New Roman" w:hAnsi="Times New Roman" w:cs="Times New Roman"/>
          <w:color w:val="000000" w:themeColor="text1"/>
          <w:sz w:val="20"/>
          <w:szCs w:val="20"/>
          <w:shd w:val="clear" w:color="auto" w:fill="FFFFFF"/>
        </w:rPr>
        <w:t>Most employee benefit arrangements, group health plans and non-group health plans, are employee welfare benefit plans covered by ERISA and required to comply with documentation, disclosure, and reporting requirements imposed under ERISA. Many employers fail to have compliant or current documentation in place, which puts them at risk in a variety of ways.</w:t>
      </w:r>
    </w:p>
    <w:p w14:paraId="3737BC90" w14:textId="77777777" w:rsidR="003C6AE1" w:rsidRPr="00C65FEF" w:rsidRDefault="003C6AE1" w:rsidP="003C6AE1">
      <w:pPr>
        <w:spacing w:line="360" w:lineRule="auto"/>
        <w:rPr>
          <w:rFonts w:ascii="Times New Roman" w:hAnsi="Times New Roman" w:cs="Times New Roman"/>
          <w:color w:val="000000" w:themeColor="text1"/>
          <w:sz w:val="20"/>
          <w:szCs w:val="20"/>
        </w:rPr>
      </w:pPr>
      <w:r w:rsidRPr="00C65FEF">
        <w:rPr>
          <w:rFonts w:ascii="Times New Roman" w:hAnsi="Times New Roman" w:cs="Times New Roman"/>
          <w:color w:val="000000" w:themeColor="text1"/>
          <w:sz w:val="20"/>
          <w:szCs w:val="20"/>
          <w:shd w:val="clear" w:color="auto" w:fill="FFFFFF"/>
        </w:rPr>
        <w:t xml:space="preserve"> </w:t>
      </w:r>
    </w:p>
    <w:p w14:paraId="7BC1E573" w14:textId="7F7B515D" w:rsidR="003C6AE1" w:rsidRDefault="003C6AE1" w:rsidP="00C65FEF">
      <w:pPr>
        <w:spacing w:line="360" w:lineRule="auto"/>
        <w:rPr>
          <w:rStyle w:val="Hyperlink"/>
          <w:rFonts w:ascii="Times New Roman" w:hAnsi="Times New Roman" w:cs="Times New Roman"/>
          <w:color w:val="000000" w:themeColor="text1"/>
          <w:sz w:val="20"/>
          <w:szCs w:val="20"/>
        </w:rPr>
      </w:pPr>
      <w:r w:rsidRPr="00C65FEF">
        <w:rPr>
          <w:rFonts w:ascii="Times New Roman" w:hAnsi="Times New Roman" w:cs="Times New Roman"/>
          <w:color w:val="000000" w:themeColor="text1"/>
          <w:sz w:val="20"/>
          <w:szCs w:val="20"/>
        </w:rPr>
        <w:t xml:space="preserve">More here: </w:t>
      </w:r>
      <w:hyperlink r:id="rId36" w:history="1">
        <w:r w:rsidRPr="00C65FEF">
          <w:rPr>
            <w:rStyle w:val="Hyperlink"/>
            <w:rFonts w:ascii="Times New Roman" w:hAnsi="Times New Roman" w:cs="Times New Roman"/>
            <w:color w:val="000000" w:themeColor="text1"/>
            <w:sz w:val="20"/>
            <w:szCs w:val="20"/>
          </w:rPr>
          <w:t>https://benefitcomply.com/erisa-documentation-disclosures-reporting/</w:t>
        </w:r>
      </w:hyperlink>
    </w:p>
    <w:p w14:paraId="38ED5472" w14:textId="03CD7667" w:rsidR="003C6AE1" w:rsidRDefault="003C6AE1" w:rsidP="00C65FEF">
      <w:pPr>
        <w:spacing w:line="360" w:lineRule="auto"/>
        <w:rPr>
          <w:rStyle w:val="Hyperlink"/>
          <w:rFonts w:ascii="Times New Roman" w:hAnsi="Times New Roman" w:cs="Times New Roman"/>
          <w:color w:val="000000" w:themeColor="text1"/>
          <w:sz w:val="20"/>
          <w:szCs w:val="20"/>
        </w:rPr>
      </w:pPr>
    </w:p>
    <w:p w14:paraId="5A476751" w14:textId="77777777" w:rsidR="003C6AE1" w:rsidRPr="00C65FEF" w:rsidRDefault="003C6AE1" w:rsidP="003C6AE1">
      <w:pPr>
        <w:spacing w:after="160" w:line="360" w:lineRule="auto"/>
        <w:rPr>
          <w:rFonts w:ascii="Times New Roman" w:hAnsi="Times New Roman" w:cs="Times New Roman"/>
          <w:color w:val="000000" w:themeColor="text1"/>
          <w:sz w:val="20"/>
          <w:szCs w:val="20"/>
        </w:rPr>
      </w:pPr>
      <w:r w:rsidRPr="00C65FEF">
        <w:rPr>
          <w:rFonts w:ascii="Times New Roman" w:hAnsi="Times New Roman" w:cs="Times New Roman"/>
          <w:b/>
          <w:bCs/>
          <w:color w:val="000000" w:themeColor="text1"/>
          <w:sz w:val="20"/>
          <w:szCs w:val="20"/>
        </w:rPr>
        <w:t>Updated Affordability Considerations</w:t>
      </w:r>
    </w:p>
    <w:p w14:paraId="00536C77" w14:textId="77777777" w:rsidR="003C6AE1" w:rsidRDefault="003C6AE1" w:rsidP="003C6AE1">
      <w:pPr>
        <w:spacing w:line="360" w:lineRule="auto"/>
        <w:rPr>
          <w:rFonts w:ascii="Times New Roman" w:hAnsi="Times New Roman" w:cs="Times New Roman"/>
          <w:color w:val="000000" w:themeColor="text1"/>
          <w:sz w:val="20"/>
          <w:szCs w:val="20"/>
          <w:shd w:val="clear" w:color="auto" w:fill="FFFFFF"/>
        </w:rPr>
      </w:pPr>
      <w:r w:rsidRPr="00C65FEF">
        <w:rPr>
          <w:rFonts w:ascii="Times New Roman" w:hAnsi="Times New Roman" w:cs="Times New Roman"/>
          <w:color w:val="000000" w:themeColor="text1"/>
          <w:sz w:val="20"/>
          <w:szCs w:val="20"/>
          <w:shd w:val="clear" w:color="auto" w:fill="FFFFFF"/>
        </w:rPr>
        <w:t xml:space="preserve">For purposes of individual eligibility for tax subsidies through a public Exchange, and for compliance with the employer shared responsibility rules under §4980H, it is important to understand whether coverage offered under an </w:t>
      </w:r>
      <w:r w:rsidRPr="00C65FEF">
        <w:rPr>
          <w:rFonts w:ascii="Times New Roman" w:hAnsi="Times New Roman" w:cs="Times New Roman"/>
          <w:color w:val="000000" w:themeColor="text1"/>
          <w:sz w:val="20"/>
          <w:szCs w:val="20"/>
          <w:shd w:val="clear" w:color="auto" w:fill="FFFFFF"/>
        </w:rPr>
        <w:lastRenderedPageBreak/>
        <w:t>employer-sponsored group health plan is “affordable.” When setting plan contribution rates, employers must consider IRS employer affordability safe harbors, the various elements that play into the determination of the employee contribution, and the penalties associated with failing to offer affordable coverage.</w:t>
      </w:r>
    </w:p>
    <w:p w14:paraId="1B74C323" w14:textId="77777777" w:rsidR="003C6AE1" w:rsidRPr="00C65FEF" w:rsidRDefault="003C6AE1" w:rsidP="003C6AE1">
      <w:pPr>
        <w:spacing w:line="360" w:lineRule="auto"/>
        <w:rPr>
          <w:rFonts w:ascii="Times New Roman" w:hAnsi="Times New Roman" w:cs="Times New Roman"/>
          <w:color w:val="000000" w:themeColor="text1"/>
          <w:sz w:val="20"/>
          <w:szCs w:val="20"/>
          <w:shd w:val="clear" w:color="auto" w:fill="FFFFFF"/>
        </w:rPr>
      </w:pPr>
    </w:p>
    <w:p w14:paraId="7C4410DA" w14:textId="5A00FEAB" w:rsidR="003C6AE1" w:rsidRPr="003C6AE1" w:rsidRDefault="003C6AE1" w:rsidP="00C65FEF">
      <w:pPr>
        <w:spacing w:line="360" w:lineRule="auto"/>
        <w:rPr>
          <w:rFonts w:ascii="Times New Roman" w:hAnsi="Times New Roman" w:cs="Times New Roman"/>
          <w:color w:val="000000" w:themeColor="text1"/>
          <w:sz w:val="20"/>
          <w:szCs w:val="20"/>
          <w:u w:val="single"/>
        </w:rPr>
      </w:pPr>
      <w:r w:rsidRPr="00C65FEF">
        <w:rPr>
          <w:rFonts w:ascii="Times New Roman" w:hAnsi="Times New Roman" w:cs="Times New Roman"/>
          <w:color w:val="000000" w:themeColor="text1"/>
          <w:sz w:val="20"/>
          <w:szCs w:val="20"/>
          <w:shd w:val="clear" w:color="auto" w:fill="FFFFFF"/>
        </w:rPr>
        <w:t xml:space="preserve">More here: </w:t>
      </w:r>
      <w:hyperlink r:id="rId37" w:history="1">
        <w:r w:rsidRPr="00C65FEF">
          <w:rPr>
            <w:rStyle w:val="Hyperlink"/>
            <w:rFonts w:ascii="Times New Roman" w:hAnsi="Times New Roman" w:cs="Times New Roman"/>
            <w:color w:val="000000" w:themeColor="text1"/>
            <w:sz w:val="20"/>
            <w:szCs w:val="20"/>
          </w:rPr>
          <w:t>https://benefitcomply.com/issue-brief-affordability-considerations/</w:t>
        </w:r>
      </w:hyperlink>
    </w:p>
    <w:p w14:paraId="5D71A757" w14:textId="6C2D9FAD" w:rsidR="00E45791" w:rsidRDefault="00E45791" w:rsidP="00AD44D9">
      <w:pPr>
        <w:spacing w:line="360" w:lineRule="auto"/>
      </w:pPr>
    </w:p>
    <w:p w14:paraId="2D539F58" w14:textId="0F1C539F" w:rsidR="00E45791" w:rsidRDefault="00E45791" w:rsidP="00AD44D9">
      <w:pPr>
        <w:spacing w:line="360" w:lineRule="auto"/>
        <w:rPr>
          <w:rFonts w:ascii="Times New Roman" w:hAnsi="Times New Roman" w:cs="Times New Roman"/>
          <w:b/>
          <w:bCs/>
          <w:color w:val="000000"/>
          <w:sz w:val="20"/>
          <w:szCs w:val="20"/>
          <w:shd w:val="clear" w:color="auto" w:fill="FFFFFF"/>
        </w:rPr>
      </w:pPr>
      <w:r w:rsidRPr="00E45791">
        <w:rPr>
          <w:rFonts w:ascii="Times New Roman" w:hAnsi="Times New Roman" w:cs="Times New Roman"/>
          <w:b/>
          <w:bCs/>
          <w:color w:val="000000"/>
          <w:sz w:val="20"/>
          <w:szCs w:val="20"/>
          <w:shd w:val="clear" w:color="auto" w:fill="FFFFFF"/>
        </w:rPr>
        <w:t>IRS Provides 2019 Transition Relief and an Extended Deadline for Providing Form 1095 to Employees and Participants</w:t>
      </w:r>
    </w:p>
    <w:p w14:paraId="4CC0C41E" w14:textId="77777777" w:rsidR="00E45791" w:rsidRPr="00E45791" w:rsidRDefault="00E45791" w:rsidP="00AD44D9">
      <w:pPr>
        <w:spacing w:line="360" w:lineRule="auto"/>
        <w:rPr>
          <w:rFonts w:ascii="Times New Roman" w:hAnsi="Times New Roman" w:cs="Times New Roman"/>
          <w:b/>
          <w:bCs/>
          <w:color w:val="000000"/>
          <w:sz w:val="20"/>
          <w:szCs w:val="20"/>
          <w:shd w:val="clear" w:color="auto" w:fill="FFFFFF"/>
        </w:rPr>
      </w:pPr>
    </w:p>
    <w:p w14:paraId="608F2262" w14:textId="1A308612" w:rsidR="00E45791" w:rsidRDefault="00E45791" w:rsidP="00AD44D9">
      <w:pPr>
        <w:spacing w:line="360" w:lineRule="auto"/>
        <w:rPr>
          <w:rFonts w:ascii="Times New Roman" w:hAnsi="Times New Roman" w:cs="Times New Roman"/>
          <w:color w:val="3D3D3D"/>
          <w:sz w:val="20"/>
          <w:szCs w:val="20"/>
          <w:shd w:val="clear" w:color="auto" w:fill="FFFFFF"/>
        </w:rPr>
      </w:pPr>
      <w:r w:rsidRPr="00E45791">
        <w:rPr>
          <w:rFonts w:ascii="Times New Roman" w:hAnsi="Times New Roman" w:cs="Times New Roman"/>
          <w:color w:val="3D3D3D"/>
          <w:sz w:val="20"/>
          <w:szCs w:val="20"/>
          <w:shd w:val="clear" w:color="auto" w:fill="FFFFFF"/>
        </w:rPr>
        <w:t xml:space="preserve">As in previous years, the IRS announced in Notice 2019-63 that it has extended the due date to March 2, 2020 (instead of January 31, 2020) for employers and insurance companies to provide 2019 Form 1095s to individuals. In addition, the penalty relief available for good faith reporting errors continues to be available. New this year is relief related to providing Form 1095s to certain individuals. </w:t>
      </w:r>
    </w:p>
    <w:p w14:paraId="52942BD7" w14:textId="77777777" w:rsidR="00E45791" w:rsidRPr="00E45791" w:rsidRDefault="00E45791" w:rsidP="00AD44D9">
      <w:pPr>
        <w:spacing w:line="360" w:lineRule="auto"/>
        <w:rPr>
          <w:rFonts w:ascii="Times New Roman" w:hAnsi="Times New Roman" w:cs="Times New Roman"/>
          <w:color w:val="3D3D3D"/>
          <w:sz w:val="20"/>
          <w:szCs w:val="20"/>
          <w:shd w:val="clear" w:color="auto" w:fill="FFFFFF"/>
        </w:rPr>
      </w:pPr>
    </w:p>
    <w:p w14:paraId="11892519" w14:textId="7EDBD7EF" w:rsidR="00E45791" w:rsidRDefault="00E45791" w:rsidP="00AD44D9">
      <w:pPr>
        <w:spacing w:line="360" w:lineRule="auto"/>
        <w:rPr>
          <w:rFonts w:ascii="Times New Roman" w:hAnsi="Times New Roman" w:cs="Times New Roman"/>
          <w:sz w:val="20"/>
          <w:szCs w:val="20"/>
        </w:rPr>
      </w:pPr>
      <w:r w:rsidRPr="00E45791">
        <w:rPr>
          <w:rFonts w:ascii="Times New Roman" w:hAnsi="Times New Roman" w:cs="Times New Roman"/>
          <w:color w:val="3D3D3D"/>
          <w:sz w:val="20"/>
          <w:szCs w:val="20"/>
          <w:shd w:val="clear" w:color="auto" w:fill="FFFFFF"/>
        </w:rPr>
        <w:t xml:space="preserve">More here: </w:t>
      </w:r>
      <w:hyperlink r:id="rId38" w:history="1">
        <w:r w:rsidRPr="00E45791">
          <w:rPr>
            <w:rFonts w:ascii="Times New Roman" w:hAnsi="Times New Roman" w:cs="Times New Roman"/>
            <w:color w:val="0000FF"/>
            <w:sz w:val="20"/>
            <w:szCs w:val="20"/>
            <w:u w:val="single"/>
          </w:rPr>
          <w:t>https://benefitcomply.com/compliance-alert-irs-provides-2019-transition-relief-and-an-extended-deadline-for-providing-form-1095-to-employees-and-participants/</w:t>
        </w:r>
      </w:hyperlink>
    </w:p>
    <w:p w14:paraId="52F7F6BE" w14:textId="0DC1A7E0" w:rsidR="003C6AE1" w:rsidRDefault="003C6AE1" w:rsidP="00AD44D9">
      <w:pPr>
        <w:spacing w:line="360" w:lineRule="auto"/>
        <w:rPr>
          <w:rFonts w:ascii="Times New Roman" w:hAnsi="Times New Roman" w:cs="Times New Roman"/>
          <w:sz w:val="20"/>
          <w:szCs w:val="20"/>
        </w:rPr>
      </w:pPr>
    </w:p>
    <w:p w14:paraId="375CF084" w14:textId="77777777" w:rsidR="003C6AE1" w:rsidRPr="00E45791" w:rsidRDefault="003C6AE1" w:rsidP="003C6AE1">
      <w:pPr>
        <w:spacing w:line="360" w:lineRule="auto"/>
        <w:rPr>
          <w:rFonts w:ascii="Times New Roman" w:eastAsia="Times New Roman" w:hAnsi="Times New Roman" w:cs="Times New Roman"/>
          <w:b/>
          <w:bCs/>
          <w:color w:val="595959"/>
          <w:sz w:val="20"/>
          <w:szCs w:val="20"/>
          <w:lang w:eastAsia="en-US"/>
        </w:rPr>
      </w:pPr>
      <w:r w:rsidRPr="00E45791">
        <w:rPr>
          <w:rFonts w:ascii="Times New Roman" w:eastAsia="Times New Roman" w:hAnsi="Times New Roman" w:cs="Times New Roman"/>
          <w:b/>
          <w:bCs/>
          <w:color w:val="595959"/>
          <w:sz w:val="20"/>
          <w:szCs w:val="20"/>
          <w:lang w:eastAsia="en-US"/>
        </w:rPr>
        <w:t>Appellate Court Invalidates ACA’s Individual Mandate</w:t>
      </w:r>
    </w:p>
    <w:p w14:paraId="0383BF97" w14:textId="77777777" w:rsidR="003C6AE1" w:rsidRDefault="003C6AE1" w:rsidP="003C6AE1">
      <w:pPr>
        <w:spacing w:line="360" w:lineRule="auto"/>
        <w:rPr>
          <w:rFonts w:ascii="Arial" w:eastAsia="Times New Roman" w:hAnsi="Arial" w:cs="Arial"/>
          <w:b/>
          <w:bCs/>
          <w:color w:val="595959"/>
          <w:sz w:val="16"/>
          <w:szCs w:val="16"/>
          <w:lang w:eastAsia="en-US"/>
        </w:rPr>
      </w:pPr>
    </w:p>
    <w:p w14:paraId="7059A9D7" w14:textId="77777777" w:rsidR="003C6AE1" w:rsidRPr="00E45791" w:rsidRDefault="003C6AE1" w:rsidP="003C6AE1">
      <w:pPr>
        <w:spacing w:line="360" w:lineRule="auto"/>
        <w:rPr>
          <w:rFonts w:ascii="Times New Roman" w:hAnsi="Times New Roman" w:cs="Times New Roman"/>
          <w:color w:val="3D3D3D"/>
          <w:sz w:val="20"/>
          <w:szCs w:val="20"/>
          <w:shd w:val="clear" w:color="auto" w:fill="FFFFFF"/>
        </w:rPr>
      </w:pPr>
      <w:r w:rsidRPr="00E45791">
        <w:rPr>
          <w:rFonts w:ascii="Times New Roman" w:hAnsi="Times New Roman" w:cs="Times New Roman"/>
          <w:color w:val="3D3D3D"/>
          <w:sz w:val="20"/>
          <w:szCs w:val="20"/>
          <w:shd w:val="clear" w:color="auto" w:fill="FFFFFF"/>
        </w:rPr>
        <w:t>In a 2–1 vote, a three-judge panel in the U.S. Court of Appeals for the 5</w:t>
      </w:r>
      <w:r w:rsidRPr="00E45791">
        <w:rPr>
          <w:rFonts w:ascii="Times New Roman" w:hAnsi="Times New Roman" w:cs="Times New Roman"/>
          <w:color w:val="3D3D3D"/>
          <w:sz w:val="20"/>
          <w:szCs w:val="20"/>
          <w:shd w:val="clear" w:color="auto" w:fill="FFFFFF"/>
          <w:vertAlign w:val="superscript"/>
        </w:rPr>
        <w:t>th</w:t>
      </w:r>
      <w:r w:rsidRPr="00E45791">
        <w:rPr>
          <w:rFonts w:ascii="Times New Roman" w:hAnsi="Times New Roman" w:cs="Times New Roman"/>
          <w:color w:val="3D3D3D"/>
          <w:sz w:val="20"/>
          <w:szCs w:val="20"/>
          <w:shd w:val="clear" w:color="auto" w:fill="FFFFFF"/>
        </w:rPr>
        <w:t> Circuit upheld the ruling by a U.S. District Court judge in </w:t>
      </w:r>
      <w:r w:rsidRPr="00E45791">
        <w:rPr>
          <w:rStyle w:val="Emphasis"/>
          <w:rFonts w:ascii="Times New Roman" w:hAnsi="Times New Roman" w:cs="Times New Roman"/>
          <w:color w:val="3D3D3D"/>
          <w:sz w:val="20"/>
          <w:szCs w:val="20"/>
          <w:shd w:val="clear" w:color="auto" w:fill="FFFFFF"/>
        </w:rPr>
        <w:t>Texas v. the United States</w:t>
      </w:r>
      <w:r w:rsidRPr="00E45791">
        <w:rPr>
          <w:rFonts w:ascii="Times New Roman" w:hAnsi="Times New Roman" w:cs="Times New Roman"/>
          <w:color w:val="3D3D3D"/>
          <w:sz w:val="20"/>
          <w:szCs w:val="20"/>
          <w:shd w:val="clear" w:color="auto" w:fill="FFFFFF"/>
        </w:rPr>
        <w:t> that the individual mandate of the Affordable Care Act (ACA) is unconstitutional. However, the appellate court did not rule on whether this means that the entire ACA is unconstitutional. Instead, it sent the case back to the Texas District Court for further analysis.</w:t>
      </w:r>
    </w:p>
    <w:p w14:paraId="3AD5A0D4" w14:textId="77777777" w:rsidR="003C6AE1" w:rsidRPr="00E45791" w:rsidRDefault="003C6AE1" w:rsidP="003C6AE1">
      <w:pPr>
        <w:spacing w:line="360" w:lineRule="auto"/>
        <w:rPr>
          <w:rFonts w:ascii="Times New Roman" w:eastAsia="Times New Roman" w:hAnsi="Times New Roman" w:cs="Times New Roman"/>
          <w:b/>
          <w:bCs/>
          <w:color w:val="595959"/>
          <w:sz w:val="20"/>
          <w:szCs w:val="20"/>
          <w:lang w:eastAsia="en-US"/>
        </w:rPr>
        <w:sectPr w:rsidR="003C6AE1" w:rsidRPr="00E45791" w:rsidSect="00C65FEF">
          <w:type w:val="continuous"/>
          <w:pgSz w:w="12240" w:h="15840" w:code="1"/>
          <w:pgMar w:top="1080" w:right="1440" w:bottom="1080" w:left="1440" w:header="720" w:footer="720" w:gutter="0"/>
          <w:cols w:space="720"/>
          <w:docGrid w:linePitch="360"/>
        </w:sectPr>
      </w:pPr>
    </w:p>
    <w:p w14:paraId="3087CB72" w14:textId="77777777" w:rsidR="003C6AE1" w:rsidRPr="00E45791" w:rsidRDefault="003C6AE1" w:rsidP="003C6AE1">
      <w:pPr>
        <w:spacing w:line="360" w:lineRule="auto"/>
        <w:rPr>
          <w:rFonts w:ascii="Times New Roman" w:eastAsia="Times New Roman" w:hAnsi="Times New Roman" w:cs="Times New Roman"/>
          <w:b/>
          <w:bCs/>
          <w:color w:val="595959"/>
          <w:sz w:val="20"/>
          <w:szCs w:val="20"/>
          <w:lang w:eastAsia="en-US"/>
        </w:rPr>
        <w:sectPr w:rsidR="003C6AE1" w:rsidRPr="00E45791" w:rsidSect="002B4808">
          <w:type w:val="continuous"/>
          <w:pgSz w:w="12240" w:h="15840" w:code="1"/>
          <w:pgMar w:top="1080" w:right="1440" w:bottom="1080" w:left="1440" w:header="720" w:footer="720" w:gutter="0"/>
          <w:cols w:space="720"/>
          <w:docGrid w:linePitch="360"/>
        </w:sectPr>
      </w:pPr>
    </w:p>
    <w:p w14:paraId="64949380" w14:textId="77777777" w:rsidR="003C6AE1" w:rsidRPr="00E45791" w:rsidRDefault="003C6AE1" w:rsidP="003C6AE1">
      <w:pPr>
        <w:spacing w:line="360" w:lineRule="auto"/>
        <w:rPr>
          <w:rFonts w:ascii="Times New Roman" w:hAnsi="Times New Roman" w:cs="Times New Roman"/>
          <w:sz w:val="20"/>
          <w:szCs w:val="20"/>
        </w:rPr>
      </w:pPr>
      <w:r w:rsidRPr="00E45791">
        <w:rPr>
          <w:rFonts w:ascii="Times New Roman" w:eastAsia="Times New Roman" w:hAnsi="Times New Roman" w:cs="Times New Roman"/>
          <w:color w:val="595959"/>
          <w:sz w:val="20"/>
          <w:szCs w:val="20"/>
          <w:lang w:eastAsia="en-US"/>
        </w:rPr>
        <w:t xml:space="preserve">More here: </w:t>
      </w:r>
      <w:hyperlink r:id="rId39" w:history="1">
        <w:r w:rsidRPr="00E45791">
          <w:rPr>
            <w:rFonts w:ascii="Times New Roman" w:hAnsi="Times New Roman" w:cs="Times New Roman"/>
            <w:color w:val="0000FF"/>
            <w:sz w:val="20"/>
            <w:szCs w:val="20"/>
            <w:u w:val="single"/>
          </w:rPr>
          <w:t>https://benefitcomply.com/compliance-alert-appellate-court-invalidates-acas-individual-mandate/</w:t>
        </w:r>
      </w:hyperlink>
    </w:p>
    <w:p w14:paraId="7AF80AA1" w14:textId="18BCB49B" w:rsidR="00E45791" w:rsidRDefault="00E45791" w:rsidP="00AD44D9">
      <w:pPr>
        <w:spacing w:line="360" w:lineRule="auto"/>
      </w:pPr>
    </w:p>
    <w:p w14:paraId="1A696A5D" w14:textId="5B2403CD" w:rsidR="00E45791" w:rsidRDefault="00E45791" w:rsidP="00AD44D9">
      <w:pPr>
        <w:spacing w:line="360" w:lineRule="auto"/>
        <w:rPr>
          <w:rFonts w:ascii="Times New Roman" w:hAnsi="Times New Roman" w:cs="Times New Roman"/>
          <w:b/>
          <w:bCs/>
          <w:color w:val="000000"/>
          <w:sz w:val="20"/>
          <w:szCs w:val="20"/>
          <w:shd w:val="clear" w:color="auto" w:fill="FFFFFF"/>
        </w:rPr>
      </w:pPr>
      <w:r w:rsidRPr="00BB3AEB">
        <w:rPr>
          <w:rFonts w:ascii="Times New Roman" w:hAnsi="Times New Roman" w:cs="Times New Roman"/>
          <w:b/>
          <w:bCs/>
          <w:color w:val="000000"/>
          <w:sz w:val="20"/>
          <w:szCs w:val="20"/>
          <w:shd w:val="clear" w:color="auto" w:fill="FFFFFF"/>
        </w:rPr>
        <w:t>Cadillac Tax Repealed</w:t>
      </w:r>
      <w:r w:rsidR="00662D0F">
        <w:rPr>
          <w:rFonts w:ascii="Times New Roman" w:hAnsi="Times New Roman" w:cs="Times New Roman"/>
          <w:b/>
          <w:bCs/>
          <w:color w:val="000000"/>
          <w:sz w:val="20"/>
          <w:szCs w:val="20"/>
          <w:shd w:val="clear" w:color="auto" w:fill="FFFFFF"/>
        </w:rPr>
        <w:t>, PCORI Fee Extended,</w:t>
      </w:r>
      <w:r w:rsidRPr="00BB3AEB">
        <w:rPr>
          <w:rFonts w:ascii="Times New Roman" w:hAnsi="Times New Roman" w:cs="Times New Roman"/>
          <w:b/>
          <w:bCs/>
          <w:color w:val="000000"/>
          <w:sz w:val="20"/>
          <w:szCs w:val="20"/>
          <w:shd w:val="clear" w:color="auto" w:fill="FFFFFF"/>
        </w:rPr>
        <w:t xml:space="preserve"> and Other </w:t>
      </w:r>
      <w:r w:rsidRPr="00BB3AEB">
        <w:rPr>
          <w:rStyle w:val="mark2cgg9usa6"/>
          <w:rFonts w:ascii="Times New Roman" w:hAnsi="Times New Roman" w:cs="Times New Roman"/>
          <w:b/>
          <w:bCs/>
          <w:color w:val="000000"/>
          <w:sz w:val="20"/>
          <w:szCs w:val="20"/>
          <w:bdr w:val="none" w:sz="0" w:space="0" w:color="auto" w:frame="1"/>
          <w:shd w:val="clear" w:color="auto" w:fill="FFFFFF"/>
        </w:rPr>
        <w:t>Benefit</w:t>
      </w:r>
      <w:r w:rsidRPr="00BB3AEB">
        <w:rPr>
          <w:rFonts w:ascii="Times New Roman" w:hAnsi="Times New Roman" w:cs="Times New Roman"/>
          <w:b/>
          <w:bCs/>
          <w:color w:val="000000"/>
          <w:sz w:val="20"/>
          <w:szCs w:val="20"/>
          <w:shd w:val="clear" w:color="auto" w:fill="FFFFFF"/>
        </w:rPr>
        <w:t>s Changes Contained in the End-of-Year Spending Bill Passed by Congress</w:t>
      </w:r>
    </w:p>
    <w:p w14:paraId="67C7D2B9" w14:textId="77777777" w:rsidR="00BB3AEB" w:rsidRPr="00BB3AEB" w:rsidRDefault="00BB3AEB" w:rsidP="00AD44D9">
      <w:pPr>
        <w:spacing w:line="360" w:lineRule="auto"/>
        <w:rPr>
          <w:rFonts w:ascii="Times New Roman" w:hAnsi="Times New Roman" w:cs="Times New Roman"/>
          <w:b/>
          <w:bCs/>
          <w:color w:val="000000"/>
          <w:sz w:val="20"/>
          <w:szCs w:val="20"/>
          <w:shd w:val="clear" w:color="auto" w:fill="FFFFFF"/>
        </w:rPr>
      </w:pPr>
    </w:p>
    <w:p w14:paraId="291B97C2" w14:textId="55435438" w:rsidR="00E45791" w:rsidRPr="00BB3AEB" w:rsidRDefault="00E45791" w:rsidP="00AD44D9">
      <w:pPr>
        <w:spacing w:line="360" w:lineRule="auto"/>
        <w:rPr>
          <w:rFonts w:ascii="Times New Roman" w:hAnsi="Times New Roman" w:cs="Times New Roman"/>
          <w:color w:val="3D3D3D"/>
          <w:sz w:val="20"/>
          <w:szCs w:val="20"/>
          <w:shd w:val="clear" w:color="auto" w:fill="FFFFFF"/>
        </w:rPr>
      </w:pPr>
      <w:r w:rsidRPr="00BB3AEB">
        <w:rPr>
          <w:rFonts w:ascii="Times New Roman" w:hAnsi="Times New Roman" w:cs="Times New Roman"/>
          <w:color w:val="3D3D3D"/>
          <w:sz w:val="20"/>
          <w:szCs w:val="20"/>
          <w:shd w:val="clear" w:color="auto" w:fill="FFFFFF"/>
        </w:rPr>
        <w:t>Congress has passed the Further Consolidated Appropriations Act, 2020 (the spending bill). The massive bill funding the federal government inc</w:t>
      </w:r>
      <w:r w:rsidR="00662D0F">
        <w:rPr>
          <w:rFonts w:ascii="Times New Roman" w:hAnsi="Times New Roman" w:cs="Times New Roman"/>
          <w:color w:val="3D3D3D"/>
          <w:sz w:val="20"/>
          <w:szCs w:val="20"/>
          <w:shd w:val="clear" w:color="auto" w:fill="FFFFFF"/>
        </w:rPr>
        <w:t>l</w:t>
      </w:r>
      <w:r w:rsidRPr="00BB3AEB">
        <w:rPr>
          <w:rFonts w:ascii="Times New Roman" w:hAnsi="Times New Roman" w:cs="Times New Roman"/>
          <w:color w:val="3D3D3D"/>
          <w:sz w:val="20"/>
          <w:szCs w:val="20"/>
          <w:shd w:val="clear" w:color="auto" w:fill="FFFFFF"/>
        </w:rPr>
        <w:t>udes important provisions related to employer</w:t>
      </w:r>
      <w:r w:rsidR="00662D0F">
        <w:rPr>
          <w:rFonts w:ascii="Times New Roman" w:hAnsi="Times New Roman" w:cs="Times New Roman"/>
          <w:color w:val="3D3D3D"/>
          <w:sz w:val="20"/>
          <w:szCs w:val="20"/>
          <w:shd w:val="clear" w:color="auto" w:fill="FFFFFF"/>
        </w:rPr>
        <w:t>-</w:t>
      </w:r>
      <w:r w:rsidRPr="00BB3AEB">
        <w:rPr>
          <w:rFonts w:ascii="Times New Roman" w:hAnsi="Times New Roman" w:cs="Times New Roman"/>
          <w:color w:val="3D3D3D"/>
          <w:sz w:val="20"/>
          <w:szCs w:val="20"/>
          <w:shd w:val="clear" w:color="auto" w:fill="FFFFFF"/>
        </w:rPr>
        <w:t xml:space="preserve">sponsored health and welfare plans. Most importantly, the spending bill repeals a number of ACA-related taxes, including the so-called “Cadillac Tax” on high-cost health plans, the health insurance tax (HIT) that applies to health insurance companies, and the medical device tax. However, the Patient-Centered Outcomes Research Institute (PCORI) fee, which had been scheduled to expire, </w:t>
      </w:r>
      <w:r w:rsidR="00662D0F">
        <w:rPr>
          <w:rFonts w:ascii="Times New Roman" w:hAnsi="Times New Roman" w:cs="Times New Roman"/>
          <w:color w:val="3D3D3D"/>
          <w:sz w:val="20"/>
          <w:szCs w:val="20"/>
          <w:shd w:val="clear" w:color="auto" w:fill="FFFFFF"/>
        </w:rPr>
        <w:t xml:space="preserve">was extended </w:t>
      </w:r>
      <w:r w:rsidRPr="00BB3AEB">
        <w:rPr>
          <w:rFonts w:ascii="Times New Roman" w:hAnsi="Times New Roman" w:cs="Times New Roman"/>
          <w:color w:val="3D3D3D"/>
          <w:sz w:val="20"/>
          <w:szCs w:val="20"/>
          <w:shd w:val="clear" w:color="auto" w:fill="FFFFFF"/>
        </w:rPr>
        <w:t>until 2029.</w:t>
      </w:r>
    </w:p>
    <w:p w14:paraId="4B0B92AF" w14:textId="16072E33" w:rsidR="00E45791" w:rsidRPr="00BB3AEB" w:rsidRDefault="00E45791" w:rsidP="00AD44D9">
      <w:pPr>
        <w:spacing w:line="360" w:lineRule="auto"/>
        <w:rPr>
          <w:rFonts w:ascii="Times New Roman" w:hAnsi="Times New Roman" w:cs="Times New Roman"/>
          <w:color w:val="3D3D3D"/>
          <w:sz w:val="20"/>
          <w:szCs w:val="20"/>
          <w:shd w:val="clear" w:color="auto" w:fill="FFFFFF"/>
        </w:rPr>
      </w:pPr>
    </w:p>
    <w:p w14:paraId="2C842036" w14:textId="75847E3C" w:rsidR="00E45791" w:rsidRPr="00BB3AEB" w:rsidRDefault="00E45791" w:rsidP="00AD44D9">
      <w:pPr>
        <w:spacing w:line="360" w:lineRule="auto"/>
        <w:rPr>
          <w:rFonts w:ascii="Times New Roman" w:eastAsia="Times New Roman" w:hAnsi="Times New Roman" w:cs="Times New Roman"/>
          <w:b/>
          <w:bCs/>
          <w:color w:val="595959"/>
          <w:sz w:val="20"/>
          <w:szCs w:val="20"/>
          <w:lang w:eastAsia="en-US"/>
        </w:rPr>
      </w:pPr>
      <w:r w:rsidRPr="00BB3AEB">
        <w:rPr>
          <w:rFonts w:ascii="Times New Roman" w:hAnsi="Times New Roman" w:cs="Times New Roman"/>
          <w:color w:val="3D3D3D"/>
          <w:sz w:val="20"/>
          <w:szCs w:val="20"/>
          <w:shd w:val="clear" w:color="auto" w:fill="FFFFFF"/>
        </w:rPr>
        <w:t xml:space="preserve">More here: </w:t>
      </w:r>
      <w:hyperlink r:id="rId40" w:history="1">
        <w:r w:rsidRPr="00BB3AEB">
          <w:rPr>
            <w:rFonts w:ascii="Times New Roman" w:hAnsi="Times New Roman" w:cs="Times New Roman"/>
            <w:color w:val="0000FF"/>
            <w:sz w:val="20"/>
            <w:szCs w:val="20"/>
            <w:u w:val="single"/>
          </w:rPr>
          <w:t>https://benefitcomply.com/compliance-alert-cadillac-tax-repealed-and-other-benefits-changes-contained-in-the-end-of-year-spending-bill-passed-by-congress/</w:t>
        </w:r>
      </w:hyperlink>
    </w:p>
    <w:p w14:paraId="43C966A2" w14:textId="2073319D" w:rsidR="00846F77" w:rsidRDefault="00846F77" w:rsidP="00AD44D9">
      <w:pPr>
        <w:spacing w:line="360" w:lineRule="auto"/>
        <w:rPr>
          <w:rFonts w:ascii="Arial" w:eastAsia="Times New Roman" w:hAnsi="Arial" w:cs="Arial"/>
          <w:color w:val="595959"/>
          <w:sz w:val="16"/>
          <w:szCs w:val="16"/>
          <w:lang w:eastAsia="en-US"/>
        </w:rPr>
      </w:pPr>
    </w:p>
    <w:p w14:paraId="7E4328ED" w14:textId="1A6E7501" w:rsidR="00846F77" w:rsidRPr="002A3F5D" w:rsidRDefault="00C65FEF" w:rsidP="002A3F5D">
      <w:pPr>
        <w:pStyle w:val="Heading1"/>
        <w:rPr>
          <w:color w:val="0070C0"/>
          <w:sz w:val="56"/>
          <w:szCs w:val="56"/>
        </w:rPr>
      </w:pPr>
      <w:bookmarkStart w:id="8" w:name="_Toc28596246"/>
      <w:r w:rsidRPr="002A3F5D">
        <w:rPr>
          <w:color w:val="0070C0"/>
          <w:sz w:val="56"/>
          <w:szCs w:val="56"/>
        </w:rPr>
        <w:lastRenderedPageBreak/>
        <w:t>Quarterly Q&amp;A</w:t>
      </w:r>
      <w:bookmarkEnd w:id="8"/>
    </w:p>
    <w:p w14:paraId="76AB8552" w14:textId="77777777" w:rsidR="002A3F5D" w:rsidRDefault="002A3F5D" w:rsidP="00C65FEF">
      <w:pPr>
        <w:spacing w:line="360" w:lineRule="auto"/>
        <w:rPr>
          <w:rFonts w:cstheme="minorHAnsi"/>
          <w:b/>
          <w:bCs/>
          <w:color w:val="000000" w:themeColor="text1"/>
          <w:sz w:val="20"/>
          <w:szCs w:val="20"/>
        </w:rPr>
      </w:pPr>
    </w:p>
    <w:p w14:paraId="48C8360C" w14:textId="73289365" w:rsidR="00F31CF5" w:rsidRPr="00C65FEF" w:rsidRDefault="00F31CF5" w:rsidP="00C65FEF">
      <w:pPr>
        <w:spacing w:line="360" w:lineRule="auto"/>
        <w:rPr>
          <w:rFonts w:cstheme="minorHAnsi"/>
          <w:b/>
          <w:bCs/>
          <w:color w:val="000000" w:themeColor="text1"/>
          <w:sz w:val="20"/>
          <w:szCs w:val="20"/>
        </w:rPr>
      </w:pPr>
      <w:r w:rsidRPr="00C65FEF">
        <w:rPr>
          <w:rFonts w:cstheme="minorHAnsi"/>
          <w:b/>
          <w:bCs/>
          <w:color w:val="000000" w:themeColor="text1"/>
          <w:sz w:val="20"/>
          <w:szCs w:val="20"/>
        </w:rPr>
        <w:t xml:space="preserve">What </w:t>
      </w:r>
      <w:r w:rsidRPr="00C65FEF">
        <w:rPr>
          <w:rFonts w:eastAsia="Times New Roman" w:cstheme="minorHAnsi"/>
          <w:b/>
          <w:bCs/>
          <w:color w:val="000000" w:themeColor="text1"/>
          <w:sz w:val="20"/>
          <w:szCs w:val="20"/>
        </w:rPr>
        <w:t>documentation/proof are employers required to receive before permitting a midyear pre-tax election change or verifying dependent status during open enrollment?</w:t>
      </w:r>
    </w:p>
    <w:p w14:paraId="0129117C" w14:textId="77777777" w:rsidR="00662D0F" w:rsidRDefault="00662D0F" w:rsidP="00C65FEF">
      <w:pPr>
        <w:shd w:val="clear" w:color="auto" w:fill="FFFFFF"/>
        <w:spacing w:line="360" w:lineRule="auto"/>
        <w:jc w:val="both"/>
        <w:textAlignment w:val="baseline"/>
        <w:rPr>
          <w:rFonts w:eastAsia="Times New Roman" w:cstheme="minorHAnsi"/>
          <w:b/>
          <w:bCs/>
          <w:color w:val="000000" w:themeColor="text1"/>
          <w:sz w:val="20"/>
          <w:szCs w:val="20"/>
          <w:bdr w:val="none" w:sz="0" w:space="0" w:color="auto" w:frame="1"/>
        </w:rPr>
      </w:pPr>
    </w:p>
    <w:p w14:paraId="2D125BB5" w14:textId="6D36675B" w:rsidR="00F31CF5" w:rsidRPr="00C65FEF" w:rsidRDefault="00F31CF5" w:rsidP="00C65FEF">
      <w:pPr>
        <w:shd w:val="clear" w:color="auto" w:fill="FFFFFF"/>
        <w:spacing w:line="360" w:lineRule="auto"/>
        <w:jc w:val="both"/>
        <w:textAlignment w:val="baseline"/>
        <w:rPr>
          <w:rFonts w:eastAsia="Times New Roman" w:cstheme="minorHAnsi"/>
          <w:color w:val="000000" w:themeColor="text1"/>
          <w:sz w:val="20"/>
          <w:szCs w:val="20"/>
        </w:rPr>
      </w:pPr>
      <w:r w:rsidRPr="00C65FEF">
        <w:rPr>
          <w:rFonts w:eastAsia="Times New Roman" w:cstheme="minorHAnsi"/>
          <w:b/>
          <w:bCs/>
          <w:color w:val="000000" w:themeColor="text1"/>
          <w:sz w:val="20"/>
          <w:szCs w:val="20"/>
          <w:bdr w:val="none" w:sz="0" w:space="0" w:color="auto" w:frame="1"/>
        </w:rPr>
        <w:t>What does the law require?</w:t>
      </w:r>
    </w:p>
    <w:p w14:paraId="59E7AF0A" w14:textId="77777777" w:rsidR="00F31CF5" w:rsidRPr="00C65FEF" w:rsidRDefault="00F31CF5" w:rsidP="00C65FEF">
      <w:pPr>
        <w:shd w:val="clear" w:color="auto" w:fill="FFFFFF"/>
        <w:spacing w:after="360" w:line="360" w:lineRule="auto"/>
        <w:jc w:val="both"/>
        <w:textAlignment w:val="baseline"/>
        <w:rPr>
          <w:rFonts w:eastAsia="Times New Roman" w:cstheme="minorHAnsi"/>
          <w:color w:val="000000" w:themeColor="text1"/>
          <w:sz w:val="20"/>
          <w:szCs w:val="20"/>
        </w:rPr>
      </w:pPr>
      <w:r w:rsidRPr="00C65FEF">
        <w:rPr>
          <w:rFonts w:eastAsia="Times New Roman" w:cstheme="minorHAnsi"/>
          <w:color w:val="000000" w:themeColor="text1"/>
          <w:sz w:val="20"/>
          <w:szCs w:val="20"/>
        </w:rPr>
        <w:t xml:space="preserve">The tax code does not require an employer to receive verification of a reason for a requested pre-tax election change beyond the employee’s own certification, so long as the employer has no reason to believe that the employee’s certification is incorrect. </w:t>
      </w:r>
    </w:p>
    <w:p w14:paraId="2832F5EA" w14:textId="77777777" w:rsidR="00F31CF5" w:rsidRPr="00C65FEF" w:rsidRDefault="00F31CF5" w:rsidP="00C65FEF">
      <w:pPr>
        <w:shd w:val="clear" w:color="auto" w:fill="FFFFFF"/>
        <w:spacing w:after="360" w:line="360" w:lineRule="auto"/>
        <w:jc w:val="both"/>
        <w:textAlignment w:val="baseline"/>
        <w:rPr>
          <w:rFonts w:eastAsia="Times New Roman" w:cstheme="minorHAnsi"/>
          <w:color w:val="000000" w:themeColor="text1"/>
          <w:sz w:val="20"/>
          <w:szCs w:val="20"/>
        </w:rPr>
      </w:pPr>
      <w:r w:rsidRPr="00C65FEF">
        <w:rPr>
          <w:rFonts w:eastAsia="Times New Roman" w:cstheme="minorHAnsi"/>
          <w:color w:val="000000" w:themeColor="text1"/>
          <w:sz w:val="20"/>
          <w:szCs w:val="20"/>
        </w:rPr>
        <w:t>Similarly, ERISA does not require any additional verification other than an employee’s certification that eligibility criteria are satisfied.</w:t>
      </w:r>
    </w:p>
    <w:p w14:paraId="4610DF55" w14:textId="77777777" w:rsidR="00F31CF5" w:rsidRPr="00C65FEF" w:rsidRDefault="00F31CF5" w:rsidP="00C65FEF">
      <w:pPr>
        <w:shd w:val="clear" w:color="auto" w:fill="FFFFFF"/>
        <w:spacing w:line="360" w:lineRule="auto"/>
        <w:jc w:val="both"/>
        <w:textAlignment w:val="baseline"/>
        <w:rPr>
          <w:rFonts w:eastAsia="Times New Roman" w:cstheme="minorHAnsi"/>
          <w:color w:val="000000" w:themeColor="text1"/>
          <w:sz w:val="20"/>
          <w:szCs w:val="20"/>
        </w:rPr>
      </w:pPr>
      <w:r w:rsidRPr="00C65FEF">
        <w:rPr>
          <w:rFonts w:eastAsia="Times New Roman" w:cstheme="minorHAnsi"/>
          <w:b/>
          <w:bCs/>
          <w:color w:val="000000" w:themeColor="text1"/>
          <w:sz w:val="20"/>
          <w:szCs w:val="20"/>
          <w:bdr w:val="none" w:sz="0" w:space="0" w:color="auto" w:frame="1"/>
        </w:rPr>
        <w:t xml:space="preserve">What </w:t>
      </w:r>
      <w:r w:rsidRPr="00C65FEF">
        <w:rPr>
          <w:rFonts w:eastAsia="Times New Roman" w:cstheme="minorHAnsi"/>
          <w:b/>
          <w:bCs/>
          <w:color w:val="000000" w:themeColor="text1"/>
          <w:sz w:val="20"/>
          <w:szCs w:val="20"/>
          <w:u w:val="single"/>
          <w:bdr w:val="none" w:sz="0" w:space="0" w:color="auto" w:frame="1"/>
        </w:rPr>
        <w:t>can</w:t>
      </w:r>
      <w:r w:rsidRPr="00C65FEF">
        <w:rPr>
          <w:rFonts w:eastAsia="Times New Roman" w:cstheme="minorHAnsi"/>
          <w:b/>
          <w:bCs/>
          <w:color w:val="000000" w:themeColor="text1"/>
          <w:sz w:val="20"/>
          <w:szCs w:val="20"/>
          <w:bdr w:val="none" w:sz="0" w:space="0" w:color="auto" w:frame="1"/>
        </w:rPr>
        <w:t xml:space="preserve"> the plan require?</w:t>
      </w:r>
    </w:p>
    <w:p w14:paraId="1054AB1B" w14:textId="5B27EFC4" w:rsidR="00F31CF5" w:rsidRPr="00C65FEF" w:rsidRDefault="00F31CF5" w:rsidP="00C65FEF">
      <w:pPr>
        <w:shd w:val="clear" w:color="auto" w:fill="FFFFFF"/>
        <w:spacing w:after="360" w:line="360" w:lineRule="auto"/>
        <w:jc w:val="both"/>
        <w:textAlignment w:val="baseline"/>
        <w:rPr>
          <w:rFonts w:eastAsia="Times New Roman" w:cstheme="minorHAnsi"/>
          <w:color w:val="000000" w:themeColor="text1"/>
          <w:sz w:val="20"/>
          <w:szCs w:val="20"/>
        </w:rPr>
      </w:pPr>
      <w:r w:rsidRPr="00C65FEF">
        <w:rPr>
          <w:rFonts w:eastAsia="Times New Roman" w:cstheme="minorHAnsi"/>
          <w:color w:val="000000" w:themeColor="text1"/>
          <w:sz w:val="20"/>
          <w:szCs w:val="20"/>
        </w:rPr>
        <w:t xml:space="preserve">Although neither the tax code nor ERISA generally require verification of the occurrence of an event beyond the employee’s own certification, many employers voluntarily choose to require additional verification before making such a change to an employee’s election. </w:t>
      </w:r>
    </w:p>
    <w:p w14:paraId="1B34DB84" w14:textId="42F6651C" w:rsidR="00F31CF5" w:rsidRPr="00C65FEF" w:rsidRDefault="00F31CF5" w:rsidP="00C65FEF">
      <w:pPr>
        <w:shd w:val="clear" w:color="auto" w:fill="FFFFFF"/>
        <w:spacing w:after="360" w:line="360" w:lineRule="auto"/>
        <w:jc w:val="both"/>
        <w:textAlignment w:val="baseline"/>
        <w:rPr>
          <w:rFonts w:eastAsia="Times New Roman" w:cstheme="minorHAnsi"/>
          <w:color w:val="000000" w:themeColor="text1"/>
          <w:sz w:val="20"/>
          <w:szCs w:val="20"/>
        </w:rPr>
      </w:pPr>
      <w:r w:rsidRPr="00C65FEF">
        <w:rPr>
          <w:rFonts w:eastAsia="Times New Roman" w:cstheme="minorHAnsi"/>
          <w:color w:val="000000" w:themeColor="text1"/>
          <w:sz w:val="20"/>
          <w:szCs w:val="20"/>
        </w:rPr>
        <w:t>There are no federal guidelines or restrictions on what a plan can require an employee to provide to verify the occurrence of an event in connection with a requested change. Common items requested by employers include marriage certificates, birth certificates, or proof of enrollment in another employer’s plan. It can be helpful for employers to have a list of items they will accept to verify an occurrence so that when an event occurs, they can refer to the list.</w:t>
      </w:r>
      <w:r w:rsidR="00662D0F">
        <w:rPr>
          <w:rFonts w:eastAsia="Times New Roman" w:cstheme="minorHAnsi"/>
          <w:color w:val="000000" w:themeColor="text1"/>
          <w:sz w:val="20"/>
          <w:szCs w:val="20"/>
        </w:rPr>
        <w:t xml:space="preserve"> </w:t>
      </w:r>
    </w:p>
    <w:p w14:paraId="55D60CFA" w14:textId="77777777" w:rsidR="00F31CF5" w:rsidRPr="00C65FEF" w:rsidRDefault="00F31CF5" w:rsidP="00C65FEF">
      <w:pPr>
        <w:shd w:val="clear" w:color="auto" w:fill="FFFFFF"/>
        <w:spacing w:line="360" w:lineRule="auto"/>
        <w:jc w:val="both"/>
        <w:textAlignment w:val="baseline"/>
        <w:rPr>
          <w:rFonts w:eastAsia="Times New Roman" w:cstheme="minorHAnsi"/>
          <w:color w:val="000000" w:themeColor="text1"/>
          <w:sz w:val="20"/>
          <w:szCs w:val="20"/>
        </w:rPr>
      </w:pPr>
      <w:r w:rsidRPr="00C65FEF">
        <w:rPr>
          <w:rFonts w:eastAsia="Times New Roman" w:cstheme="minorHAnsi"/>
          <w:b/>
          <w:bCs/>
          <w:color w:val="000000" w:themeColor="text1"/>
          <w:sz w:val="20"/>
          <w:szCs w:val="20"/>
          <w:bdr w:val="none" w:sz="0" w:space="0" w:color="auto" w:frame="1"/>
        </w:rPr>
        <w:t xml:space="preserve">What </w:t>
      </w:r>
      <w:r w:rsidRPr="00C65FEF">
        <w:rPr>
          <w:rFonts w:eastAsia="Times New Roman" w:cstheme="minorHAnsi"/>
          <w:b/>
          <w:bCs/>
          <w:color w:val="000000" w:themeColor="text1"/>
          <w:sz w:val="20"/>
          <w:szCs w:val="20"/>
          <w:u w:val="single"/>
          <w:bdr w:val="none" w:sz="0" w:space="0" w:color="auto" w:frame="1"/>
        </w:rPr>
        <w:t>does</w:t>
      </w:r>
      <w:r w:rsidRPr="00C65FEF">
        <w:rPr>
          <w:rFonts w:eastAsia="Times New Roman" w:cstheme="minorHAnsi"/>
          <w:b/>
          <w:bCs/>
          <w:color w:val="000000" w:themeColor="text1"/>
          <w:sz w:val="20"/>
          <w:szCs w:val="20"/>
          <w:bdr w:val="none" w:sz="0" w:space="0" w:color="auto" w:frame="1"/>
        </w:rPr>
        <w:t xml:space="preserve"> the plan require?</w:t>
      </w:r>
    </w:p>
    <w:p w14:paraId="0FBCAB3D" w14:textId="0FFF5863" w:rsidR="00F31CF5" w:rsidRPr="00C65FEF" w:rsidRDefault="00F31CF5" w:rsidP="00C65FEF">
      <w:pPr>
        <w:shd w:val="clear" w:color="auto" w:fill="FFFFFF"/>
        <w:spacing w:after="360" w:line="360" w:lineRule="auto"/>
        <w:jc w:val="both"/>
        <w:textAlignment w:val="baseline"/>
        <w:rPr>
          <w:rFonts w:eastAsia="Times New Roman" w:cstheme="minorHAnsi"/>
          <w:color w:val="000000" w:themeColor="text1"/>
          <w:sz w:val="20"/>
          <w:szCs w:val="20"/>
        </w:rPr>
      </w:pPr>
      <w:r w:rsidRPr="00C65FEF">
        <w:rPr>
          <w:rFonts w:eastAsia="Times New Roman" w:cstheme="minorHAnsi"/>
          <w:color w:val="000000" w:themeColor="text1"/>
          <w:sz w:val="20"/>
          <w:szCs w:val="20"/>
        </w:rPr>
        <w:t xml:space="preserve">Employers are required to have a written </w:t>
      </w:r>
      <w:r w:rsidR="00662D0F">
        <w:rPr>
          <w:rFonts w:ascii="Arial" w:eastAsia="Times New Roman" w:hAnsi="Arial" w:cs="Arial"/>
          <w:color w:val="000000" w:themeColor="text1"/>
          <w:sz w:val="20"/>
          <w:szCs w:val="20"/>
        </w:rPr>
        <w:t>§</w:t>
      </w:r>
      <w:r w:rsidRPr="00C65FEF">
        <w:rPr>
          <w:rFonts w:eastAsia="Times New Roman" w:cstheme="minorHAnsi"/>
          <w:color w:val="000000" w:themeColor="text1"/>
          <w:sz w:val="20"/>
          <w:szCs w:val="20"/>
        </w:rPr>
        <w:t xml:space="preserve">125 Cafeteria Plan Document if they are permitting employees to make pre-tax contributions to pay for benefits. Further, employers are required to administer their pre-tax plan in accordance with the terms of their </w:t>
      </w:r>
      <w:r w:rsidR="00662D0F">
        <w:rPr>
          <w:rFonts w:ascii="Arial" w:eastAsia="Times New Roman" w:hAnsi="Arial" w:cs="Arial"/>
          <w:color w:val="000000" w:themeColor="text1"/>
          <w:sz w:val="20"/>
          <w:szCs w:val="20"/>
        </w:rPr>
        <w:t>§</w:t>
      </w:r>
      <w:r w:rsidRPr="00C65FEF">
        <w:rPr>
          <w:rFonts w:eastAsia="Times New Roman" w:cstheme="minorHAnsi"/>
          <w:color w:val="000000" w:themeColor="text1"/>
          <w:sz w:val="20"/>
          <w:szCs w:val="20"/>
        </w:rPr>
        <w:t xml:space="preserve">125 Cafeteria Plan Document, or risk disqualifying the plan from tax exempt status for all participants. Whether the employer decides to require additional proof of the occurrence of an event that would permit a midyear pre-tax election change, or not, the requirements to make a change should be reflected in the employer’s </w:t>
      </w:r>
      <w:r w:rsidR="00662D0F">
        <w:rPr>
          <w:rFonts w:ascii="Arial" w:eastAsia="Times New Roman" w:hAnsi="Arial" w:cs="Arial"/>
          <w:color w:val="000000" w:themeColor="text1"/>
          <w:sz w:val="20"/>
          <w:szCs w:val="20"/>
        </w:rPr>
        <w:t>§</w:t>
      </w:r>
      <w:r w:rsidRPr="00C65FEF">
        <w:rPr>
          <w:rFonts w:eastAsia="Times New Roman" w:cstheme="minorHAnsi"/>
          <w:color w:val="000000" w:themeColor="text1"/>
          <w:sz w:val="20"/>
          <w:szCs w:val="20"/>
        </w:rPr>
        <w:t>125 Cafeteria Plan Document.</w:t>
      </w:r>
    </w:p>
    <w:p w14:paraId="54020386" w14:textId="77777777" w:rsidR="00F31CF5" w:rsidRPr="00C65FEF" w:rsidRDefault="00F31CF5" w:rsidP="00C65FEF">
      <w:pPr>
        <w:shd w:val="clear" w:color="auto" w:fill="FFFFFF"/>
        <w:spacing w:after="360" w:line="360" w:lineRule="auto"/>
        <w:jc w:val="both"/>
        <w:textAlignment w:val="baseline"/>
        <w:rPr>
          <w:rFonts w:eastAsia="Times New Roman" w:cstheme="minorHAnsi"/>
          <w:color w:val="000000" w:themeColor="text1"/>
          <w:sz w:val="20"/>
          <w:szCs w:val="20"/>
        </w:rPr>
      </w:pPr>
      <w:r w:rsidRPr="00C65FEF">
        <w:rPr>
          <w:rFonts w:eastAsia="Times New Roman" w:cstheme="minorHAnsi"/>
          <w:color w:val="000000" w:themeColor="text1"/>
          <w:sz w:val="20"/>
          <w:szCs w:val="20"/>
        </w:rPr>
        <w:t>If the employer does not want to list every form of acceptable verification, language could be drafted to give the employer broad discretion in deciding what to accept. The employer should apply any requirement as consistently as possible for every requested change from every employee to avoid the appearance of discrimination.</w:t>
      </w:r>
    </w:p>
    <w:p w14:paraId="2640E6EF" w14:textId="1B4184F4" w:rsidR="00F8362A" w:rsidRPr="00F8362A" w:rsidRDefault="00F31CF5" w:rsidP="004214A6">
      <w:pPr>
        <w:shd w:val="clear" w:color="auto" w:fill="FFFFFF"/>
        <w:spacing w:after="360" w:line="360" w:lineRule="auto"/>
        <w:jc w:val="both"/>
        <w:textAlignment w:val="baseline"/>
        <w:rPr>
          <w:rFonts w:ascii="Arial" w:eastAsia="Times New Roman" w:hAnsi="Arial" w:cs="Arial"/>
          <w:b/>
          <w:bCs/>
          <w:color w:val="595959"/>
          <w:sz w:val="16"/>
          <w:szCs w:val="16"/>
          <w:lang w:eastAsia="en-US"/>
        </w:rPr>
      </w:pPr>
      <w:r w:rsidRPr="00C65FEF">
        <w:rPr>
          <w:rFonts w:eastAsia="Times New Roman" w:cstheme="minorHAnsi"/>
          <w:color w:val="000000" w:themeColor="text1"/>
          <w:sz w:val="20"/>
          <w:szCs w:val="20"/>
        </w:rPr>
        <w:t>Also keep in mind that employers have a duty to follow the terms of their ERISA plan document and SPD. If additional verification is required under the terms of the plan, the employer should strictly enforce these requirements as well.</w:t>
      </w:r>
      <w:r w:rsidR="004214A6" w:rsidRPr="00F8362A">
        <w:rPr>
          <w:rFonts w:ascii="Arial" w:eastAsia="Times New Roman" w:hAnsi="Arial" w:cs="Arial"/>
          <w:b/>
          <w:bCs/>
          <w:color w:val="595959"/>
          <w:sz w:val="16"/>
          <w:szCs w:val="16"/>
          <w:lang w:eastAsia="en-US"/>
        </w:rPr>
        <w:t xml:space="preserve"> </w:t>
      </w:r>
    </w:p>
    <w:sectPr w:rsidR="00F8362A" w:rsidRPr="00F8362A" w:rsidSect="002B4808">
      <w:type w:val="continuous"/>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BE2DB" w14:textId="77777777" w:rsidR="00341C22" w:rsidRDefault="00341C22" w:rsidP="00790E63">
      <w:r>
        <w:separator/>
      </w:r>
    </w:p>
  </w:endnote>
  <w:endnote w:type="continuationSeparator" w:id="0">
    <w:p w14:paraId="2418AEC7" w14:textId="77777777" w:rsidR="00341C22" w:rsidRDefault="00341C22" w:rsidP="0079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B0604020202020204"/>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0D91A" w14:textId="24FED940" w:rsidR="005A10A7" w:rsidRPr="008D1681" w:rsidRDefault="005A10A7" w:rsidP="005A10A7">
    <w:pPr>
      <w:pStyle w:val="IssueInfo"/>
      <w:ind w:left="0" w:right="3996"/>
      <w:jc w:val="both"/>
    </w:pPr>
    <w:r>
      <w:t xml:space="preserve"> </w:t>
    </w:r>
    <w:sdt>
      <w:sdtPr>
        <w:id w:val="609012785"/>
        <w:placeholder>
          <w:docPart w:val="77DD6E8A713ED24886BA01C76841B757"/>
        </w:placeholder>
        <w:temporary/>
        <w:showingPlcHdr/>
        <w15:appearance w15:val="hidden"/>
      </w:sdtPr>
      <w:sdtEndPr/>
      <w:sdtContent>
        <w:r w:rsidRPr="005075CA">
          <w:t>ISSUE</w:t>
        </w:r>
      </w:sdtContent>
    </w:sdt>
    <w:r>
      <w:t xml:space="preserve"> 1 | Q4 | 2019</w:t>
    </w:r>
  </w:p>
  <w:p w14:paraId="5736781F" w14:textId="21A838BD" w:rsidR="00BF7CDD" w:rsidRDefault="00BF7CDD" w:rsidP="00790E63">
    <w:pPr>
      <w:pStyle w:val="Footer"/>
    </w:pPr>
    <w:r>
      <w:ptab w:relativeTo="margin" w:alignment="right" w:leader="none"/>
    </w:r>
    <w:r w:rsidRPr="009E6E6B">
      <w:rPr>
        <w:color w:val="61ADBF" w:themeColor="accent4"/>
      </w:rPr>
      <w:fldChar w:fldCharType="begin"/>
    </w:r>
    <w:r w:rsidRPr="009E6E6B">
      <w:rPr>
        <w:color w:val="61ADBF" w:themeColor="accent4"/>
      </w:rPr>
      <w:instrText xml:space="preserve"> PAGE   \* MERGEFORMAT </w:instrText>
    </w:r>
    <w:r w:rsidRPr="009E6E6B">
      <w:rPr>
        <w:color w:val="61ADBF" w:themeColor="accent4"/>
      </w:rPr>
      <w:fldChar w:fldCharType="separate"/>
    </w:r>
    <w:r w:rsidR="000668D8">
      <w:rPr>
        <w:noProof/>
        <w:color w:val="61ADBF" w:themeColor="accent4"/>
      </w:rPr>
      <w:t>1</w:t>
    </w:r>
    <w:r w:rsidRPr="009E6E6B">
      <w:rPr>
        <w:noProof/>
        <w:color w:val="61ADBF" w:themeColor="accent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07505" w14:textId="77777777" w:rsidR="00341C22" w:rsidRDefault="00341C22" w:rsidP="00790E63">
      <w:r>
        <w:separator/>
      </w:r>
    </w:p>
  </w:footnote>
  <w:footnote w:type="continuationSeparator" w:id="0">
    <w:p w14:paraId="14ACEE10" w14:textId="77777777" w:rsidR="00341C22" w:rsidRDefault="00341C22" w:rsidP="00790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AA0A53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0409000F"/>
    <w:lvl w:ilvl="0">
      <w:start w:val="1"/>
      <w:numFmt w:val="decimal"/>
      <w:lvlText w:val="%1."/>
      <w:lvlJc w:val="left"/>
      <w:pPr>
        <w:ind w:left="360" w:hanging="360"/>
      </w:pPr>
      <w:rPr>
        <w:rFonts w:hint="default"/>
      </w:rPr>
    </w:lvl>
  </w:abstractNum>
  <w:abstractNum w:abstractNumId="2" w15:restartNumberingAfterBreak="0">
    <w:nsid w:val="0795133E"/>
    <w:multiLevelType w:val="hybridMultilevel"/>
    <w:tmpl w:val="3B22D104"/>
    <w:lvl w:ilvl="0" w:tplc="BB4CD6B4">
      <w:start w:val="5"/>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A346E"/>
    <w:multiLevelType w:val="hybridMultilevel"/>
    <w:tmpl w:val="55C84E8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17491389"/>
    <w:multiLevelType w:val="hybridMultilevel"/>
    <w:tmpl w:val="E4DC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B2DEE"/>
    <w:multiLevelType w:val="hybridMultilevel"/>
    <w:tmpl w:val="6C80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57E2D"/>
    <w:multiLevelType w:val="multilevel"/>
    <w:tmpl w:val="DCF891AC"/>
    <w:numStyleLink w:val="Style1"/>
  </w:abstractNum>
  <w:abstractNum w:abstractNumId="8" w15:restartNumberingAfterBreak="0">
    <w:nsid w:val="291955C4"/>
    <w:multiLevelType w:val="multilevel"/>
    <w:tmpl w:val="DCF891AC"/>
    <w:numStyleLink w:val="Style1"/>
  </w:abstractNum>
  <w:abstractNum w:abstractNumId="9"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D217BE"/>
    <w:multiLevelType w:val="hybridMultilevel"/>
    <w:tmpl w:val="14DA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ED7EC0"/>
    <w:multiLevelType w:val="hybridMultilevel"/>
    <w:tmpl w:val="9C0887F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36800EB4"/>
    <w:multiLevelType w:val="hybridMultilevel"/>
    <w:tmpl w:val="4CFCED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E766BA"/>
    <w:multiLevelType w:val="hybridMultilevel"/>
    <w:tmpl w:val="8B20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BA2B3E"/>
    <w:multiLevelType w:val="hybridMultilevel"/>
    <w:tmpl w:val="6E58A97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3F200108"/>
    <w:multiLevelType w:val="hybridMultilevel"/>
    <w:tmpl w:val="76E6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36C0E"/>
    <w:multiLevelType w:val="hybridMultilevel"/>
    <w:tmpl w:val="315C045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429A4BE7"/>
    <w:multiLevelType w:val="hybridMultilevel"/>
    <w:tmpl w:val="3656D6C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43236A1F"/>
    <w:multiLevelType w:val="hybridMultilevel"/>
    <w:tmpl w:val="714C120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44A64F95"/>
    <w:multiLevelType w:val="hybridMultilevel"/>
    <w:tmpl w:val="1FFA2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D044C5"/>
    <w:multiLevelType w:val="hybridMultilevel"/>
    <w:tmpl w:val="D4B01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786F77"/>
    <w:multiLevelType w:val="hybridMultilevel"/>
    <w:tmpl w:val="267CB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E56C24"/>
    <w:multiLevelType w:val="hybridMultilevel"/>
    <w:tmpl w:val="D7B60454"/>
    <w:lvl w:ilvl="0" w:tplc="81D43000">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031DD8"/>
    <w:multiLevelType w:val="hybridMultilevel"/>
    <w:tmpl w:val="21704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BA6C9E"/>
    <w:multiLevelType w:val="hybridMultilevel"/>
    <w:tmpl w:val="4CA6F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BD95D6A"/>
    <w:multiLevelType w:val="hybridMultilevel"/>
    <w:tmpl w:val="F35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7C0899"/>
    <w:multiLevelType w:val="multilevel"/>
    <w:tmpl w:val="DCF891AC"/>
    <w:styleLink w:val="Style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8085A0E"/>
    <w:multiLevelType w:val="hybridMultilevel"/>
    <w:tmpl w:val="0776A04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6C4D1FFB"/>
    <w:multiLevelType w:val="hybridMultilevel"/>
    <w:tmpl w:val="138065F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9" w15:restartNumberingAfterBreak="0">
    <w:nsid w:val="6CF3708B"/>
    <w:multiLevelType w:val="hybridMultilevel"/>
    <w:tmpl w:val="885E1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7B3B3F"/>
    <w:multiLevelType w:val="hybridMultilevel"/>
    <w:tmpl w:val="4BB60B08"/>
    <w:lvl w:ilvl="0" w:tplc="A5902B6A">
      <w:start w:val="1"/>
      <w:numFmt w:val="decimal"/>
      <w:pStyle w:val="Heading2"/>
      <w:lvlText w:val="%1"/>
      <w:lvlJc w:val="left"/>
      <w:pPr>
        <w:ind w:left="720" w:hanging="360"/>
      </w:pPr>
      <w:rPr>
        <w:rFonts w:ascii="Arial Black" w:hAnsi="Arial Black" w:hint="default"/>
        <w:b/>
        <w:color w:val="3E8799" w:themeColor="accent4"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5861A9"/>
    <w:multiLevelType w:val="hybridMultilevel"/>
    <w:tmpl w:val="D6EE136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15:restartNumberingAfterBreak="0">
    <w:nsid w:val="703B4540"/>
    <w:multiLevelType w:val="hybridMultilevel"/>
    <w:tmpl w:val="CE32FEC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3" w15:restartNumberingAfterBreak="0">
    <w:nsid w:val="79FB6DE9"/>
    <w:multiLevelType w:val="hybridMultilevel"/>
    <w:tmpl w:val="A4109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9D4AA4"/>
    <w:multiLevelType w:val="multilevel"/>
    <w:tmpl w:val="56FE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EA2606A"/>
    <w:multiLevelType w:val="hybridMultilevel"/>
    <w:tmpl w:val="B6709A5E"/>
    <w:lvl w:ilvl="0" w:tplc="6CBE28E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2465F2"/>
    <w:multiLevelType w:val="hybridMultilevel"/>
    <w:tmpl w:val="FBE2B8C4"/>
    <w:lvl w:ilvl="0" w:tplc="6E4E383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6"/>
  </w:num>
  <w:num w:numId="3">
    <w:abstractNumId w:val="9"/>
  </w:num>
  <w:num w:numId="4">
    <w:abstractNumId w:val="1"/>
  </w:num>
  <w:num w:numId="5">
    <w:abstractNumId w:val="0"/>
  </w:num>
  <w:num w:numId="6">
    <w:abstractNumId w:val="2"/>
  </w:num>
  <w:num w:numId="7">
    <w:abstractNumId w:val="36"/>
  </w:num>
  <w:num w:numId="8">
    <w:abstractNumId w:val="35"/>
  </w:num>
  <w:num w:numId="9">
    <w:abstractNumId w:val="15"/>
  </w:num>
  <w:num w:numId="10">
    <w:abstractNumId w:val="23"/>
  </w:num>
  <w:num w:numId="11">
    <w:abstractNumId w:val="29"/>
  </w:num>
  <w:num w:numId="12">
    <w:abstractNumId w:val="12"/>
  </w:num>
  <w:num w:numId="13">
    <w:abstractNumId w:val="5"/>
  </w:num>
  <w:num w:numId="14">
    <w:abstractNumId w:val="20"/>
  </w:num>
  <w:num w:numId="15">
    <w:abstractNumId w:val="33"/>
  </w:num>
  <w:num w:numId="16">
    <w:abstractNumId w:val="25"/>
  </w:num>
  <w:num w:numId="17">
    <w:abstractNumId w:val="10"/>
  </w:num>
  <w:num w:numId="18">
    <w:abstractNumId w:val="19"/>
  </w:num>
  <w:num w:numId="19">
    <w:abstractNumId w:val="28"/>
  </w:num>
  <w:num w:numId="20">
    <w:abstractNumId w:val="32"/>
  </w:num>
  <w:num w:numId="21">
    <w:abstractNumId w:val="26"/>
  </w:num>
  <w:num w:numId="22">
    <w:abstractNumId w:val="8"/>
  </w:num>
  <w:num w:numId="23">
    <w:abstractNumId w:val="7"/>
  </w:num>
  <w:num w:numId="24">
    <w:abstractNumId w:val="30"/>
  </w:num>
  <w:num w:numId="25">
    <w:abstractNumId w:val="3"/>
  </w:num>
  <w:num w:numId="26">
    <w:abstractNumId w:val="18"/>
  </w:num>
  <w:num w:numId="27">
    <w:abstractNumId w:val="11"/>
  </w:num>
  <w:num w:numId="28">
    <w:abstractNumId w:val="14"/>
  </w:num>
  <w:num w:numId="29">
    <w:abstractNumId w:val="31"/>
  </w:num>
  <w:num w:numId="30">
    <w:abstractNumId w:val="17"/>
  </w:num>
  <w:num w:numId="31">
    <w:abstractNumId w:val="27"/>
  </w:num>
  <w:num w:numId="32">
    <w:abstractNumId w:val="16"/>
  </w:num>
  <w:num w:numId="33">
    <w:abstractNumId w:val="4"/>
  </w:num>
  <w:num w:numId="34">
    <w:abstractNumId w:val="21"/>
  </w:num>
  <w:num w:numId="35">
    <w:abstractNumId w:val="13"/>
  </w:num>
  <w:num w:numId="36">
    <w:abstractNumId w:val="24"/>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8AE"/>
    <w:rsid w:val="00005732"/>
    <w:rsid w:val="0001225A"/>
    <w:rsid w:val="00014204"/>
    <w:rsid w:val="000154E5"/>
    <w:rsid w:val="000221EE"/>
    <w:rsid w:val="00032EF5"/>
    <w:rsid w:val="00037F4F"/>
    <w:rsid w:val="00041675"/>
    <w:rsid w:val="00044AD3"/>
    <w:rsid w:val="000518EE"/>
    <w:rsid w:val="0006238D"/>
    <w:rsid w:val="00062F13"/>
    <w:rsid w:val="000668D8"/>
    <w:rsid w:val="00066D53"/>
    <w:rsid w:val="00072EB5"/>
    <w:rsid w:val="00083A30"/>
    <w:rsid w:val="000929E6"/>
    <w:rsid w:val="000B2A02"/>
    <w:rsid w:val="000B2DA7"/>
    <w:rsid w:val="000C462E"/>
    <w:rsid w:val="000F53EE"/>
    <w:rsid w:val="000F59F3"/>
    <w:rsid w:val="001029D9"/>
    <w:rsid w:val="00105934"/>
    <w:rsid w:val="0011016B"/>
    <w:rsid w:val="001179ED"/>
    <w:rsid w:val="00121172"/>
    <w:rsid w:val="0012276C"/>
    <w:rsid w:val="00125316"/>
    <w:rsid w:val="00126F49"/>
    <w:rsid w:val="001503BD"/>
    <w:rsid w:val="00162E67"/>
    <w:rsid w:val="00164089"/>
    <w:rsid w:val="001727D6"/>
    <w:rsid w:val="001A08AE"/>
    <w:rsid w:val="001A14F7"/>
    <w:rsid w:val="001A6F61"/>
    <w:rsid w:val="001B2E28"/>
    <w:rsid w:val="001C1C37"/>
    <w:rsid w:val="001D3D71"/>
    <w:rsid w:val="001E026E"/>
    <w:rsid w:val="001E3FA2"/>
    <w:rsid w:val="001F0364"/>
    <w:rsid w:val="001F39C6"/>
    <w:rsid w:val="001F5D04"/>
    <w:rsid w:val="00200C32"/>
    <w:rsid w:val="0020660C"/>
    <w:rsid w:val="00213545"/>
    <w:rsid w:val="00223A51"/>
    <w:rsid w:val="00226A7E"/>
    <w:rsid w:val="00250745"/>
    <w:rsid w:val="00254637"/>
    <w:rsid w:val="00262AE9"/>
    <w:rsid w:val="00264284"/>
    <w:rsid w:val="00271A31"/>
    <w:rsid w:val="00272438"/>
    <w:rsid w:val="00287F34"/>
    <w:rsid w:val="002957B7"/>
    <w:rsid w:val="002A0550"/>
    <w:rsid w:val="002A3F5D"/>
    <w:rsid w:val="002A70F7"/>
    <w:rsid w:val="002B137D"/>
    <w:rsid w:val="002B4808"/>
    <w:rsid w:val="002B69F0"/>
    <w:rsid w:val="002C17ED"/>
    <w:rsid w:val="002C3D19"/>
    <w:rsid w:val="002D4A94"/>
    <w:rsid w:val="002D4C25"/>
    <w:rsid w:val="002E10CF"/>
    <w:rsid w:val="002E4717"/>
    <w:rsid w:val="002E6F08"/>
    <w:rsid w:val="002F3CA3"/>
    <w:rsid w:val="003044C8"/>
    <w:rsid w:val="00314D57"/>
    <w:rsid w:val="0031604A"/>
    <w:rsid w:val="00320CFF"/>
    <w:rsid w:val="00330A73"/>
    <w:rsid w:val="0033447C"/>
    <w:rsid w:val="00341C22"/>
    <w:rsid w:val="0034308A"/>
    <w:rsid w:val="003551A3"/>
    <w:rsid w:val="003625E3"/>
    <w:rsid w:val="0036714C"/>
    <w:rsid w:val="00373911"/>
    <w:rsid w:val="003B647D"/>
    <w:rsid w:val="003C0B47"/>
    <w:rsid w:val="003C6878"/>
    <w:rsid w:val="003C6AE1"/>
    <w:rsid w:val="003D3826"/>
    <w:rsid w:val="003E00B3"/>
    <w:rsid w:val="003E00E7"/>
    <w:rsid w:val="003F3D8F"/>
    <w:rsid w:val="00402376"/>
    <w:rsid w:val="0041158D"/>
    <w:rsid w:val="00411F35"/>
    <w:rsid w:val="004120F7"/>
    <w:rsid w:val="00416DBA"/>
    <w:rsid w:val="004214A6"/>
    <w:rsid w:val="00440F16"/>
    <w:rsid w:val="004441FA"/>
    <w:rsid w:val="00453449"/>
    <w:rsid w:val="00454939"/>
    <w:rsid w:val="00454CEF"/>
    <w:rsid w:val="004618A9"/>
    <w:rsid w:val="00467CC1"/>
    <w:rsid w:val="00472FC4"/>
    <w:rsid w:val="0048544B"/>
    <w:rsid w:val="0049094F"/>
    <w:rsid w:val="0049185D"/>
    <w:rsid w:val="00493283"/>
    <w:rsid w:val="004950EE"/>
    <w:rsid w:val="0049577E"/>
    <w:rsid w:val="004967AF"/>
    <w:rsid w:val="004A1819"/>
    <w:rsid w:val="004A2F62"/>
    <w:rsid w:val="004A34E3"/>
    <w:rsid w:val="004A73F8"/>
    <w:rsid w:val="004C0268"/>
    <w:rsid w:val="00506C0F"/>
    <w:rsid w:val="005079AE"/>
    <w:rsid w:val="00511DB3"/>
    <w:rsid w:val="00527B3F"/>
    <w:rsid w:val="005314C6"/>
    <w:rsid w:val="00542C15"/>
    <w:rsid w:val="005431BE"/>
    <w:rsid w:val="00544D1F"/>
    <w:rsid w:val="0054516F"/>
    <w:rsid w:val="00546DAB"/>
    <w:rsid w:val="005635D3"/>
    <w:rsid w:val="00567CCE"/>
    <w:rsid w:val="005723A0"/>
    <w:rsid w:val="005809DA"/>
    <w:rsid w:val="00592262"/>
    <w:rsid w:val="005A0881"/>
    <w:rsid w:val="005A10A7"/>
    <w:rsid w:val="005A7998"/>
    <w:rsid w:val="005C01C7"/>
    <w:rsid w:val="005C1CBC"/>
    <w:rsid w:val="005C3316"/>
    <w:rsid w:val="005C38B2"/>
    <w:rsid w:val="005D3563"/>
    <w:rsid w:val="005D7827"/>
    <w:rsid w:val="005E3726"/>
    <w:rsid w:val="005F14B5"/>
    <w:rsid w:val="005F5EAD"/>
    <w:rsid w:val="006000F7"/>
    <w:rsid w:val="006118C4"/>
    <w:rsid w:val="00613002"/>
    <w:rsid w:val="006236EF"/>
    <w:rsid w:val="006371F5"/>
    <w:rsid w:val="00650E55"/>
    <w:rsid w:val="00654986"/>
    <w:rsid w:val="00662D0F"/>
    <w:rsid w:val="00672378"/>
    <w:rsid w:val="00684F44"/>
    <w:rsid w:val="006874B4"/>
    <w:rsid w:val="006979BA"/>
    <w:rsid w:val="006B5869"/>
    <w:rsid w:val="006C4790"/>
    <w:rsid w:val="006D3FC1"/>
    <w:rsid w:val="006E32EC"/>
    <w:rsid w:val="006F40D0"/>
    <w:rsid w:val="006F5AB9"/>
    <w:rsid w:val="006F5EC0"/>
    <w:rsid w:val="00711609"/>
    <w:rsid w:val="0071628A"/>
    <w:rsid w:val="00720027"/>
    <w:rsid w:val="00723D69"/>
    <w:rsid w:val="00733C58"/>
    <w:rsid w:val="00744A71"/>
    <w:rsid w:val="00760EF4"/>
    <w:rsid w:val="00763DC8"/>
    <w:rsid w:val="00764FED"/>
    <w:rsid w:val="00771AA8"/>
    <w:rsid w:val="00772B29"/>
    <w:rsid w:val="00772C29"/>
    <w:rsid w:val="00772F9E"/>
    <w:rsid w:val="00790676"/>
    <w:rsid w:val="00790E63"/>
    <w:rsid w:val="00796EAE"/>
    <w:rsid w:val="007A7423"/>
    <w:rsid w:val="007C2BC6"/>
    <w:rsid w:val="007D3787"/>
    <w:rsid w:val="007E006C"/>
    <w:rsid w:val="007E68BA"/>
    <w:rsid w:val="007E6D0E"/>
    <w:rsid w:val="007F0D31"/>
    <w:rsid w:val="00800AE2"/>
    <w:rsid w:val="008011AC"/>
    <w:rsid w:val="00810BF4"/>
    <w:rsid w:val="00814189"/>
    <w:rsid w:val="00846F77"/>
    <w:rsid w:val="00854BC8"/>
    <w:rsid w:val="00855C70"/>
    <w:rsid w:val="0086482F"/>
    <w:rsid w:val="00893053"/>
    <w:rsid w:val="00894AB6"/>
    <w:rsid w:val="008A4B11"/>
    <w:rsid w:val="008A59DE"/>
    <w:rsid w:val="008D2CD8"/>
    <w:rsid w:val="008E11C0"/>
    <w:rsid w:val="008F7536"/>
    <w:rsid w:val="009024A5"/>
    <w:rsid w:val="00910FB7"/>
    <w:rsid w:val="009124FD"/>
    <w:rsid w:val="00914850"/>
    <w:rsid w:val="009214C5"/>
    <w:rsid w:val="0092623B"/>
    <w:rsid w:val="00926F35"/>
    <w:rsid w:val="00933B91"/>
    <w:rsid w:val="00940032"/>
    <w:rsid w:val="0094024B"/>
    <w:rsid w:val="0095038D"/>
    <w:rsid w:val="00951A34"/>
    <w:rsid w:val="00963DF9"/>
    <w:rsid w:val="00967099"/>
    <w:rsid w:val="00970C55"/>
    <w:rsid w:val="009729B0"/>
    <w:rsid w:val="00981027"/>
    <w:rsid w:val="00996320"/>
    <w:rsid w:val="009A217A"/>
    <w:rsid w:val="009A2C1C"/>
    <w:rsid w:val="009A5676"/>
    <w:rsid w:val="009A7A75"/>
    <w:rsid w:val="009B3E99"/>
    <w:rsid w:val="009B4F01"/>
    <w:rsid w:val="009D4089"/>
    <w:rsid w:val="009D53B7"/>
    <w:rsid w:val="009D7B3B"/>
    <w:rsid w:val="009E454E"/>
    <w:rsid w:val="009E6E6B"/>
    <w:rsid w:val="00A233DE"/>
    <w:rsid w:val="00A23535"/>
    <w:rsid w:val="00A2440F"/>
    <w:rsid w:val="00A46240"/>
    <w:rsid w:val="00A77FE6"/>
    <w:rsid w:val="00A83834"/>
    <w:rsid w:val="00A853FD"/>
    <w:rsid w:val="00AC58F5"/>
    <w:rsid w:val="00AD44D9"/>
    <w:rsid w:val="00AD4D40"/>
    <w:rsid w:val="00AD5CE9"/>
    <w:rsid w:val="00B10215"/>
    <w:rsid w:val="00B1461A"/>
    <w:rsid w:val="00B23F65"/>
    <w:rsid w:val="00B35EA0"/>
    <w:rsid w:val="00B43DAE"/>
    <w:rsid w:val="00B56046"/>
    <w:rsid w:val="00B56285"/>
    <w:rsid w:val="00B64844"/>
    <w:rsid w:val="00B7435E"/>
    <w:rsid w:val="00B77AC2"/>
    <w:rsid w:val="00B87F35"/>
    <w:rsid w:val="00BA18F8"/>
    <w:rsid w:val="00BA32D5"/>
    <w:rsid w:val="00BA4A3C"/>
    <w:rsid w:val="00BB3AEB"/>
    <w:rsid w:val="00BB44A0"/>
    <w:rsid w:val="00BC0DE4"/>
    <w:rsid w:val="00BC6E32"/>
    <w:rsid w:val="00BD2304"/>
    <w:rsid w:val="00BE1BBF"/>
    <w:rsid w:val="00BF7CDD"/>
    <w:rsid w:val="00C144E1"/>
    <w:rsid w:val="00C2344E"/>
    <w:rsid w:val="00C47D05"/>
    <w:rsid w:val="00C51225"/>
    <w:rsid w:val="00C57C98"/>
    <w:rsid w:val="00C62225"/>
    <w:rsid w:val="00C65FEF"/>
    <w:rsid w:val="00C70647"/>
    <w:rsid w:val="00C74A2B"/>
    <w:rsid w:val="00C775C3"/>
    <w:rsid w:val="00C815C2"/>
    <w:rsid w:val="00C84C84"/>
    <w:rsid w:val="00C922F5"/>
    <w:rsid w:val="00C952BD"/>
    <w:rsid w:val="00C978DD"/>
    <w:rsid w:val="00CA23ED"/>
    <w:rsid w:val="00CB595C"/>
    <w:rsid w:val="00CE77C7"/>
    <w:rsid w:val="00D039D0"/>
    <w:rsid w:val="00D056FF"/>
    <w:rsid w:val="00D14EA3"/>
    <w:rsid w:val="00D176FE"/>
    <w:rsid w:val="00D35526"/>
    <w:rsid w:val="00D379C7"/>
    <w:rsid w:val="00D41E7B"/>
    <w:rsid w:val="00D474BE"/>
    <w:rsid w:val="00D500B6"/>
    <w:rsid w:val="00D51254"/>
    <w:rsid w:val="00D63369"/>
    <w:rsid w:val="00D650AE"/>
    <w:rsid w:val="00D74A6F"/>
    <w:rsid w:val="00D84DCC"/>
    <w:rsid w:val="00D97457"/>
    <w:rsid w:val="00DB0F8D"/>
    <w:rsid w:val="00DB148D"/>
    <w:rsid w:val="00DC0063"/>
    <w:rsid w:val="00DD4EFC"/>
    <w:rsid w:val="00DD7BDE"/>
    <w:rsid w:val="00DE50BB"/>
    <w:rsid w:val="00DE54ED"/>
    <w:rsid w:val="00DF1D7C"/>
    <w:rsid w:val="00E130DE"/>
    <w:rsid w:val="00E150B4"/>
    <w:rsid w:val="00E325D6"/>
    <w:rsid w:val="00E423FA"/>
    <w:rsid w:val="00E45791"/>
    <w:rsid w:val="00E5241D"/>
    <w:rsid w:val="00E542C1"/>
    <w:rsid w:val="00E63217"/>
    <w:rsid w:val="00E72903"/>
    <w:rsid w:val="00E85322"/>
    <w:rsid w:val="00E859A6"/>
    <w:rsid w:val="00EA364A"/>
    <w:rsid w:val="00EA3D7E"/>
    <w:rsid w:val="00EA7950"/>
    <w:rsid w:val="00EB016C"/>
    <w:rsid w:val="00EB3FBD"/>
    <w:rsid w:val="00ED102F"/>
    <w:rsid w:val="00EE0AA2"/>
    <w:rsid w:val="00EF073A"/>
    <w:rsid w:val="00F00CE2"/>
    <w:rsid w:val="00F1588E"/>
    <w:rsid w:val="00F2799F"/>
    <w:rsid w:val="00F31CF5"/>
    <w:rsid w:val="00F31F18"/>
    <w:rsid w:val="00F32074"/>
    <w:rsid w:val="00F41D4A"/>
    <w:rsid w:val="00F43B42"/>
    <w:rsid w:val="00F478B5"/>
    <w:rsid w:val="00F72394"/>
    <w:rsid w:val="00F8362A"/>
    <w:rsid w:val="00F839A8"/>
    <w:rsid w:val="00F83A1E"/>
    <w:rsid w:val="00F9140C"/>
    <w:rsid w:val="00FA10DC"/>
    <w:rsid w:val="00FB17B1"/>
    <w:rsid w:val="00FB38BA"/>
    <w:rsid w:val="00FB4101"/>
    <w:rsid w:val="00FB5550"/>
    <w:rsid w:val="00FB5F3B"/>
    <w:rsid w:val="00FB73A3"/>
    <w:rsid w:val="00FE2BD6"/>
    <w:rsid w:val="00FE5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E7D36B"/>
  <w15:docId w15:val="{57357A0F-3291-4614-895B-A831F2C47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83834"/>
    <w:pPr>
      <w:spacing w:after="0" w:line="240" w:lineRule="auto"/>
    </w:pPr>
    <w:rPr>
      <w:rFonts w:ascii="Times" w:hAnsi="Times"/>
      <w:color w:val="auto"/>
      <w:sz w:val="24"/>
      <w:szCs w:val="24"/>
      <w:lang w:eastAsia="zh-CN"/>
    </w:rPr>
  </w:style>
  <w:style w:type="paragraph" w:styleId="Heading1">
    <w:name w:val="heading 1"/>
    <w:basedOn w:val="Normal"/>
    <w:next w:val="Normal"/>
    <w:link w:val="Heading1Char"/>
    <w:uiPriority w:val="2"/>
    <w:qFormat/>
    <w:rsid w:val="00AD44D9"/>
    <w:pPr>
      <w:outlineLvl w:val="0"/>
    </w:pPr>
    <w:rPr>
      <w:rFonts w:ascii="Arial" w:hAnsi="Arial" w:cs="Arial"/>
      <w:b/>
      <w:color w:val="2F528F"/>
      <w:spacing w:val="20"/>
      <w:sz w:val="26"/>
      <w:szCs w:val="26"/>
    </w:rPr>
  </w:style>
  <w:style w:type="paragraph" w:styleId="Heading2">
    <w:name w:val="heading 2"/>
    <w:basedOn w:val="ListParagraph"/>
    <w:next w:val="Normal"/>
    <w:link w:val="Heading2Char"/>
    <w:uiPriority w:val="2"/>
    <w:unhideWhenUsed/>
    <w:qFormat/>
    <w:rsid w:val="007A7423"/>
    <w:pPr>
      <w:numPr>
        <w:numId w:val="24"/>
      </w:numPr>
      <w:spacing w:line="360" w:lineRule="auto"/>
      <w:ind w:left="360"/>
      <w:outlineLvl w:val="1"/>
    </w:pPr>
    <w:rPr>
      <w:rFonts w:ascii="Arial" w:eastAsia="MS Mincho" w:hAnsi="Arial" w:cs="Arial"/>
      <w:color w:val="595959" w:themeColor="text1" w:themeTint="A6"/>
      <w:spacing w:val="20"/>
      <w:lang w:eastAsia="en-US"/>
    </w:rPr>
  </w:style>
  <w:style w:type="paragraph" w:styleId="Heading3">
    <w:name w:val="heading 3"/>
    <w:basedOn w:val="Normal"/>
    <w:next w:val="Normal"/>
    <w:link w:val="Heading3Char"/>
    <w:uiPriority w:val="2"/>
    <w:unhideWhenUsed/>
    <w:qFormat/>
    <w:pPr>
      <w:keepNext/>
      <w:keepLines/>
      <w:spacing w:before="360" w:after="120" w:line="300" w:lineRule="auto"/>
      <w:outlineLvl w:val="2"/>
    </w:pPr>
    <w:rPr>
      <w:rFonts w:ascii="Calibri" w:hAnsi="Calibri"/>
      <w:b/>
      <w:bCs/>
      <w:i/>
      <w:iCs/>
      <w:color w:val="4C483D" w:themeColor="text2"/>
      <w:lang w:eastAsia="ja-JP"/>
    </w:rPr>
  </w:style>
  <w:style w:type="paragraph" w:styleId="Heading4">
    <w:name w:val="heading 4"/>
    <w:basedOn w:val="Normal"/>
    <w:next w:val="Normal"/>
    <w:link w:val="Heading4Char"/>
    <w:uiPriority w:val="2"/>
    <w:unhideWhenUsed/>
    <w:qFormat/>
    <w:rsid w:val="00790E63"/>
    <w:pPr>
      <w:spacing w:after="120"/>
      <w:outlineLvl w:val="3"/>
    </w:pPr>
    <w:rPr>
      <w:rFonts w:ascii="Calibri" w:hAnsi="Calibri"/>
      <w:b/>
      <w:color w:val="4C483D" w:themeColor="text2"/>
      <w:sz w:val="20"/>
      <w:szCs w:val="20"/>
      <w:lang w:eastAsia="ja-JP"/>
    </w:rPr>
  </w:style>
  <w:style w:type="paragraph" w:styleId="Heading5">
    <w:name w:val="heading 5"/>
    <w:basedOn w:val="Normal"/>
    <w:next w:val="Normal"/>
    <w:link w:val="Heading5Char"/>
    <w:uiPriority w:val="99"/>
    <w:unhideWhenUsed/>
    <w:qFormat/>
    <w:pPr>
      <w:keepNext/>
      <w:keepLines/>
      <w:spacing w:before="40" w:line="300" w:lineRule="auto"/>
      <w:outlineLvl w:val="4"/>
    </w:pPr>
    <w:rPr>
      <w:rFonts w:asciiTheme="majorHAnsi" w:eastAsiaTheme="majorEastAsia" w:hAnsiTheme="majorHAnsi" w:cstheme="majorBidi"/>
      <w:color w:val="F24F4F" w:themeColor="accent1"/>
      <w:sz w:val="20"/>
      <w:szCs w:val="20"/>
      <w:lang w:eastAsia="ja-JP"/>
    </w:rPr>
  </w:style>
  <w:style w:type="paragraph" w:styleId="Heading6">
    <w:name w:val="heading 6"/>
    <w:basedOn w:val="Normal"/>
    <w:next w:val="Normal"/>
    <w:link w:val="Heading6Char"/>
    <w:uiPriority w:val="99"/>
    <w:semiHidden/>
    <w:unhideWhenUsed/>
    <w:qFormat/>
    <w:pPr>
      <w:keepNext/>
      <w:keepLines/>
      <w:spacing w:before="40" w:line="300" w:lineRule="auto"/>
      <w:outlineLvl w:val="5"/>
    </w:pPr>
    <w:rPr>
      <w:rFonts w:asciiTheme="majorHAnsi" w:eastAsiaTheme="majorEastAsia" w:hAnsiTheme="majorHAnsi" w:cstheme="majorBidi"/>
      <w:color w:val="F24F4F" w:themeColor="accent1"/>
      <w:sz w:val="20"/>
      <w:szCs w:val="20"/>
      <w:lang w:eastAsia="ja-JP"/>
    </w:rPr>
  </w:style>
  <w:style w:type="paragraph" w:styleId="Heading9">
    <w:name w:val="heading 9"/>
    <w:basedOn w:val="Normal"/>
    <w:next w:val="Normal"/>
    <w:link w:val="Heading9Char"/>
    <w:uiPriority w:val="99"/>
    <w:semiHidden/>
    <w:unhideWhenUsed/>
    <w:qFormat/>
    <w:rsid w:val="00D3552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unhideWhenUsed/>
    <w:pPr>
      <w:spacing w:before="600" w:after="240" w:line="300" w:lineRule="auto"/>
    </w:pPr>
    <w:rPr>
      <w:rFonts w:ascii="Calibri" w:hAnsi="Calibri"/>
      <w:color w:val="4C483D" w:themeColor="text2"/>
      <w:sz w:val="20"/>
      <w:szCs w:val="20"/>
      <w:lang w:eastAsia="ja-JP"/>
    </w:rPr>
  </w:style>
  <w:style w:type="character" w:styleId="PlaceholderText">
    <w:name w:val="Placeholder Text"/>
    <w:basedOn w:val="DefaultParagraphFont"/>
    <w:uiPriority w:val="99"/>
    <w:semiHidden/>
    <w:rPr>
      <w:color w:val="F24F4F" w:themeColor="accent1"/>
    </w:rPr>
  </w:style>
  <w:style w:type="paragraph" w:styleId="Title">
    <w:name w:val="Title"/>
    <w:basedOn w:val="Normal"/>
    <w:next w:val="Normal"/>
    <w:link w:val="TitleChar"/>
    <w:uiPriority w:val="3"/>
    <w:qFormat/>
    <w:rsid w:val="00BA18F8"/>
    <w:pPr>
      <w:spacing w:after="600"/>
      <w:contextualSpacing/>
    </w:pPr>
    <w:rPr>
      <w:rFonts w:asciiTheme="majorHAnsi" w:eastAsiaTheme="majorEastAsia" w:hAnsiTheme="majorHAnsi" w:cstheme="majorBidi"/>
      <w:color w:val="61ADBF" w:themeColor="accent4"/>
      <w:kern w:val="28"/>
      <w:sz w:val="96"/>
      <w:szCs w:val="96"/>
      <w:lang w:eastAsia="ja-JP"/>
    </w:rPr>
  </w:style>
  <w:style w:type="character" w:customStyle="1" w:styleId="TitleChar">
    <w:name w:val="Title Char"/>
    <w:basedOn w:val="DefaultParagraphFont"/>
    <w:link w:val="Title"/>
    <w:uiPriority w:val="3"/>
    <w:rsid w:val="00BA18F8"/>
    <w:rPr>
      <w:rFonts w:asciiTheme="majorHAnsi" w:eastAsiaTheme="majorEastAsia" w:hAnsiTheme="majorHAnsi" w:cstheme="majorBidi"/>
      <w:color w:val="61ADBF" w:themeColor="accent4"/>
      <w:kern w:val="28"/>
      <w:sz w:val="96"/>
      <w:szCs w:val="96"/>
    </w:rPr>
  </w:style>
  <w:style w:type="paragraph" w:styleId="Subtitle">
    <w:name w:val="Subtitle"/>
    <w:basedOn w:val="Normal"/>
    <w:next w:val="Normal"/>
    <w:link w:val="SubtitleChar"/>
    <w:uiPriority w:val="4"/>
    <w:qFormat/>
    <w:pPr>
      <w:numPr>
        <w:ilvl w:val="1"/>
      </w:numPr>
    </w:pPr>
    <w:rPr>
      <w:rFonts w:ascii="Calibri" w:hAnsi="Calibri"/>
      <w:color w:val="4C483D" w:themeColor="text2"/>
      <w:sz w:val="32"/>
      <w:szCs w:val="32"/>
      <w:lang w:eastAsia="ja-JP"/>
    </w:rPr>
  </w:style>
  <w:style w:type="character" w:customStyle="1" w:styleId="SubtitleChar">
    <w:name w:val="Subtitle Char"/>
    <w:basedOn w:val="DefaultParagraphFont"/>
    <w:link w:val="Subtitle"/>
    <w:uiPriority w:val="4"/>
    <w:rPr>
      <w:sz w:val="32"/>
      <w:szCs w:val="32"/>
    </w:rPr>
  </w:style>
  <w:style w:type="paragraph" w:styleId="NoSpacing">
    <w:name w:val="No Spacing"/>
    <w:link w:val="NoSpacingChar"/>
    <w:uiPriority w:val="1"/>
    <w:qFormat/>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5"/>
    <w:qFormat/>
    <w:rPr>
      <w:color w:val="FFFFFF" w:themeColor="background1"/>
      <w:sz w:val="22"/>
      <w:szCs w:val="22"/>
    </w:rPr>
  </w:style>
  <w:style w:type="character" w:customStyle="1" w:styleId="Heading5Char">
    <w:name w:val="Heading 5 Char"/>
    <w:basedOn w:val="DefaultParagraphFont"/>
    <w:link w:val="Heading5"/>
    <w:uiPriority w:val="99"/>
    <w:rPr>
      <w:rFonts w:asciiTheme="majorHAnsi" w:eastAsiaTheme="majorEastAsia" w:hAnsiTheme="majorHAnsi" w:cstheme="majorBidi"/>
      <w:color w:val="F24F4F" w:themeColor="accent1"/>
    </w:rPr>
  </w:style>
  <w:style w:type="paragraph" w:styleId="Header">
    <w:name w:val="header"/>
    <w:basedOn w:val="Normal"/>
    <w:link w:val="HeaderChar"/>
    <w:uiPriority w:val="99"/>
    <w:unhideWhenUsed/>
    <w:pPr>
      <w:tabs>
        <w:tab w:val="center" w:pos="4680"/>
        <w:tab w:val="right" w:pos="9360"/>
      </w:tabs>
    </w:pPr>
    <w:rPr>
      <w:rFonts w:ascii="Calibri" w:hAnsi="Calibri"/>
      <w:color w:val="4C483D" w:themeColor="text2"/>
      <w:sz w:val="20"/>
      <w:szCs w:val="20"/>
      <w:lang w:eastAsia="ja-JP"/>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rPr>
      <w:rFonts w:asciiTheme="majorHAnsi" w:eastAsiaTheme="majorEastAsia" w:hAnsiTheme="majorHAnsi" w:cstheme="majorBidi"/>
      <w:caps/>
      <w:color w:val="F24F4F" w:themeColor="accent1"/>
      <w:sz w:val="16"/>
      <w:szCs w:val="16"/>
      <w:lang w:eastAsia="ja-JP"/>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2"/>
    <w:rsid w:val="00AD44D9"/>
    <w:rPr>
      <w:rFonts w:ascii="Arial" w:hAnsi="Arial" w:cs="Arial"/>
      <w:b/>
      <w:color w:val="2F528F"/>
      <w:spacing w:val="20"/>
      <w:sz w:val="26"/>
      <w:szCs w:val="26"/>
      <w:lang w:eastAsia="zh-CN"/>
    </w:rPr>
  </w:style>
  <w:style w:type="character" w:customStyle="1" w:styleId="Heading2Char">
    <w:name w:val="Heading 2 Char"/>
    <w:basedOn w:val="DefaultParagraphFont"/>
    <w:link w:val="Heading2"/>
    <w:uiPriority w:val="2"/>
    <w:rsid w:val="007A7423"/>
    <w:rPr>
      <w:rFonts w:ascii="Arial" w:eastAsia="MS Mincho" w:hAnsi="Arial" w:cs="Arial"/>
      <w:color w:val="595959" w:themeColor="text1" w:themeTint="A6"/>
      <w:spacing w:val="20"/>
      <w:lang w:eastAsia="en-US"/>
    </w:rPr>
  </w:style>
  <w:style w:type="paragraph" w:styleId="TOCHeading">
    <w:name w:val="TOC Heading"/>
    <w:basedOn w:val="Heading1"/>
    <w:next w:val="Normal"/>
    <w:uiPriority w:val="99"/>
    <w:unhideWhenUsed/>
    <w:qFormat/>
    <w:rsid w:val="00BA18F8"/>
    <w:pPr>
      <w:spacing w:after="400"/>
      <w:outlineLvl w:val="9"/>
    </w:pPr>
    <w:rPr>
      <w:sz w:val="72"/>
      <w:szCs w:val="72"/>
    </w:rPr>
  </w:style>
  <w:style w:type="paragraph" w:styleId="TOC1">
    <w:name w:val="toc 1"/>
    <w:basedOn w:val="Normal"/>
    <w:next w:val="Normal"/>
    <w:autoRedefine/>
    <w:uiPriority w:val="39"/>
    <w:unhideWhenUsed/>
    <w:qFormat/>
    <w:rsid w:val="002A3F5D"/>
    <w:pPr>
      <w:tabs>
        <w:tab w:val="right" w:leader="dot" w:pos="9350"/>
      </w:tabs>
      <w:spacing w:before="360"/>
    </w:pPr>
    <w:rPr>
      <w:rFonts w:ascii="Arial" w:hAnsi="Arial" w:cs="Arial"/>
      <w:b/>
      <w:bCs/>
      <w:sz w:val="18"/>
      <w:szCs w:val="18"/>
    </w:rPr>
  </w:style>
  <w:style w:type="character" w:customStyle="1" w:styleId="NoSpacingChar">
    <w:name w:val="No Spacing Char"/>
    <w:basedOn w:val="DefaultParagraphFont"/>
    <w:link w:val="NoSpacing"/>
    <w:uiPriority w:val="1"/>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2"/>
    <w:rPr>
      <w:b/>
      <w:bCs/>
      <w:i/>
      <w:iCs/>
      <w:sz w:val="24"/>
      <w:szCs w:val="24"/>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color w:val="4C483D" w:themeColor="text2"/>
      <w:sz w:val="16"/>
      <w:szCs w:val="16"/>
      <w:lang w:eastAsia="ja-JP"/>
    </w:rPr>
  </w:style>
  <w:style w:type="paragraph" w:customStyle="1" w:styleId="Icon">
    <w:name w:val="Icon"/>
    <w:basedOn w:val="Normal"/>
    <w:uiPriority w:val="99"/>
    <w:unhideWhenUsed/>
    <w:pPr>
      <w:spacing w:before="160" w:after="160"/>
      <w:jc w:val="center"/>
    </w:pPr>
    <w:rPr>
      <w:rFonts w:ascii="Calibri" w:hAnsi="Calibri"/>
      <w:color w:val="4C483D" w:themeColor="text2"/>
      <w:sz w:val="20"/>
      <w:szCs w:val="20"/>
      <w:lang w:eastAsia="ja-JP"/>
    </w:rPr>
  </w:style>
  <w:style w:type="character" w:customStyle="1" w:styleId="Heading4Char">
    <w:name w:val="Heading 4 Char"/>
    <w:basedOn w:val="DefaultParagraphFont"/>
    <w:link w:val="Heading4"/>
    <w:uiPriority w:val="2"/>
    <w:rsid w:val="00790E63"/>
    <w:rPr>
      <w:rFonts w:ascii="Calibri" w:hAnsi="Calibri"/>
      <w:b/>
    </w:rPr>
  </w:style>
  <w:style w:type="table" w:customStyle="1" w:styleId="ReportTable">
    <w:name w:val="Report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99"/>
    <w:unhideWhenUsed/>
    <w:pPr>
      <w:ind w:left="240"/>
    </w:pPr>
    <w:rPr>
      <w:rFonts w:asciiTheme="minorHAnsi" w:hAnsiTheme="minorHAnsi"/>
      <w:sz w:val="20"/>
      <w:szCs w:val="20"/>
    </w:rPr>
  </w:style>
  <w:style w:type="paragraph" w:styleId="TOC4">
    <w:name w:val="toc 4"/>
    <w:basedOn w:val="Normal"/>
    <w:next w:val="Normal"/>
    <w:autoRedefine/>
    <w:uiPriority w:val="99"/>
    <w:unhideWhenUsed/>
    <w:pPr>
      <w:ind w:left="480"/>
    </w:pPr>
    <w:rPr>
      <w:rFonts w:asciiTheme="minorHAnsi" w:hAnsiTheme="minorHAnsi"/>
      <w:sz w:val="20"/>
      <w:szCs w:val="20"/>
    </w:rPr>
  </w:style>
  <w:style w:type="paragraph" w:styleId="ListBullet">
    <w:name w:val="List Bullet"/>
    <w:basedOn w:val="Normal"/>
    <w:uiPriority w:val="2"/>
    <w:unhideWhenUsed/>
    <w:qFormat/>
    <w:pPr>
      <w:spacing w:after="240" w:line="300" w:lineRule="auto"/>
      <w:contextualSpacing/>
    </w:pPr>
    <w:rPr>
      <w:rFonts w:ascii="Calibri" w:hAnsi="Calibri"/>
      <w:color w:val="4C483D" w:themeColor="text2"/>
      <w:sz w:val="20"/>
      <w:szCs w:val="20"/>
      <w:lang w:eastAsia="ja-JP"/>
    </w:rPr>
  </w:style>
  <w:style w:type="paragraph" w:styleId="ListBullet2">
    <w:name w:val="List Bullet 2"/>
    <w:basedOn w:val="Normal"/>
    <w:uiPriority w:val="2"/>
    <w:unhideWhenUsed/>
    <w:qFormat/>
    <w:pPr>
      <w:numPr>
        <w:numId w:val="5"/>
      </w:numPr>
      <w:spacing w:after="240" w:line="300" w:lineRule="auto"/>
      <w:contextualSpacing/>
    </w:pPr>
    <w:rPr>
      <w:rFonts w:ascii="Calibri" w:hAnsi="Calibri"/>
      <w:color w:val="4C483D" w:themeColor="text2"/>
      <w:sz w:val="20"/>
      <w:szCs w:val="20"/>
      <w:lang w:eastAsia="ja-JP"/>
    </w:rPr>
  </w:style>
  <w:style w:type="character" w:styleId="Strong">
    <w:name w:val="Strong"/>
    <w:basedOn w:val="DefaultParagraphFont"/>
    <w:uiPriority w:val="6"/>
    <w:unhideWhenUsed/>
    <w:qFormat/>
    <w:rPr>
      <w:b w:val="0"/>
      <w:bCs w:val="0"/>
      <w:color w:val="F24F4F" w:themeColor="accent1"/>
    </w:rPr>
  </w:style>
  <w:style w:type="paragraph" w:customStyle="1" w:styleId="Checkbox">
    <w:name w:val="Checkbox"/>
    <w:basedOn w:val="Normal"/>
    <w:link w:val="CheckboxChar"/>
    <w:uiPriority w:val="3"/>
    <w:qFormat/>
    <w:pPr>
      <w:spacing w:after="80"/>
    </w:pPr>
    <w:rPr>
      <w:rFonts w:ascii="Calibri" w:hAnsi="Calibri"/>
      <w:color w:val="F24F4F" w:themeColor="accent1"/>
      <w:sz w:val="20"/>
      <w:szCs w:val="20"/>
      <w:lang w:eastAsia="ja-JP"/>
    </w:rPr>
  </w:style>
  <w:style w:type="table" w:customStyle="1" w:styleId="SurveyTable">
    <w:name w:val="Survey Table"/>
    <w:basedOn w:val="TableNormal"/>
    <w:uiPriority w:val="99"/>
    <w:pPr>
      <w:spacing w:after="80" w:line="240" w:lineRule="auto"/>
    </w:pPr>
    <w:tblPr>
      <w:tblBorders>
        <w:top w:val="single" w:sz="4" w:space="0" w:color="BCB8AC" w:themeColor="text2" w:themeTint="66"/>
      </w:tblBorders>
      <w:tblCellMar>
        <w:left w:w="0" w:type="dxa"/>
        <w:right w:w="144" w:type="dxa"/>
      </w:tblCellMar>
    </w:tblPr>
  </w:style>
  <w:style w:type="character" w:customStyle="1" w:styleId="Heading6Char">
    <w:name w:val="Heading 6 Char"/>
    <w:basedOn w:val="DefaultParagraphFont"/>
    <w:link w:val="Heading6"/>
    <w:uiPriority w:val="99"/>
    <w:semiHidden/>
    <w:rPr>
      <w:rFonts w:asciiTheme="majorHAnsi" w:eastAsiaTheme="majorEastAsia" w:hAnsiTheme="majorHAnsi" w:cstheme="majorBidi"/>
      <w:color w:val="F24F4F" w:themeColor="accent1"/>
    </w:rPr>
  </w:style>
  <w:style w:type="character" w:customStyle="1" w:styleId="CheckboxChar">
    <w:name w:val="Checkbox Char"/>
    <w:basedOn w:val="DefaultParagraphFont"/>
    <w:link w:val="Checkbox"/>
    <w:uiPriority w:val="3"/>
    <w:rPr>
      <w:color w:val="F24F4F" w:themeColor="accent1"/>
    </w:rPr>
  </w:style>
  <w:style w:type="paragraph" w:styleId="Closing">
    <w:name w:val="Closing"/>
    <w:basedOn w:val="Normal"/>
    <w:link w:val="ClosingChar"/>
    <w:uiPriority w:val="99"/>
    <w:unhideWhenUsed/>
    <w:qFormat/>
    <w:pPr>
      <w:spacing w:before="960" w:after="240" w:line="300" w:lineRule="auto"/>
    </w:pPr>
    <w:rPr>
      <w:rFonts w:ascii="Calibri" w:hAnsi="Calibri"/>
      <w:color w:val="4C483D" w:themeColor="text2"/>
      <w:sz w:val="20"/>
      <w:szCs w:val="20"/>
      <w:lang w:eastAsia="ja-JP"/>
    </w:rPr>
  </w:style>
  <w:style w:type="character" w:customStyle="1" w:styleId="ClosingChar">
    <w:name w:val="Closing Char"/>
    <w:basedOn w:val="DefaultParagraphFont"/>
    <w:link w:val="Closing"/>
    <w:uiPriority w:val="99"/>
  </w:style>
  <w:style w:type="paragraph" w:styleId="DocumentMap">
    <w:name w:val="Document Map"/>
    <w:basedOn w:val="Normal"/>
    <w:link w:val="DocumentMapChar"/>
    <w:uiPriority w:val="99"/>
    <w:semiHidden/>
    <w:unhideWhenUsed/>
    <w:rPr>
      <w:rFonts w:ascii="Segoe UI" w:hAnsi="Segoe UI" w:cs="Segoe UI"/>
      <w:color w:val="4C483D" w:themeColor="text2"/>
      <w:sz w:val="16"/>
      <w:szCs w:val="16"/>
      <w:lang w:eastAsia="ja-JP"/>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ListParagraph">
    <w:name w:val="List Paragraph"/>
    <w:basedOn w:val="Normal"/>
    <w:uiPriority w:val="34"/>
    <w:unhideWhenUsed/>
    <w:qFormat/>
    <w:rsid w:val="00B35EA0"/>
    <w:pPr>
      <w:spacing w:after="240" w:line="300" w:lineRule="auto"/>
      <w:ind w:left="720"/>
      <w:contextualSpacing/>
    </w:pPr>
    <w:rPr>
      <w:rFonts w:ascii="Calibri" w:hAnsi="Calibri"/>
      <w:color w:val="4C483D" w:themeColor="text2"/>
      <w:sz w:val="20"/>
      <w:szCs w:val="20"/>
      <w:lang w:eastAsia="ja-JP"/>
    </w:rPr>
  </w:style>
  <w:style w:type="character" w:styleId="CommentReference">
    <w:name w:val="annotation reference"/>
    <w:basedOn w:val="DefaultParagraphFont"/>
    <w:uiPriority w:val="99"/>
    <w:semiHidden/>
    <w:unhideWhenUsed/>
    <w:rsid w:val="00262AE9"/>
    <w:rPr>
      <w:sz w:val="16"/>
      <w:szCs w:val="16"/>
    </w:rPr>
  </w:style>
  <w:style w:type="paragraph" w:styleId="CommentText">
    <w:name w:val="annotation text"/>
    <w:basedOn w:val="Normal"/>
    <w:link w:val="CommentTextChar"/>
    <w:uiPriority w:val="99"/>
    <w:semiHidden/>
    <w:unhideWhenUsed/>
    <w:rsid w:val="00262AE9"/>
    <w:pPr>
      <w:spacing w:after="240"/>
    </w:pPr>
    <w:rPr>
      <w:rFonts w:ascii="Calibri" w:hAnsi="Calibri"/>
      <w:color w:val="4C483D" w:themeColor="text2"/>
      <w:sz w:val="20"/>
      <w:szCs w:val="20"/>
      <w:lang w:eastAsia="ja-JP"/>
    </w:rPr>
  </w:style>
  <w:style w:type="character" w:customStyle="1" w:styleId="CommentTextChar">
    <w:name w:val="Comment Text Char"/>
    <w:basedOn w:val="DefaultParagraphFont"/>
    <w:link w:val="CommentText"/>
    <w:uiPriority w:val="99"/>
    <w:semiHidden/>
    <w:rsid w:val="00262AE9"/>
    <w:rPr>
      <w:rFonts w:ascii="Calibri" w:hAnsi="Calibri"/>
    </w:rPr>
  </w:style>
  <w:style w:type="paragraph" w:styleId="CommentSubject">
    <w:name w:val="annotation subject"/>
    <w:basedOn w:val="CommentText"/>
    <w:next w:val="CommentText"/>
    <w:link w:val="CommentSubjectChar"/>
    <w:uiPriority w:val="99"/>
    <w:semiHidden/>
    <w:unhideWhenUsed/>
    <w:rsid w:val="00262AE9"/>
    <w:rPr>
      <w:b/>
      <w:bCs/>
    </w:rPr>
  </w:style>
  <w:style w:type="character" w:customStyle="1" w:styleId="CommentSubjectChar">
    <w:name w:val="Comment Subject Char"/>
    <w:basedOn w:val="CommentTextChar"/>
    <w:link w:val="CommentSubject"/>
    <w:uiPriority w:val="99"/>
    <w:semiHidden/>
    <w:rsid w:val="00262AE9"/>
    <w:rPr>
      <w:rFonts w:ascii="Calibri" w:hAnsi="Calibri"/>
      <w:b/>
      <w:bCs/>
    </w:rPr>
  </w:style>
  <w:style w:type="paragraph" w:styleId="BalloonText">
    <w:name w:val="Balloon Text"/>
    <w:basedOn w:val="Normal"/>
    <w:link w:val="BalloonTextChar"/>
    <w:uiPriority w:val="99"/>
    <w:semiHidden/>
    <w:unhideWhenUsed/>
    <w:rsid w:val="00262AE9"/>
    <w:rPr>
      <w:rFonts w:ascii="Segoe UI" w:hAnsi="Segoe UI" w:cs="Segoe UI"/>
      <w:color w:val="4C483D" w:themeColor="text2"/>
      <w:sz w:val="18"/>
      <w:szCs w:val="18"/>
      <w:lang w:eastAsia="ja-JP"/>
    </w:rPr>
  </w:style>
  <w:style w:type="character" w:customStyle="1" w:styleId="BalloonTextChar">
    <w:name w:val="Balloon Text Char"/>
    <w:basedOn w:val="DefaultParagraphFont"/>
    <w:link w:val="BalloonText"/>
    <w:uiPriority w:val="99"/>
    <w:semiHidden/>
    <w:rsid w:val="00262AE9"/>
    <w:rPr>
      <w:rFonts w:ascii="Segoe UI" w:hAnsi="Segoe UI" w:cs="Segoe UI"/>
      <w:sz w:val="18"/>
      <w:szCs w:val="18"/>
    </w:rPr>
  </w:style>
  <w:style w:type="paragraph" w:customStyle="1" w:styleId="Body">
    <w:name w:val="Body"/>
    <w:basedOn w:val="Heading5"/>
    <w:rsid w:val="002B4808"/>
    <w:pPr>
      <w:tabs>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autoSpaceDE w:val="0"/>
      <w:autoSpaceDN w:val="0"/>
      <w:adjustRightInd w:val="0"/>
      <w:spacing w:before="0" w:line="360" w:lineRule="auto"/>
      <w:ind w:left="547"/>
    </w:pPr>
    <w:rPr>
      <w:rFonts w:ascii="Times New Roman" w:eastAsia="Times New Roman" w:hAnsi="Times New Roman" w:cs="Times New Roman"/>
      <w:color w:val="auto"/>
      <w:sz w:val="22"/>
      <w:szCs w:val="22"/>
      <w:lang w:eastAsia="en-US"/>
    </w:rPr>
  </w:style>
  <w:style w:type="table" w:customStyle="1" w:styleId="TableGrid1">
    <w:name w:val="Table Grid1"/>
    <w:basedOn w:val="TableNormal"/>
    <w:next w:val="TableGrid"/>
    <w:uiPriority w:val="59"/>
    <w:rsid w:val="00454939"/>
    <w:pPr>
      <w:spacing w:after="0" w:line="240" w:lineRule="auto"/>
    </w:pPr>
    <w:rPr>
      <w:rFonts w:ascii="Times New Roman" w:eastAsia="Times New Roman" w:hAnsi="Times New Roman"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454939"/>
    <w:pPr>
      <w:numPr>
        <w:numId w:val="21"/>
      </w:numPr>
    </w:pPr>
  </w:style>
  <w:style w:type="paragraph" w:styleId="TOC2">
    <w:name w:val="toc 2"/>
    <w:basedOn w:val="Normal"/>
    <w:next w:val="Normal"/>
    <w:autoRedefine/>
    <w:uiPriority w:val="39"/>
    <w:unhideWhenUsed/>
    <w:rsid w:val="005A10A7"/>
    <w:pPr>
      <w:tabs>
        <w:tab w:val="right" w:leader="dot" w:pos="9350"/>
      </w:tabs>
      <w:spacing w:before="240"/>
      <w:ind w:right="3996"/>
    </w:pPr>
    <w:rPr>
      <w:rFonts w:asciiTheme="minorHAnsi" w:hAnsiTheme="minorHAnsi"/>
      <w:b/>
      <w:bCs/>
      <w:sz w:val="20"/>
      <w:szCs w:val="20"/>
    </w:rPr>
  </w:style>
  <w:style w:type="paragraph" w:styleId="TOC5">
    <w:name w:val="toc 5"/>
    <w:basedOn w:val="Normal"/>
    <w:next w:val="Normal"/>
    <w:autoRedefine/>
    <w:uiPriority w:val="99"/>
    <w:unhideWhenUsed/>
    <w:rsid w:val="002E6F08"/>
    <w:pPr>
      <w:ind w:left="720"/>
    </w:pPr>
    <w:rPr>
      <w:rFonts w:asciiTheme="minorHAnsi" w:hAnsiTheme="minorHAnsi"/>
      <w:sz w:val="20"/>
      <w:szCs w:val="20"/>
    </w:rPr>
  </w:style>
  <w:style w:type="paragraph" w:styleId="TOC6">
    <w:name w:val="toc 6"/>
    <w:basedOn w:val="Normal"/>
    <w:next w:val="Normal"/>
    <w:autoRedefine/>
    <w:uiPriority w:val="99"/>
    <w:unhideWhenUsed/>
    <w:rsid w:val="002E6F08"/>
    <w:pPr>
      <w:ind w:left="960"/>
    </w:pPr>
    <w:rPr>
      <w:rFonts w:asciiTheme="minorHAnsi" w:hAnsiTheme="minorHAnsi"/>
      <w:sz w:val="20"/>
      <w:szCs w:val="20"/>
    </w:rPr>
  </w:style>
  <w:style w:type="paragraph" w:styleId="TOC7">
    <w:name w:val="toc 7"/>
    <w:basedOn w:val="Normal"/>
    <w:next w:val="Normal"/>
    <w:autoRedefine/>
    <w:uiPriority w:val="99"/>
    <w:unhideWhenUsed/>
    <w:rsid w:val="002E6F08"/>
    <w:pPr>
      <w:ind w:left="1200"/>
    </w:pPr>
    <w:rPr>
      <w:rFonts w:asciiTheme="minorHAnsi" w:hAnsiTheme="minorHAnsi"/>
      <w:sz w:val="20"/>
      <w:szCs w:val="20"/>
    </w:rPr>
  </w:style>
  <w:style w:type="paragraph" w:styleId="TOC8">
    <w:name w:val="toc 8"/>
    <w:basedOn w:val="Normal"/>
    <w:next w:val="Normal"/>
    <w:autoRedefine/>
    <w:uiPriority w:val="99"/>
    <w:unhideWhenUsed/>
    <w:rsid w:val="002E6F08"/>
    <w:pPr>
      <w:ind w:left="1440"/>
    </w:pPr>
    <w:rPr>
      <w:rFonts w:asciiTheme="minorHAnsi" w:hAnsiTheme="minorHAnsi"/>
      <w:sz w:val="20"/>
      <w:szCs w:val="20"/>
    </w:rPr>
  </w:style>
  <w:style w:type="paragraph" w:styleId="TOC9">
    <w:name w:val="toc 9"/>
    <w:basedOn w:val="Normal"/>
    <w:next w:val="Normal"/>
    <w:autoRedefine/>
    <w:uiPriority w:val="99"/>
    <w:unhideWhenUsed/>
    <w:rsid w:val="002E6F08"/>
    <w:pPr>
      <w:ind w:left="1680"/>
    </w:pPr>
    <w:rPr>
      <w:rFonts w:asciiTheme="minorHAnsi" w:hAnsiTheme="minorHAnsi"/>
      <w:sz w:val="20"/>
      <w:szCs w:val="20"/>
    </w:rPr>
  </w:style>
  <w:style w:type="character" w:customStyle="1" w:styleId="Heading9Char">
    <w:name w:val="Heading 9 Char"/>
    <w:basedOn w:val="DefaultParagraphFont"/>
    <w:link w:val="Heading9"/>
    <w:uiPriority w:val="99"/>
    <w:semiHidden/>
    <w:rsid w:val="00D35526"/>
    <w:rPr>
      <w:rFonts w:asciiTheme="majorHAnsi" w:eastAsiaTheme="majorEastAsia" w:hAnsiTheme="majorHAnsi" w:cstheme="majorBidi"/>
      <w:i/>
      <w:iCs/>
      <w:color w:val="272727" w:themeColor="text1" w:themeTint="D8"/>
      <w:sz w:val="21"/>
      <w:szCs w:val="21"/>
      <w:lang w:eastAsia="zh-CN"/>
    </w:rPr>
  </w:style>
  <w:style w:type="paragraph" w:customStyle="1" w:styleId="IssueInfo">
    <w:name w:val="Issue Info"/>
    <w:basedOn w:val="Normal"/>
    <w:link w:val="IssueInfoChar"/>
    <w:uiPriority w:val="12"/>
    <w:qFormat/>
    <w:rsid w:val="00B77AC2"/>
    <w:pPr>
      <w:spacing w:line="276" w:lineRule="auto"/>
      <w:ind w:left="1296"/>
    </w:pPr>
    <w:rPr>
      <w:rFonts w:asciiTheme="majorHAnsi" w:eastAsiaTheme="minorHAnsi" w:hAnsiTheme="majorHAnsi"/>
      <w:b/>
      <w:color w:val="61ADBF" w:themeColor="accent4"/>
      <w:sz w:val="16"/>
      <w:szCs w:val="18"/>
      <w:lang w:eastAsia="en-US"/>
    </w:rPr>
  </w:style>
  <w:style w:type="character" w:customStyle="1" w:styleId="IssueInfoChar">
    <w:name w:val="Issue Info Char"/>
    <w:basedOn w:val="DefaultParagraphFont"/>
    <w:link w:val="IssueInfo"/>
    <w:uiPriority w:val="12"/>
    <w:rsid w:val="00B77AC2"/>
    <w:rPr>
      <w:rFonts w:asciiTheme="majorHAnsi" w:eastAsiaTheme="minorHAnsi" w:hAnsiTheme="majorHAnsi"/>
      <w:b/>
      <w:color w:val="61ADBF" w:themeColor="accent4"/>
      <w:sz w:val="16"/>
      <w:szCs w:val="18"/>
      <w:lang w:eastAsia="en-US"/>
    </w:rPr>
  </w:style>
  <w:style w:type="character" w:styleId="UnresolvedMention">
    <w:name w:val="Unresolved Mention"/>
    <w:basedOn w:val="DefaultParagraphFont"/>
    <w:uiPriority w:val="99"/>
    <w:rsid w:val="00C57C98"/>
    <w:rPr>
      <w:color w:val="605E5C"/>
      <w:shd w:val="clear" w:color="auto" w:fill="E1DFDD"/>
    </w:rPr>
  </w:style>
  <w:style w:type="character" w:styleId="FollowedHyperlink">
    <w:name w:val="FollowedHyperlink"/>
    <w:basedOn w:val="DefaultParagraphFont"/>
    <w:uiPriority w:val="99"/>
    <w:semiHidden/>
    <w:unhideWhenUsed/>
    <w:rsid w:val="006000F7"/>
    <w:rPr>
      <w:color w:val="A3648B" w:themeColor="followedHyperlink"/>
      <w:u w:val="single"/>
    </w:rPr>
  </w:style>
  <w:style w:type="paragraph" w:styleId="NormalWeb">
    <w:name w:val="Normal (Web)"/>
    <w:basedOn w:val="Normal"/>
    <w:uiPriority w:val="99"/>
    <w:unhideWhenUsed/>
    <w:rsid w:val="002D4C25"/>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uiPriority w:val="20"/>
    <w:qFormat/>
    <w:rsid w:val="00E45791"/>
    <w:rPr>
      <w:i/>
      <w:iCs/>
    </w:rPr>
  </w:style>
  <w:style w:type="character" w:customStyle="1" w:styleId="mark2cgg9usa6">
    <w:name w:val="mark2cgg9usa6"/>
    <w:basedOn w:val="DefaultParagraphFont"/>
    <w:rsid w:val="00E45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71452">
      <w:bodyDiv w:val="1"/>
      <w:marLeft w:val="0"/>
      <w:marRight w:val="0"/>
      <w:marTop w:val="0"/>
      <w:marBottom w:val="0"/>
      <w:divBdr>
        <w:top w:val="none" w:sz="0" w:space="0" w:color="auto"/>
        <w:left w:val="none" w:sz="0" w:space="0" w:color="auto"/>
        <w:bottom w:val="none" w:sz="0" w:space="0" w:color="auto"/>
        <w:right w:val="none" w:sz="0" w:space="0" w:color="auto"/>
      </w:divBdr>
    </w:div>
    <w:div w:id="75784518">
      <w:bodyDiv w:val="1"/>
      <w:marLeft w:val="0"/>
      <w:marRight w:val="0"/>
      <w:marTop w:val="0"/>
      <w:marBottom w:val="0"/>
      <w:divBdr>
        <w:top w:val="none" w:sz="0" w:space="0" w:color="auto"/>
        <w:left w:val="none" w:sz="0" w:space="0" w:color="auto"/>
        <w:bottom w:val="none" w:sz="0" w:space="0" w:color="auto"/>
        <w:right w:val="none" w:sz="0" w:space="0" w:color="auto"/>
      </w:divBdr>
    </w:div>
    <w:div w:id="85687577">
      <w:bodyDiv w:val="1"/>
      <w:marLeft w:val="0"/>
      <w:marRight w:val="0"/>
      <w:marTop w:val="0"/>
      <w:marBottom w:val="0"/>
      <w:divBdr>
        <w:top w:val="none" w:sz="0" w:space="0" w:color="auto"/>
        <w:left w:val="none" w:sz="0" w:space="0" w:color="auto"/>
        <w:bottom w:val="none" w:sz="0" w:space="0" w:color="auto"/>
        <w:right w:val="none" w:sz="0" w:space="0" w:color="auto"/>
      </w:divBdr>
    </w:div>
    <w:div w:id="175849786">
      <w:bodyDiv w:val="1"/>
      <w:marLeft w:val="0"/>
      <w:marRight w:val="0"/>
      <w:marTop w:val="0"/>
      <w:marBottom w:val="0"/>
      <w:divBdr>
        <w:top w:val="none" w:sz="0" w:space="0" w:color="auto"/>
        <w:left w:val="none" w:sz="0" w:space="0" w:color="auto"/>
        <w:bottom w:val="none" w:sz="0" w:space="0" w:color="auto"/>
        <w:right w:val="none" w:sz="0" w:space="0" w:color="auto"/>
      </w:divBdr>
    </w:div>
    <w:div w:id="350450898">
      <w:bodyDiv w:val="1"/>
      <w:marLeft w:val="0"/>
      <w:marRight w:val="0"/>
      <w:marTop w:val="0"/>
      <w:marBottom w:val="0"/>
      <w:divBdr>
        <w:top w:val="none" w:sz="0" w:space="0" w:color="auto"/>
        <w:left w:val="none" w:sz="0" w:space="0" w:color="auto"/>
        <w:bottom w:val="none" w:sz="0" w:space="0" w:color="auto"/>
        <w:right w:val="none" w:sz="0" w:space="0" w:color="auto"/>
      </w:divBdr>
    </w:div>
    <w:div w:id="490947004">
      <w:bodyDiv w:val="1"/>
      <w:marLeft w:val="0"/>
      <w:marRight w:val="0"/>
      <w:marTop w:val="0"/>
      <w:marBottom w:val="0"/>
      <w:divBdr>
        <w:top w:val="none" w:sz="0" w:space="0" w:color="auto"/>
        <w:left w:val="none" w:sz="0" w:space="0" w:color="auto"/>
        <w:bottom w:val="none" w:sz="0" w:space="0" w:color="auto"/>
        <w:right w:val="none" w:sz="0" w:space="0" w:color="auto"/>
      </w:divBdr>
    </w:div>
    <w:div w:id="497698203">
      <w:bodyDiv w:val="1"/>
      <w:marLeft w:val="0"/>
      <w:marRight w:val="0"/>
      <w:marTop w:val="0"/>
      <w:marBottom w:val="0"/>
      <w:divBdr>
        <w:top w:val="none" w:sz="0" w:space="0" w:color="auto"/>
        <w:left w:val="none" w:sz="0" w:space="0" w:color="auto"/>
        <w:bottom w:val="none" w:sz="0" w:space="0" w:color="auto"/>
        <w:right w:val="none" w:sz="0" w:space="0" w:color="auto"/>
      </w:divBdr>
    </w:div>
    <w:div w:id="511650777">
      <w:bodyDiv w:val="1"/>
      <w:marLeft w:val="0"/>
      <w:marRight w:val="0"/>
      <w:marTop w:val="0"/>
      <w:marBottom w:val="0"/>
      <w:divBdr>
        <w:top w:val="none" w:sz="0" w:space="0" w:color="auto"/>
        <w:left w:val="none" w:sz="0" w:space="0" w:color="auto"/>
        <w:bottom w:val="none" w:sz="0" w:space="0" w:color="auto"/>
        <w:right w:val="none" w:sz="0" w:space="0" w:color="auto"/>
      </w:divBdr>
    </w:div>
    <w:div w:id="554004429">
      <w:bodyDiv w:val="1"/>
      <w:marLeft w:val="0"/>
      <w:marRight w:val="0"/>
      <w:marTop w:val="0"/>
      <w:marBottom w:val="0"/>
      <w:divBdr>
        <w:top w:val="none" w:sz="0" w:space="0" w:color="auto"/>
        <w:left w:val="none" w:sz="0" w:space="0" w:color="auto"/>
        <w:bottom w:val="none" w:sz="0" w:space="0" w:color="auto"/>
        <w:right w:val="none" w:sz="0" w:space="0" w:color="auto"/>
      </w:divBdr>
    </w:div>
    <w:div w:id="691761033">
      <w:bodyDiv w:val="1"/>
      <w:marLeft w:val="0"/>
      <w:marRight w:val="0"/>
      <w:marTop w:val="0"/>
      <w:marBottom w:val="0"/>
      <w:divBdr>
        <w:top w:val="none" w:sz="0" w:space="0" w:color="auto"/>
        <w:left w:val="none" w:sz="0" w:space="0" w:color="auto"/>
        <w:bottom w:val="none" w:sz="0" w:space="0" w:color="auto"/>
        <w:right w:val="none" w:sz="0" w:space="0" w:color="auto"/>
      </w:divBdr>
    </w:div>
    <w:div w:id="693580972">
      <w:bodyDiv w:val="1"/>
      <w:marLeft w:val="0"/>
      <w:marRight w:val="0"/>
      <w:marTop w:val="0"/>
      <w:marBottom w:val="0"/>
      <w:divBdr>
        <w:top w:val="none" w:sz="0" w:space="0" w:color="auto"/>
        <w:left w:val="none" w:sz="0" w:space="0" w:color="auto"/>
        <w:bottom w:val="none" w:sz="0" w:space="0" w:color="auto"/>
        <w:right w:val="none" w:sz="0" w:space="0" w:color="auto"/>
      </w:divBdr>
    </w:div>
    <w:div w:id="748498174">
      <w:bodyDiv w:val="1"/>
      <w:marLeft w:val="0"/>
      <w:marRight w:val="0"/>
      <w:marTop w:val="0"/>
      <w:marBottom w:val="0"/>
      <w:divBdr>
        <w:top w:val="none" w:sz="0" w:space="0" w:color="auto"/>
        <w:left w:val="none" w:sz="0" w:space="0" w:color="auto"/>
        <w:bottom w:val="none" w:sz="0" w:space="0" w:color="auto"/>
        <w:right w:val="none" w:sz="0" w:space="0" w:color="auto"/>
      </w:divBdr>
    </w:div>
    <w:div w:id="772825820">
      <w:bodyDiv w:val="1"/>
      <w:marLeft w:val="0"/>
      <w:marRight w:val="0"/>
      <w:marTop w:val="0"/>
      <w:marBottom w:val="0"/>
      <w:divBdr>
        <w:top w:val="none" w:sz="0" w:space="0" w:color="auto"/>
        <w:left w:val="none" w:sz="0" w:space="0" w:color="auto"/>
        <w:bottom w:val="none" w:sz="0" w:space="0" w:color="auto"/>
        <w:right w:val="none" w:sz="0" w:space="0" w:color="auto"/>
      </w:divBdr>
    </w:div>
    <w:div w:id="852958652">
      <w:bodyDiv w:val="1"/>
      <w:marLeft w:val="0"/>
      <w:marRight w:val="0"/>
      <w:marTop w:val="0"/>
      <w:marBottom w:val="0"/>
      <w:divBdr>
        <w:top w:val="none" w:sz="0" w:space="0" w:color="auto"/>
        <w:left w:val="none" w:sz="0" w:space="0" w:color="auto"/>
        <w:bottom w:val="none" w:sz="0" w:space="0" w:color="auto"/>
        <w:right w:val="none" w:sz="0" w:space="0" w:color="auto"/>
      </w:divBdr>
    </w:div>
    <w:div w:id="905991209">
      <w:bodyDiv w:val="1"/>
      <w:marLeft w:val="0"/>
      <w:marRight w:val="0"/>
      <w:marTop w:val="0"/>
      <w:marBottom w:val="0"/>
      <w:divBdr>
        <w:top w:val="none" w:sz="0" w:space="0" w:color="auto"/>
        <w:left w:val="none" w:sz="0" w:space="0" w:color="auto"/>
        <w:bottom w:val="none" w:sz="0" w:space="0" w:color="auto"/>
        <w:right w:val="none" w:sz="0" w:space="0" w:color="auto"/>
      </w:divBdr>
    </w:div>
    <w:div w:id="907232749">
      <w:bodyDiv w:val="1"/>
      <w:marLeft w:val="0"/>
      <w:marRight w:val="0"/>
      <w:marTop w:val="0"/>
      <w:marBottom w:val="0"/>
      <w:divBdr>
        <w:top w:val="none" w:sz="0" w:space="0" w:color="auto"/>
        <w:left w:val="none" w:sz="0" w:space="0" w:color="auto"/>
        <w:bottom w:val="none" w:sz="0" w:space="0" w:color="auto"/>
        <w:right w:val="none" w:sz="0" w:space="0" w:color="auto"/>
      </w:divBdr>
    </w:div>
    <w:div w:id="934440644">
      <w:bodyDiv w:val="1"/>
      <w:marLeft w:val="0"/>
      <w:marRight w:val="0"/>
      <w:marTop w:val="0"/>
      <w:marBottom w:val="0"/>
      <w:divBdr>
        <w:top w:val="none" w:sz="0" w:space="0" w:color="auto"/>
        <w:left w:val="none" w:sz="0" w:space="0" w:color="auto"/>
        <w:bottom w:val="none" w:sz="0" w:space="0" w:color="auto"/>
        <w:right w:val="none" w:sz="0" w:space="0" w:color="auto"/>
      </w:divBdr>
    </w:div>
    <w:div w:id="954287037">
      <w:bodyDiv w:val="1"/>
      <w:marLeft w:val="0"/>
      <w:marRight w:val="0"/>
      <w:marTop w:val="0"/>
      <w:marBottom w:val="0"/>
      <w:divBdr>
        <w:top w:val="none" w:sz="0" w:space="0" w:color="auto"/>
        <w:left w:val="none" w:sz="0" w:space="0" w:color="auto"/>
        <w:bottom w:val="none" w:sz="0" w:space="0" w:color="auto"/>
        <w:right w:val="none" w:sz="0" w:space="0" w:color="auto"/>
      </w:divBdr>
    </w:div>
    <w:div w:id="1031497412">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101297313">
      <w:bodyDiv w:val="1"/>
      <w:marLeft w:val="0"/>
      <w:marRight w:val="0"/>
      <w:marTop w:val="0"/>
      <w:marBottom w:val="0"/>
      <w:divBdr>
        <w:top w:val="none" w:sz="0" w:space="0" w:color="auto"/>
        <w:left w:val="none" w:sz="0" w:space="0" w:color="auto"/>
        <w:bottom w:val="none" w:sz="0" w:space="0" w:color="auto"/>
        <w:right w:val="none" w:sz="0" w:space="0" w:color="auto"/>
      </w:divBdr>
    </w:div>
    <w:div w:id="1123886048">
      <w:bodyDiv w:val="1"/>
      <w:marLeft w:val="0"/>
      <w:marRight w:val="0"/>
      <w:marTop w:val="0"/>
      <w:marBottom w:val="0"/>
      <w:divBdr>
        <w:top w:val="none" w:sz="0" w:space="0" w:color="auto"/>
        <w:left w:val="none" w:sz="0" w:space="0" w:color="auto"/>
        <w:bottom w:val="none" w:sz="0" w:space="0" w:color="auto"/>
        <w:right w:val="none" w:sz="0" w:space="0" w:color="auto"/>
      </w:divBdr>
    </w:div>
    <w:div w:id="1163861999">
      <w:bodyDiv w:val="1"/>
      <w:marLeft w:val="0"/>
      <w:marRight w:val="0"/>
      <w:marTop w:val="0"/>
      <w:marBottom w:val="0"/>
      <w:divBdr>
        <w:top w:val="none" w:sz="0" w:space="0" w:color="auto"/>
        <w:left w:val="none" w:sz="0" w:space="0" w:color="auto"/>
        <w:bottom w:val="none" w:sz="0" w:space="0" w:color="auto"/>
        <w:right w:val="none" w:sz="0" w:space="0" w:color="auto"/>
      </w:divBdr>
    </w:div>
    <w:div w:id="1179083288">
      <w:bodyDiv w:val="1"/>
      <w:marLeft w:val="0"/>
      <w:marRight w:val="0"/>
      <w:marTop w:val="0"/>
      <w:marBottom w:val="0"/>
      <w:divBdr>
        <w:top w:val="none" w:sz="0" w:space="0" w:color="auto"/>
        <w:left w:val="none" w:sz="0" w:space="0" w:color="auto"/>
        <w:bottom w:val="none" w:sz="0" w:space="0" w:color="auto"/>
        <w:right w:val="none" w:sz="0" w:space="0" w:color="auto"/>
      </w:divBdr>
    </w:div>
    <w:div w:id="1191607636">
      <w:bodyDiv w:val="1"/>
      <w:marLeft w:val="0"/>
      <w:marRight w:val="0"/>
      <w:marTop w:val="0"/>
      <w:marBottom w:val="0"/>
      <w:divBdr>
        <w:top w:val="none" w:sz="0" w:space="0" w:color="auto"/>
        <w:left w:val="none" w:sz="0" w:space="0" w:color="auto"/>
        <w:bottom w:val="none" w:sz="0" w:space="0" w:color="auto"/>
        <w:right w:val="none" w:sz="0" w:space="0" w:color="auto"/>
      </w:divBdr>
    </w:div>
    <w:div w:id="1203128737">
      <w:bodyDiv w:val="1"/>
      <w:marLeft w:val="0"/>
      <w:marRight w:val="0"/>
      <w:marTop w:val="0"/>
      <w:marBottom w:val="0"/>
      <w:divBdr>
        <w:top w:val="none" w:sz="0" w:space="0" w:color="auto"/>
        <w:left w:val="none" w:sz="0" w:space="0" w:color="auto"/>
        <w:bottom w:val="none" w:sz="0" w:space="0" w:color="auto"/>
        <w:right w:val="none" w:sz="0" w:space="0" w:color="auto"/>
      </w:divBdr>
    </w:div>
    <w:div w:id="1322350539">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384137321">
      <w:bodyDiv w:val="1"/>
      <w:marLeft w:val="0"/>
      <w:marRight w:val="0"/>
      <w:marTop w:val="0"/>
      <w:marBottom w:val="0"/>
      <w:divBdr>
        <w:top w:val="none" w:sz="0" w:space="0" w:color="auto"/>
        <w:left w:val="none" w:sz="0" w:space="0" w:color="auto"/>
        <w:bottom w:val="none" w:sz="0" w:space="0" w:color="auto"/>
        <w:right w:val="none" w:sz="0" w:space="0" w:color="auto"/>
      </w:divBdr>
    </w:div>
    <w:div w:id="1389767156">
      <w:bodyDiv w:val="1"/>
      <w:marLeft w:val="0"/>
      <w:marRight w:val="0"/>
      <w:marTop w:val="0"/>
      <w:marBottom w:val="0"/>
      <w:divBdr>
        <w:top w:val="none" w:sz="0" w:space="0" w:color="auto"/>
        <w:left w:val="none" w:sz="0" w:space="0" w:color="auto"/>
        <w:bottom w:val="none" w:sz="0" w:space="0" w:color="auto"/>
        <w:right w:val="none" w:sz="0" w:space="0" w:color="auto"/>
      </w:divBdr>
    </w:div>
    <w:div w:id="1395160651">
      <w:bodyDiv w:val="1"/>
      <w:marLeft w:val="0"/>
      <w:marRight w:val="0"/>
      <w:marTop w:val="0"/>
      <w:marBottom w:val="0"/>
      <w:divBdr>
        <w:top w:val="none" w:sz="0" w:space="0" w:color="auto"/>
        <w:left w:val="none" w:sz="0" w:space="0" w:color="auto"/>
        <w:bottom w:val="none" w:sz="0" w:space="0" w:color="auto"/>
        <w:right w:val="none" w:sz="0" w:space="0" w:color="auto"/>
      </w:divBdr>
    </w:div>
    <w:div w:id="1412583692">
      <w:bodyDiv w:val="1"/>
      <w:marLeft w:val="0"/>
      <w:marRight w:val="0"/>
      <w:marTop w:val="0"/>
      <w:marBottom w:val="0"/>
      <w:divBdr>
        <w:top w:val="none" w:sz="0" w:space="0" w:color="auto"/>
        <w:left w:val="none" w:sz="0" w:space="0" w:color="auto"/>
        <w:bottom w:val="none" w:sz="0" w:space="0" w:color="auto"/>
        <w:right w:val="none" w:sz="0" w:space="0" w:color="auto"/>
      </w:divBdr>
    </w:div>
    <w:div w:id="1427310038">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449394901">
      <w:bodyDiv w:val="1"/>
      <w:marLeft w:val="0"/>
      <w:marRight w:val="0"/>
      <w:marTop w:val="0"/>
      <w:marBottom w:val="0"/>
      <w:divBdr>
        <w:top w:val="none" w:sz="0" w:space="0" w:color="auto"/>
        <w:left w:val="none" w:sz="0" w:space="0" w:color="auto"/>
        <w:bottom w:val="none" w:sz="0" w:space="0" w:color="auto"/>
        <w:right w:val="none" w:sz="0" w:space="0" w:color="auto"/>
      </w:divBdr>
    </w:div>
    <w:div w:id="1461413987">
      <w:bodyDiv w:val="1"/>
      <w:marLeft w:val="0"/>
      <w:marRight w:val="0"/>
      <w:marTop w:val="0"/>
      <w:marBottom w:val="0"/>
      <w:divBdr>
        <w:top w:val="none" w:sz="0" w:space="0" w:color="auto"/>
        <w:left w:val="none" w:sz="0" w:space="0" w:color="auto"/>
        <w:bottom w:val="none" w:sz="0" w:space="0" w:color="auto"/>
        <w:right w:val="none" w:sz="0" w:space="0" w:color="auto"/>
      </w:divBdr>
    </w:div>
    <w:div w:id="1477726531">
      <w:bodyDiv w:val="1"/>
      <w:marLeft w:val="0"/>
      <w:marRight w:val="0"/>
      <w:marTop w:val="0"/>
      <w:marBottom w:val="0"/>
      <w:divBdr>
        <w:top w:val="none" w:sz="0" w:space="0" w:color="auto"/>
        <w:left w:val="none" w:sz="0" w:space="0" w:color="auto"/>
        <w:bottom w:val="none" w:sz="0" w:space="0" w:color="auto"/>
        <w:right w:val="none" w:sz="0" w:space="0" w:color="auto"/>
      </w:divBdr>
    </w:div>
    <w:div w:id="1516114522">
      <w:bodyDiv w:val="1"/>
      <w:marLeft w:val="0"/>
      <w:marRight w:val="0"/>
      <w:marTop w:val="0"/>
      <w:marBottom w:val="0"/>
      <w:divBdr>
        <w:top w:val="none" w:sz="0" w:space="0" w:color="auto"/>
        <w:left w:val="none" w:sz="0" w:space="0" w:color="auto"/>
        <w:bottom w:val="none" w:sz="0" w:space="0" w:color="auto"/>
        <w:right w:val="none" w:sz="0" w:space="0" w:color="auto"/>
      </w:divBdr>
    </w:div>
    <w:div w:id="1558662216">
      <w:bodyDiv w:val="1"/>
      <w:marLeft w:val="0"/>
      <w:marRight w:val="0"/>
      <w:marTop w:val="0"/>
      <w:marBottom w:val="0"/>
      <w:divBdr>
        <w:top w:val="none" w:sz="0" w:space="0" w:color="auto"/>
        <w:left w:val="none" w:sz="0" w:space="0" w:color="auto"/>
        <w:bottom w:val="none" w:sz="0" w:space="0" w:color="auto"/>
        <w:right w:val="none" w:sz="0" w:space="0" w:color="auto"/>
      </w:divBdr>
    </w:div>
    <w:div w:id="1585802351">
      <w:bodyDiv w:val="1"/>
      <w:marLeft w:val="0"/>
      <w:marRight w:val="0"/>
      <w:marTop w:val="0"/>
      <w:marBottom w:val="0"/>
      <w:divBdr>
        <w:top w:val="none" w:sz="0" w:space="0" w:color="auto"/>
        <w:left w:val="none" w:sz="0" w:space="0" w:color="auto"/>
        <w:bottom w:val="none" w:sz="0" w:space="0" w:color="auto"/>
        <w:right w:val="none" w:sz="0" w:space="0" w:color="auto"/>
      </w:divBdr>
    </w:div>
    <w:div w:id="1711296137">
      <w:bodyDiv w:val="1"/>
      <w:marLeft w:val="0"/>
      <w:marRight w:val="0"/>
      <w:marTop w:val="0"/>
      <w:marBottom w:val="0"/>
      <w:divBdr>
        <w:top w:val="none" w:sz="0" w:space="0" w:color="auto"/>
        <w:left w:val="none" w:sz="0" w:space="0" w:color="auto"/>
        <w:bottom w:val="none" w:sz="0" w:space="0" w:color="auto"/>
        <w:right w:val="none" w:sz="0" w:space="0" w:color="auto"/>
      </w:divBdr>
    </w:div>
    <w:div w:id="1723483768">
      <w:bodyDiv w:val="1"/>
      <w:marLeft w:val="0"/>
      <w:marRight w:val="0"/>
      <w:marTop w:val="0"/>
      <w:marBottom w:val="0"/>
      <w:divBdr>
        <w:top w:val="none" w:sz="0" w:space="0" w:color="auto"/>
        <w:left w:val="none" w:sz="0" w:space="0" w:color="auto"/>
        <w:bottom w:val="none" w:sz="0" w:space="0" w:color="auto"/>
        <w:right w:val="none" w:sz="0" w:space="0" w:color="auto"/>
      </w:divBdr>
    </w:div>
    <w:div w:id="1737241866">
      <w:bodyDiv w:val="1"/>
      <w:marLeft w:val="0"/>
      <w:marRight w:val="0"/>
      <w:marTop w:val="0"/>
      <w:marBottom w:val="0"/>
      <w:divBdr>
        <w:top w:val="none" w:sz="0" w:space="0" w:color="auto"/>
        <w:left w:val="none" w:sz="0" w:space="0" w:color="auto"/>
        <w:bottom w:val="none" w:sz="0" w:space="0" w:color="auto"/>
        <w:right w:val="none" w:sz="0" w:space="0" w:color="auto"/>
      </w:divBdr>
    </w:div>
    <w:div w:id="1767264138">
      <w:bodyDiv w:val="1"/>
      <w:marLeft w:val="0"/>
      <w:marRight w:val="0"/>
      <w:marTop w:val="0"/>
      <w:marBottom w:val="0"/>
      <w:divBdr>
        <w:top w:val="none" w:sz="0" w:space="0" w:color="auto"/>
        <w:left w:val="none" w:sz="0" w:space="0" w:color="auto"/>
        <w:bottom w:val="none" w:sz="0" w:space="0" w:color="auto"/>
        <w:right w:val="none" w:sz="0" w:space="0" w:color="auto"/>
      </w:divBdr>
    </w:div>
    <w:div w:id="1779256326">
      <w:bodyDiv w:val="1"/>
      <w:marLeft w:val="0"/>
      <w:marRight w:val="0"/>
      <w:marTop w:val="0"/>
      <w:marBottom w:val="0"/>
      <w:divBdr>
        <w:top w:val="none" w:sz="0" w:space="0" w:color="auto"/>
        <w:left w:val="none" w:sz="0" w:space="0" w:color="auto"/>
        <w:bottom w:val="none" w:sz="0" w:space="0" w:color="auto"/>
        <w:right w:val="none" w:sz="0" w:space="0" w:color="auto"/>
      </w:divBdr>
    </w:div>
    <w:div w:id="1831555474">
      <w:bodyDiv w:val="1"/>
      <w:marLeft w:val="0"/>
      <w:marRight w:val="0"/>
      <w:marTop w:val="0"/>
      <w:marBottom w:val="0"/>
      <w:divBdr>
        <w:top w:val="none" w:sz="0" w:space="0" w:color="auto"/>
        <w:left w:val="none" w:sz="0" w:space="0" w:color="auto"/>
        <w:bottom w:val="none" w:sz="0" w:space="0" w:color="auto"/>
        <w:right w:val="none" w:sz="0" w:space="0" w:color="auto"/>
      </w:divBdr>
    </w:div>
    <w:div w:id="1870949694">
      <w:bodyDiv w:val="1"/>
      <w:marLeft w:val="0"/>
      <w:marRight w:val="0"/>
      <w:marTop w:val="0"/>
      <w:marBottom w:val="0"/>
      <w:divBdr>
        <w:top w:val="none" w:sz="0" w:space="0" w:color="auto"/>
        <w:left w:val="none" w:sz="0" w:space="0" w:color="auto"/>
        <w:bottom w:val="none" w:sz="0" w:space="0" w:color="auto"/>
        <w:right w:val="none" w:sz="0" w:space="0" w:color="auto"/>
      </w:divBdr>
    </w:div>
    <w:div w:id="1889341736">
      <w:bodyDiv w:val="1"/>
      <w:marLeft w:val="0"/>
      <w:marRight w:val="0"/>
      <w:marTop w:val="0"/>
      <w:marBottom w:val="0"/>
      <w:divBdr>
        <w:top w:val="none" w:sz="0" w:space="0" w:color="auto"/>
        <w:left w:val="none" w:sz="0" w:space="0" w:color="auto"/>
        <w:bottom w:val="none" w:sz="0" w:space="0" w:color="auto"/>
        <w:right w:val="none" w:sz="0" w:space="0" w:color="auto"/>
      </w:divBdr>
    </w:div>
    <w:div w:id="1971088878">
      <w:bodyDiv w:val="1"/>
      <w:marLeft w:val="0"/>
      <w:marRight w:val="0"/>
      <w:marTop w:val="0"/>
      <w:marBottom w:val="0"/>
      <w:divBdr>
        <w:top w:val="none" w:sz="0" w:space="0" w:color="auto"/>
        <w:left w:val="none" w:sz="0" w:space="0" w:color="auto"/>
        <w:bottom w:val="none" w:sz="0" w:space="0" w:color="auto"/>
        <w:right w:val="none" w:sz="0" w:space="0" w:color="auto"/>
      </w:divBdr>
    </w:div>
    <w:div w:id="2009402561">
      <w:bodyDiv w:val="1"/>
      <w:marLeft w:val="0"/>
      <w:marRight w:val="0"/>
      <w:marTop w:val="0"/>
      <w:marBottom w:val="0"/>
      <w:divBdr>
        <w:top w:val="none" w:sz="0" w:space="0" w:color="auto"/>
        <w:left w:val="none" w:sz="0" w:space="0" w:color="auto"/>
        <w:bottom w:val="none" w:sz="0" w:space="0" w:color="auto"/>
        <w:right w:val="none" w:sz="0" w:space="0" w:color="auto"/>
      </w:divBdr>
    </w:div>
    <w:div w:id="2014991082">
      <w:bodyDiv w:val="1"/>
      <w:marLeft w:val="0"/>
      <w:marRight w:val="0"/>
      <w:marTop w:val="0"/>
      <w:marBottom w:val="0"/>
      <w:divBdr>
        <w:top w:val="none" w:sz="0" w:space="0" w:color="auto"/>
        <w:left w:val="none" w:sz="0" w:space="0" w:color="auto"/>
        <w:bottom w:val="none" w:sz="0" w:space="0" w:color="auto"/>
        <w:right w:val="none" w:sz="0" w:space="0" w:color="auto"/>
      </w:divBdr>
    </w:div>
    <w:div w:id="2100172454">
      <w:bodyDiv w:val="1"/>
      <w:marLeft w:val="0"/>
      <w:marRight w:val="0"/>
      <w:marTop w:val="0"/>
      <w:marBottom w:val="0"/>
      <w:divBdr>
        <w:top w:val="none" w:sz="0" w:space="0" w:color="auto"/>
        <w:left w:val="none" w:sz="0" w:space="0" w:color="auto"/>
        <w:bottom w:val="none" w:sz="0" w:space="0" w:color="auto"/>
        <w:right w:val="none" w:sz="0" w:space="0" w:color="auto"/>
      </w:divBdr>
    </w:div>
    <w:div w:id="2118140415">
      <w:bodyDiv w:val="1"/>
      <w:marLeft w:val="0"/>
      <w:marRight w:val="0"/>
      <w:marTop w:val="0"/>
      <w:marBottom w:val="0"/>
      <w:divBdr>
        <w:top w:val="none" w:sz="0" w:space="0" w:color="auto"/>
        <w:left w:val="none" w:sz="0" w:space="0" w:color="auto"/>
        <w:bottom w:val="none" w:sz="0" w:space="0" w:color="auto"/>
        <w:right w:val="none" w:sz="0" w:space="0" w:color="auto"/>
      </w:divBdr>
    </w:div>
    <w:div w:id="213925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enefitcomply.com/compliance-alert-irs-releases-proposed-ichra-rules/" TargetMode="External"/><Relationship Id="rId18" Type="http://schemas.openxmlformats.org/officeDocument/2006/relationships/hyperlink" Target="https://www.govinfo.gov/content/pkg/FR-2019-11-05/pdf/2019-23955.pdf" TargetMode="External"/><Relationship Id="rId26" Type="http://schemas.openxmlformats.org/officeDocument/2006/relationships/hyperlink" Target="https://www.fda.gov/media/133553/download" TargetMode="External"/><Relationship Id="rId39" Type="http://schemas.openxmlformats.org/officeDocument/2006/relationships/hyperlink" Target="https://benefitcomply.com/compliance-alert-appellate-court-invalidates-acas-individual-mandate/" TargetMode="External"/><Relationship Id="rId21" Type="http://schemas.openxmlformats.org/officeDocument/2006/relationships/hyperlink" Target="https://www.dol.gov/agencies/ebsa/laws-and-regulations/laws/affordable-care-act/for-employers-and-advisers/summary-of-benefits" TargetMode="External"/><Relationship Id="rId34" Type="http://schemas.openxmlformats.org/officeDocument/2006/relationships/hyperlink" Target="https://benefitcomply.com/compliance-alert-irs-announces-2020-health-fsa-limits/" TargetMode="External"/><Relationship Id="rId42" Type="http://schemas.openxmlformats.org/officeDocument/2006/relationships/glossaryDocument" Target="glossary/document.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federalregister.gov/documents/2019/09/30/2019-20034/application-of-the-employer-shared-responsibility-provisions-and-certain-nondiscrimination-rules-to" TargetMode="External"/><Relationship Id="rId20" Type="http://schemas.openxmlformats.org/officeDocument/2006/relationships/hyperlink" Target="https://benefitcomply.com/issue-brief-%c2%a74980h-offer-requirements-and-associated-penalties-2/" TargetMode="External"/><Relationship Id="rId29" Type="http://schemas.openxmlformats.org/officeDocument/2006/relationships/hyperlink" Target="https://www.irs.gov/pub/irs-pdf/i109495b.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ff.org/health-costs/report/2019-employer-health-benefits-survey/?utm_campaign=KFF-2019-Health-Costs&amp;utm_source=hs_email&amp;utm_medium=email&amp;utm_content=77269498&amp;_hsenc=p2ANqtz-_Z0WGtn6b7ghd-ZGsRKGAWXNSuk_dk5pas4xzE5_zQ-9s7pa5hl3VqCPNoNEO486CJsPmeAoTJeSrCbn6aohVd0IX2qtpcQ1hEBXFtbuzdTDlnXyQ&amp;_hsmi=77269498" TargetMode="External"/><Relationship Id="rId24" Type="http://schemas.openxmlformats.org/officeDocument/2006/relationships/hyperlink" Target="https://www.irs.gov/pub/irs-pdf/i109495b.pdf" TargetMode="External"/><Relationship Id="rId32" Type="http://schemas.openxmlformats.org/officeDocument/2006/relationships/hyperlink" Target="https://www.fda.gov/media/133553/download" TargetMode="External"/><Relationship Id="rId37" Type="http://schemas.openxmlformats.org/officeDocument/2006/relationships/hyperlink" Target="https://benefitcomply.com/issue-brief-affordability-considerations/" TargetMode="External"/><Relationship Id="rId40" Type="http://schemas.openxmlformats.org/officeDocument/2006/relationships/hyperlink" Target="https://benefitcomply.com/compliance-alert-cadillac-tax-repealed-and-other-benefits-changes-contained-in-the-end-of-year-spending-bill-passed-by-congress/" TargetMode="External"/><Relationship Id="rId5" Type="http://schemas.openxmlformats.org/officeDocument/2006/relationships/styles" Target="styles.xml"/><Relationship Id="rId15" Type="http://schemas.openxmlformats.org/officeDocument/2006/relationships/hyperlink" Target="https://www.kff.org/health-costs/report/2019-employer-health-benefits-survey/?utm_campaign=KFF-2019-Health-Costs&amp;utm_source=hs_email&amp;utm_medium=email&amp;utm_content=77269498&amp;_hsenc=p2ANqtz-_Z0WGtn6b7ghd-ZGsRKGAWXNSuk_dk5pas4xzE5_zQ-9s7pa5hl3VqCPNoNEO486CJsPmeAoTJeSrCbn6aohVd0IX2qtpcQ1hEBXFtbuzdTDlnXyQ&amp;_hsmi=77269498" TargetMode="External"/><Relationship Id="rId23" Type="http://schemas.openxmlformats.org/officeDocument/2006/relationships/hyperlink" Target="https://www.irs.gov/pub/irs-pdf/i109495b.pdf" TargetMode="External"/><Relationship Id="rId28" Type="http://schemas.openxmlformats.org/officeDocument/2006/relationships/hyperlink" Target="https://www.irs.gov/pub/irs-pdf/i109495c.pdf" TargetMode="External"/><Relationship Id="rId36" Type="http://schemas.openxmlformats.org/officeDocument/2006/relationships/hyperlink" Target="https://benefitcomply.com/erisa-documentation-disclosures-reporting/" TargetMode="External"/><Relationship Id="rId10" Type="http://schemas.openxmlformats.org/officeDocument/2006/relationships/footer" Target="footer1.xml"/><Relationship Id="rId19" Type="http://schemas.openxmlformats.org/officeDocument/2006/relationships/hyperlink" Target="http://benefitcomply.com/issue-brief-cobra-basics-what-is-a-cobra-qualifying-event/" TargetMode="External"/><Relationship Id="rId31" Type="http://schemas.openxmlformats.org/officeDocument/2006/relationships/hyperlink" Target="https://www.hhs.gov/sites/default/files/nprm-importation-of-prescription-drugs_12-18-2019.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info.gov/content/pkg/FR-2019-11-05/pdf/2019-23955.pdf" TargetMode="External"/><Relationship Id="rId22" Type="http://schemas.openxmlformats.org/officeDocument/2006/relationships/hyperlink" Target="https://www.irs.gov/pub/irs-pdf/i109495c.pdf" TargetMode="External"/><Relationship Id="rId27" Type="http://schemas.openxmlformats.org/officeDocument/2006/relationships/hyperlink" Target="https://www.dol.gov/agencies/ebsa/laws-and-regulations/laws/affordable-care-act/for-employers-and-advisers/summary-of-benefits" TargetMode="External"/><Relationship Id="rId30" Type="http://schemas.openxmlformats.org/officeDocument/2006/relationships/hyperlink" Target="https://www.irs.gov/pub/irs-pdf/i109495b.pdf" TargetMode="External"/><Relationship Id="rId35" Type="http://schemas.openxmlformats.org/officeDocument/2006/relationships/hyperlink" Target="https://benefitcomply.com/hhs-finalizes-rescission-of-hpid-requirement/" TargetMode="Externa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federalregister.gov/documents/2019/09/30/2019-20034/application-of-the-employer-shared-responsibility-provisions-and-certain-nondiscrimination-rules-to" TargetMode="External"/><Relationship Id="rId17" Type="http://schemas.openxmlformats.org/officeDocument/2006/relationships/hyperlink" Target="http://benefitcomply.com/compliance-alert-irs-releases-proposed-ichra-rules/" TargetMode="External"/><Relationship Id="rId25" Type="http://schemas.openxmlformats.org/officeDocument/2006/relationships/hyperlink" Target="https://www.hhs.gov/sites/default/files/nprm-importation-of-prescription-drugs_12-18-2019.pdf" TargetMode="External"/><Relationship Id="rId33" Type="http://schemas.openxmlformats.org/officeDocument/2006/relationships/hyperlink" Target="https://www.irs.gov/pub/irs-drop/rp-19-44.pdf" TargetMode="External"/><Relationship Id="rId38" Type="http://schemas.openxmlformats.org/officeDocument/2006/relationships/hyperlink" Target="https://benefitcomply.com/compliance-alert-irs-provides-2019-transition-relief-and-an-extended-deadline-for-providing-form-1095-to-employees-and-participa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AppData\Roaming\Microsoft\Templates\Client%20satisfaction%20survey%20report%20(Red%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7D45BD4846E2428EB9F38F68954E8D"/>
        <w:category>
          <w:name w:val="General"/>
          <w:gallery w:val="placeholder"/>
        </w:category>
        <w:types>
          <w:type w:val="bbPlcHdr"/>
        </w:types>
        <w:behaviors>
          <w:behavior w:val="content"/>
        </w:behaviors>
        <w:guid w:val="{9B5F3BC9-B77B-EE45-A986-60DD13E017CF}"/>
      </w:docPartPr>
      <w:docPartBody>
        <w:p w:rsidR="00942F34" w:rsidRDefault="00AB1C8C" w:rsidP="00AB1C8C">
          <w:pPr>
            <w:pStyle w:val="807D45BD4846E2428EB9F38F68954E8D"/>
          </w:pPr>
          <w:r>
            <w:rPr>
              <w:lang w:val="en"/>
            </w:rPr>
            <w:t>focus</w:t>
          </w:r>
        </w:p>
      </w:docPartBody>
    </w:docPart>
    <w:docPart>
      <w:docPartPr>
        <w:name w:val="77DD6E8A713ED24886BA01C76841B757"/>
        <w:category>
          <w:name w:val="General"/>
          <w:gallery w:val="placeholder"/>
        </w:category>
        <w:types>
          <w:type w:val="bbPlcHdr"/>
        </w:types>
        <w:behaviors>
          <w:behavior w:val="content"/>
        </w:behaviors>
        <w:guid w:val="{E51F1326-DB35-8D4E-AF3C-B662E28B87E4}"/>
      </w:docPartPr>
      <w:docPartBody>
        <w:p w:rsidR="00942F34" w:rsidRDefault="00AB1C8C" w:rsidP="00AB1C8C">
          <w:pPr>
            <w:pStyle w:val="77DD6E8A713ED24886BA01C76841B757"/>
          </w:pPr>
          <w:r w:rsidRPr="005075CA">
            <w:t>ISSUE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B0604020202020204"/>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C8C"/>
    <w:rsid w:val="0000144E"/>
    <w:rsid w:val="00075478"/>
    <w:rsid w:val="00922DB4"/>
    <w:rsid w:val="00942F34"/>
    <w:rsid w:val="00AB1C8C"/>
    <w:rsid w:val="00C602AD"/>
    <w:rsid w:val="00CF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7D45BD4846E2428EB9F38F68954E8D">
    <w:name w:val="807D45BD4846E2428EB9F38F68954E8D"/>
    <w:rsid w:val="00AB1C8C"/>
  </w:style>
  <w:style w:type="paragraph" w:customStyle="1" w:styleId="F886CE50C390E048AA454A2BD9C487AF">
    <w:name w:val="F886CE50C390E048AA454A2BD9C487AF"/>
    <w:rsid w:val="00AB1C8C"/>
  </w:style>
  <w:style w:type="paragraph" w:customStyle="1" w:styleId="6AD9EFCB11BE8740B7B31D511DCF679E">
    <w:name w:val="6AD9EFCB11BE8740B7B31D511DCF679E"/>
    <w:rsid w:val="00AB1C8C"/>
  </w:style>
  <w:style w:type="paragraph" w:customStyle="1" w:styleId="E29829DCE68B5342BD0840A7DEF75941">
    <w:name w:val="E29829DCE68B5342BD0840A7DEF75941"/>
    <w:rsid w:val="00AB1C8C"/>
  </w:style>
  <w:style w:type="paragraph" w:customStyle="1" w:styleId="370524DFCCF67A4681B0538404EE20D0">
    <w:name w:val="370524DFCCF67A4681B0538404EE20D0"/>
    <w:rsid w:val="00AB1C8C"/>
  </w:style>
  <w:style w:type="paragraph" w:customStyle="1" w:styleId="ED771BFC8C55B94FAE72CD63D20ABC06">
    <w:name w:val="ED771BFC8C55B94FAE72CD63D20ABC06"/>
    <w:rsid w:val="00AB1C8C"/>
  </w:style>
  <w:style w:type="paragraph" w:customStyle="1" w:styleId="4DC6FC875F9F5849BEF99AFC856D48F9">
    <w:name w:val="4DC6FC875F9F5849BEF99AFC856D48F9"/>
    <w:rsid w:val="00AB1C8C"/>
  </w:style>
  <w:style w:type="paragraph" w:customStyle="1" w:styleId="49433B58F85BBF4295E1E266223BD3B3">
    <w:name w:val="49433B58F85BBF4295E1E266223BD3B3"/>
    <w:rsid w:val="00AB1C8C"/>
  </w:style>
  <w:style w:type="paragraph" w:customStyle="1" w:styleId="2368E1B90066B04F86F0E1834DF20F65">
    <w:name w:val="2368E1B90066B04F86F0E1834DF20F65"/>
    <w:rsid w:val="00AB1C8C"/>
  </w:style>
  <w:style w:type="paragraph" w:customStyle="1" w:styleId="57A4F8BBFE5D4B40B12EFA5E7A90B983">
    <w:name w:val="57A4F8BBFE5D4B40B12EFA5E7A90B983"/>
    <w:rsid w:val="00AB1C8C"/>
  </w:style>
  <w:style w:type="paragraph" w:customStyle="1" w:styleId="77DD6E8A713ED24886BA01C76841B757">
    <w:name w:val="77DD6E8A713ED24886BA01C76841B757"/>
    <w:rsid w:val="00AB1C8C"/>
  </w:style>
  <w:style w:type="paragraph" w:customStyle="1" w:styleId="E66B8DF8D1E2434884412258C7055563">
    <w:name w:val="E66B8DF8D1E2434884412258C7055563"/>
    <w:rsid w:val="00AB1C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D53010-0FF8-448C-9025-17B08B4B7876}">
  <ds:schemaRefs>
    <ds:schemaRef ds:uri="http://schemas.microsoft.com/sharepoint/v3/contenttype/forms"/>
  </ds:schemaRefs>
</ds:datastoreItem>
</file>

<file path=customXml/itemProps3.xml><?xml version="1.0" encoding="utf-8"?>
<ds:datastoreItem xmlns:ds="http://schemas.openxmlformats.org/officeDocument/2006/customXml" ds:itemID="{40191444-8098-2241-8B1D-08E0391BB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C:\Users\Bob\AppData\Roaming\Microsoft\Templates\Client satisfaction survey report (Red design).dotx</Template>
  <TotalTime>10</TotalTime>
  <Pages>5</Pages>
  <Words>1747</Words>
  <Characters>9962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Benefit Comply Service Report</vt:lpstr>
    </vt:vector>
  </TitlesOfParts>
  <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 Comply Service Report</dc:title>
  <dc:subject/>
  <dc:creator>Bob</dc:creator>
  <cp:keywords/>
  <dc:description/>
  <cp:lastModifiedBy>Anthony Radecki</cp:lastModifiedBy>
  <cp:revision>4</cp:revision>
  <cp:lastPrinted>2019-10-18T17:57:00Z</cp:lastPrinted>
  <dcterms:created xsi:type="dcterms:W3CDTF">2019-12-30T16:59:00Z</dcterms:created>
  <dcterms:modified xsi:type="dcterms:W3CDTF">2019-12-30T17:48:00Z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TC039786259991</vt:lpwstr>
  </property>
</Properties>
</file>