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8376C" w14:textId="08B11C3C" w:rsidR="006C7EC1" w:rsidRPr="00605355" w:rsidRDefault="00D51343" w:rsidP="006C7EC1">
      <w:pPr>
        <w:jc w:val="center"/>
        <w:rPr>
          <w:b/>
          <w:szCs w:val="20"/>
        </w:rPr>
      </w:pPr>
      <w:r>
        <w:rPr>
          <w:noProof/>
        </w:rPr>
        <mc:AlternateContent>
          <mc:Choice Requires="wps">
            <w:drawing>
              <wp:anchor distT="0" distB="0" distL="114300" distR="114300" simplePos="0" relativeHeight="251639296" behindDoc="0" locked="0" layoutInCell="1" allowOverlap="1" wp14:anchorId="002F5604" wp14:editId="0C6E90AE">
                <wp:simplePos x="0" y="0"/>
                <wp:positionH relativeFrom="column">
                  <wp:posOffset>2646680</wp:posOffset>
                </wp:positionH>
                <wp:positionV relativeFrom="paragraph">
                  <wp:posOffset>-694055</wp:posOffset>
                </wp:positionV>
                <wp:extent cx="4724400" cy="605155"/>
                <wp:effectExtent l="0" t="0" r="0" b="0"/>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F5604" id="_x0000_t202" coordsize="21600,21600" o:spt="202" path="m,l,21600r21600,l21600,xe">
                <v:stroke joinstyle="miter"/>
                <v:path gradientshapeok="t" o:connecttype="rect"/>
              </v:shapetype>
              <v:shape id="Text Box 8" o:spid="_x0000_s1026" type="#_x0000_t202" style="position:absolute;left:0;text-align:left;margin-left:208.4pt;margin-top:-54.65pt;width:372pt;height:47.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" filled="f" stroked="f">
                <v:textbo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v:textbox>
              </v:shape>
            </w:pict>
          </mc:Fallback>
        </mc:AlternateContent>
      </w:r>
      <w:r>
        <w:rPr>
          <w:noProof/>
        </w:rPr>
        <w:drawing>
          <wp:anchor distT="0" distB="0" distL="114300" distR="114300" simplePos="0" relativeHeight="251640320" behindDoc="1" locked="0" layoutInCell="1" allowOverlap="1" wp14:anchorId="3303793F" wp14:editId="7CDE45EC">
            <wp:simplePos x="0" y="0"/>
            <wp:positionH relativeFrom="column">
              <wp:posOffset>-670560</wp:posOffset>
            </wp:positionH>
            <wp:positionV relativeFrom="paragraph">
              <wp:posOffset>-908685</wp:posOffset>
            </wp:positionV>
            <wp:extent cx="7823200" cy="802640"/>
            <wp:effectExtent l="0" t="0" r="0" b="0"/>
            <wp:wrapNone/>
            <wp:docPr id="58"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318FA" w14:textId="4C40958E" w:rsidR="00470E94" w:rsidRDefault="004C660E" w:rsidP="001F50F8">
      <w:pPr>
        <w:pStyle w:val="Heading2"/>
        <w:ind w:left="0"/>
        <w:rPr>
          <w:rFonts w:ascii="Arial" w:hAnsi="Arial" w:cs="Arial"/>
          <w:sz w:val="36"/>
          <w:szCs w:val="36"/>
          <w:lang w:val="en-US"/>
        </w:rPr>
      </w:pPr>
      <w:r>
        <w:rPr>
          <w:rFonts w:ascii="Arial" w:hAnsi="Arial" w:cs="Arial"/>
          <w:sz w:val="36"/>
          <w:szCs w:val="36"/>
          <w:lang w:val="en-US"/>
        </w:rPr>
        <w:t>Coronavirus (</w:t>
      </w:r>
      <w:r w:rsidR="00F70102">
        <w:rPr>
          <w:rFonts w:ascii="Arial" w:hAnsi="Arial" w:cs="Arial"/>
          <w:sz w:val="36"/>
          <w:szCs w:val="36"/>
          <w:lang w:val="en-US"/>
        </w:rPr>
        <w:t>COVID-19</w:t>
      </w:r>
      <w:r>
        <w:rPr>
          <w:rFonts w:ascii="Arial" w:hAnsi="Arial" w:cs="Arial"/>
          <w:sz w:val="36"/>
          <w:szCs w:val="36"/>
          <w:lang w:val="en-US"/>
        </w:rPr>
        <w:t>)</w:t>
      </w:r>
      <w:r w:rsidR="00F12F1B">
        <w:rPr>
          <w:rFonts w:ascii="Arial" w:hAnsi="Arial" w:cs="Arial"/>
          <w:sz w:val="36"/>
          <w:szCs w:val="36"/>
          <w:lang w:val="en-US"/>
        </w:rPr>
        <w:t xml:space="preserve"> – </w:t>
      </w:r>
      <w:r w:rsidR="000D3FBC">
        <w:rPr>
          <w:rFonts w:ascii="Arial" w:hAnsi="Arial" w:cs="Arial"/>
          <w:sz w:val="36"/>
          <w:szCs w:val="36"/>
          <w:lang w:val="en-US"/>
        </w:rPr>
        <w:t xml:space="preserve">Benefit Eligibility during </w:t>
      </w:r>
      <w:r w:rsidR="00F12F1B">
        <w:rPr>
          <w:rFonts w:ascii="Arial" w:hAnsi="Arial" w:cs="Arial"/>
          <w:sz w:val="36"/>
          <w:szCs w:val="36"/>
          <w:lang w:val="en-US"/>
        </w:rPr>
        <w:t xml:space="preserve">Sick Leave, </w:t>
      </w:r>
      <w:r w:rsidR="00DE4E19">
        <w:rPr>
          <w:rFonts w:ascii="Arial" w:hAnsi="Arial" w:cs="Arial"/>
          <w:sz w:val="36"/>
          <w:szCs w:val="36"/>
          <w:lang w:val="en-US"/>
        </w:rPr>
        <w:t>Furloughs and Terminations</w:t>
      </w:r>
    </w:p>
    <w:p w14:paraId="12BFD025" w14:textId="31F26456" w:rsidR="00651B68" w:rsidRDefault="00651B68" w:rsidP="00651B68">
      <w:pPr>
        <w:ind w:left="0"/>
        <w:rPr>
          <w:lang w:eastAsia="x-none" w:bidi="ar-SA"/>
        </w:rPr>
      </w:pPr>
    </w:p>
    <w:p w14:paraId="3AFFFDC0" w14:textId="091BF5DE" w:rsidR="00A90172" w:rsidRPr="00A90172" w:rsidRDefault="005E17F7" w:rsidP="00651B68">
      <w:pPr>
        <w:ind w:left="0"/>
        <w:rPr>
          <w:b/>
          <w:bCs/>
          <w:lang w:eastAsia="x-none" w:bidi="ar-SA"/>
        </w:rPr>
      </w:pPr>
      <w:r>
        <w:rPr>
          <w:b/>
          <w:bCs/>
          <w:lang w:eastAsia="x-none" w:bidi="ar-SA"/>
        </w:rPr>
        <w:t>March</w:t>
      </w:r>
      <w:r w:rsidR="00A90172">
        <w:rPr>
          <w:b/>
          <w:bCs/>
          <w:lang w:eastAsia="x-none" w:bidi="ar-SA"/>
        </w:rPr>
        <w:t xml:space="preserve"> 2020</w:t>
      </w:r>
    </w:p>
    <w:p w14:paraId="286E66D9" w14:textId="3DB7D170" w:rsidR="00E67AB9" w:rsidRDefault="003C61A1" w:rsidP="00E67AB9">
      <w:pPr>
        <w:pStyle w:val="Heading2"/>
        <w:ind w:left="0"/>
        <w:rPr>
          <w:rFonts w:ascii="Arial" w:hAnsi="Arial" w:cs="Arial"/>
          <w:b w:val="0"/>
          <w:bCs w:val="0"/>
          <w:sz w:val="20"/>
          <w:szCs w:val="20"/>
          <w:lang w:val="en-US"/>
        </w:rPr>
      </w:pPr>
      <w:r>
        <w:rPr>
          <w:rFonts w:ascii="Arial" w:hAnsi="Arial" w:cs="Arial"/>
          <w:b w:val="0"/>
          <w:bCs w:val="0"/>
          <w:sz w:val="20"/>
          <w:szCs w:val="20"/>
          <w:lang w:val="en-US"/>
        </w:rPr>
        <w:t xml:space="preserve">Many employers </w:t>
      </w:r>
      <w:r w:rsidR="005E27CD">
        <w:rPr>
          <w:rFonts w:ascii="Arial" w:hAnsi="Arial" w:cs="Arial"/>
          <w:b w:val="0"/>
          <w:bCs w:val="0"/>
          <w:sz w:val="20"/>
          <w:szCs w:val="20"/>
          <w:lang w:val="en-US"/>
        </w:rPr>
        <w:t xml:space="preserve">are </w:t>
      </w:r>
      <w:r w:rsidR="00232ED4">
        <w:rPr>
          <w:rFonts w:ascii="Arial" w:hAnsi="Arial" w:cs="Arial"/>
          <w:b w:val="0"/>
          <w:bCs w:val="0"/>
          <w:sz w:val="20"/>
          <w:szCs w:val="20"/>
          <w:lang w:val="en-US"/>
        </w:rPr>
        <w:t>faced with</w:t>
      </w:r>
      <w:r w:rsidR="005E27CD">
        <w:rPr>
          <w:rFonts w:ascii="Arial" w:hAnsi="Arial" w:cs="Arial"/>
          <w:b w:val="0"/>
          <w:bCs w:val="0"/>
          <w:sz w:val="20"/>
          <w:szCs w:val="20"/>
          <w:lang w:val="en-US"/>
        </w:rPr>
        <w:t xml:space="preserve"> </w:t>
      </w:r>
      <w:r w:rsidR="002136F8">
        <w:rPr>
          <w:rFonts w:ascii="Arial" w:hAnsi="Arial" w:cs="Arial"/>
          <w:b w:val="0"/>
          <w:bCs w:val="0"/>
          <w:sz w:val="20"/>
          <w:szCs w:val="20"/>
          <w:lang w:val="en-US"/>
        </w:rPr>
        <w:t xml:space="preserve">a significant number of </w:t>
      </w:r>
      <w:r w:rsidR="005E27CD">
        <w:rPr>
          <w:rFonts w:ascii="Arial" w:hAnsi="Arial" w:cs="Arial"/>
          <w:b w:val="0"/>
          <w:bCs w:val="0"/>
          <w:sz w:val="20"/>
          <w:szCs w:val="20"/>
          <w:lang w:val="en-US"/>
        </w:rPr>
        <w:t xml:space="preserve">employee leaves of absence and </w:t>
      </w:r>
      <w:r w:rsidR="00977B85">
        <w:rPr>
          <w:rFonts w:ascii="Arial" w:hAnsi="Arial" w:cs="Arial"/>
          <w:b w:val="0"/>
          <w:bCs w:val="0"/>
          <w:sz w:val="20"/>
          <w:szCs w:val="20"/>
          <w:lang w:val="en-US"/>
        </w:rPr>
        <w:t xml:space="preserve">employment </w:t>
      </w:r>
      <w:r w:rsidR="005E27CD">
        <w:rPr>
          <w:rFonts w:ascii="Arial" w:hAnsi="Arial" w:cs="Arial"/>
          <w:b w:val="0"/>
          <w:bCs w:val="0"/>
          <w:sz w:val="20"/>
          <w:szCs w:val="20"/>
          <w:lang w:val="en-US"/>
        </w:rPr>
        <w:t>termination</w:t>
      </w:r>
      <w:r w:rsidR="002136F8">
        <w:rPr>
          <w:rFonts w:ascii="Arial" w:hAnsi="Arial" w:cs="Arial"/>
          <w:b w:val="0"/>
          <w:bCs w:val="0"/>
          <w:sz w:val="20"/>
          <w:szCs w:val="20"/>
          <w:lang w:val="en-US"/>
        </w:rPr>
        <w:t xml:space="preserve">s related to </w:t>
      </w:r>
      <w:r w:rsidR="004C660E">
        <w:rPr>
          <w:rFonts w:ascii="Arial" w:hAnsi="Arial" w:cs="Arial"/>
          <w:b w:val="0"/>
          <w:bCs w:val="0"/>
          <w:sz w:val="20"/>
          <w:szCs w:val="20"/>
          <w:lang w:val="en-US"/>
        </w:rPr>
        <w:t>COVID-19</w:t>
      </w:r>
      <w:r w:rsidR="006954EF">
        <w:rPr>
          <w:rFonts w:ascii="Arial" w:hAnsi="Arial" w:cs="Arial"/>
          <w:b w:val="0"/>
          <w:bCs w:val="0"/>
          <w:sz w:val="20"/>
          <w:szCs w:val="20"/>
          <w:lang w:val="en-US"/>
        </w:rPr>
        <w:t xml:space="preserve">. </w:t>
      </w:r>
      <w:r w:rsidR="00913F40">
        <w:rPr>
          <w:rFonts w:ascii="Arial" w:hAnsi="Arial" w:cs="Arial"/>
          <w:b w:val="0"/>
          <w:bCs w:val="0"/>
          <w:sz w:val="20"/>
          <w:szCs w:val="20"/>
          <w:lang w:val="en-US"/>
        </w:rPr>
        <w:t xml:space="preserve">While </w:t>
      </w:r>
      <w:r w:rsidR="005B59FC">
        <w:rPr>
          <w:rFonts w:ascii="Arial" w:hAnsi="Arial" w:cs="Arial"/>
          <w:b w:val="0"/>
          <w:bCs w:val="0"/>
          <w:sz w:val="20"/>
          <w:szCs w:val="20"/>
          <w:lang w:val="en-US"/>
        </w:rPr>
        <w:t xml:space="preserve">questions regarding </w:t>
      </w:r>
      <w:r w:rsidR="007A7A8C">
        <w:rPr>
          <w:rFonts w:ascii="Arial" w:hAnsi="Arial" w:cs="Arial"/>
          <w:b w:val="0"/>
          <w:bCs w:val="0"/>
          <w:sz w:val="20"/>
          <w:szCs w:val="20"/>
          <w:lang w:val="en-US"/>
        </w:rPr>
        <w:t xml:space="preserve">how employers determine whether </w:t>
      </w:r>
      <w:r w:rsidR="006E4439">
        <w:rPr>
          <w:rFonts w:ascii="Arial" w:hAnsi="Arial" w:cs="Arial"/>
          <w:b w:val="0"/>
          <w:bCs w:val="0"/>
          <w:sz w:val="20"/>
          <w:szCs w:val="20"/>
          <w:lang w:val="en-US"/>
        </w:rPr>
        <w:t>leaves, furloughs or lay-offs are appropriate,</w:t>
      </w:r>
      <w:r w:rsidR="00583F06">
        <w:rPr>
          <w:rFonts w:ascii="Arial" w:hAnsi="Arial" w:cs="Arial"/>
          <w:b w:val="0"/>
          <w:bCs w:val="0"/>
          <w:sz w:val="20"/>
          <w:szCs w:val="20"/>
          <w:lang w:val="en-US"/>
        </w:rPr>
        <w:t xml:space="preserve"> including the handling of wages</w:t>
      </w:r>
      <w:r w:rsidR="006E4439">
        <w:rPr>
          <w:rFonts w:ascii="Arial" w:hAnsi="Arial" w:cs="Arial"/>
          <w:b w:val="0"/>
          <w:bCs w:val="0"/>
          <w:sz w:val="20"/>
          <w:szCs w:val="20"/>
          <w:lang w:val="en-US"/>
        </w:rPr>
        <w:t>,</w:t>
      </w:r>
      <w:r w:rsidR="00583F06">
        <w:rPr>
          <w:rFonts w:ascii="Arial" w:hAnsi="Arial" w:cs="Arial"/>
          <w:b w:val="0"/>
          <w:bCs w:val="0"/>
          <w:sz w:val="20"/>
          <w:szCs w:val="20"/>
          <w:lang w:val="en-US"/>
        </w:rPr>
        <w:t xml:space="preserve"> </w:t>
      </w:r>
      <w:r w:rsidR="00C662A3">
        <w:rPr>
          <w:rFonts w:ascii="Arial" w:hAnsi="Arial" w:cs="Arial"/>
          <w:b w:val="0"/>
          <w:bCs w:val="0"/>
          <w:sz w:val="20"/>
          <w:szCs w:val="20"/>
          <w:lang w:val="en-US"/>
        </w:rPr>
        <w:t>would be better addressed by HR or employment law counsel, we can help provide some clarity around how to handle benefit eligibility.</w:t>
      </w:r>
      <w:r w:rsidR="00AD0FF5">
        <w:rPr>
          <w:rFonts w:ascii="Arial" w:hAnsi="Arial" w:cs="Arial"/>
          <w:b w:val="0"/>
          <w:bCs w:val="0"/>
          <w:sz w:val="20"/>
          <w:szCs w:val="20"/>
          <w:lang w:val="en-US"/>
        </w:rPr>
        <w:t xml:space="preserve"> </w:t>
      </w:r>
      <w:r w:rsidR="00C662A3">
        <w:rPr>
          <w:rFonts w:ascii="Arial" w:hAnsi="Arial" w:cs="Arial"/>
          <w:b w:val="0"/>
          <w:bCs w:val="0"/>
          <w:sz w:val="20"/>
          <w:szCs w:val="20"/>
          <w:lang w:val="en-US"/>
        </w:rPr>
        <w:t>W</w:t>
      </w:r>
      <w:r w:rsidR="006954EF">
        <w:rPr>
          <w:rFonts w:ascii="Arial" w:hAnsi="Arial" w:cs="Arial"/>
          <w:b w:val="0"/>
          <w:bCs w:val="0"/>
          <w:sz w:val="20"/>
          <w:szCs w:val="20"/>
          <w:lang w:val="en-US"/>
        </w:rPr>
        <w:t>e expect additional guidance and clarification</w:t>
      </w:r>
      <w:r w:rsidR="001C64ED">
        <w:rPr>
          <w:rFonts w:ascii="Arial" w:hAnsi="Arial" w:cs="Arial"/>
          <w:b w:val="0"/>
          <w:bCs w:val="0"/>
          <w:sz w:val="20"/>
          <w:szCs w:val="20"/>
          <w:lang w:val="en-US"/>
        </w:rPr>
        <w:t xml:space="preserve"> </w:t>
      </w:r>
      <w:r w:rsidR="006954EF">
        <w:rPr>
          <w:rFonts w:ascii="Arial" w:hAnsi="Arial" w:cs="Arial"/>
          <w:b w:val="0"/>
          <w:bCs w:val="0"/>
          <w:sz w:val="20"/>
          <w:szCs w:val="20"/>
          <w:lang w:val="en-US"/>
        </w:rPr>
        <w:t>from federal and state government agencies over the next several weeks</w:t>
      </w:r>
      <w:r w:rsidR="00A66E09">
        <w:rPr>
          <w:rFonts w:ascii="Arial" w:hAnsi="Arial" w:cs="Arial"/>
          <w:b w:val="0"/>
          <w:bCs w:val="0"/>
          <w:sz w:val="20"/>
          <w:szCs w:val="20"/>
          <w:lang w:val="en-US"/>
        </w:rPr>
        <w:t xml:space="preserve">, </w:t>
      </w:r>
      <w:r w:rsidR="00FE2B1C">
        <w:rPr>
          <w:rFonts w:ascii="Arial" w:hAnsi="Arial" w:cs="Arial"/>
          <w:b w:val="0"/>
          <w:bCs w:val="0"/>
          <w:sz w:val="20"/>
          <w:szCs w:val="20"/>
          <w:lang w:val="en-US"/>
        </w:rPr>
        <w:t>perhaps providing some exceptions and requirements in regard to benefit eligibility</w:t>
      </w:r>
      <w:r w:rsidR="004F1328">
        <w:rPr>
          <w:rFonts w:ascii="Arial" w:hAnsi="Arial" w:cs="Arial"/>
          <w:b w:val="0"/>
          <w:bCs w:val="0"/>
          <w:sz w:val="20"/>
          <w:szCs w:val="20"/>
          <w:lang w:val="en-US"/>
        </w:rPr>
        <w:t xml:space="preserve">; however, </w:t>
      </w:r>
      <w:r w:rsidR="00BB1852">
        <w:rPr>
          <w:rFonts w:ascii="Arial" w:hAnsi="Arial" w:cs="Arial"/>
          <w:b w:val="0"/>
          <w:bCs w:val="0"/>
          <w:sz w:val="20"/>
          <w:szCs w:val="20"/>
          <w:lang w:val="en-US"/>
        </w:rPr>
        <w:t>there are some general guidelines which already exist that we can follow in the meantime.</w:t>
      </w:r>
      <w:r w:rsidR="007A47CD">
        <w:rPr>
          <w:rFonts w:ascii="Arial" w:hAnsi="Arial" w:cs="Arial"/>
          <w:b w:val="0"/>
          <w:bCs w:val="0"/>
          <w:sz w:val="20"/>
          <w:szCs w:val="20"/>
          <w:lang w:val="en-US"/>
        </w:rPr>
        <w:t xml:space="preserve"> </w:t>
      </w:r>
    </w:p>
    <w:p w14:paraId="46F56B7E" w14:textId="77777777" w:rsidR="007A47CD" w:rsidRDefault="007A47CD" w:rsidP="00BB1852">
      <w:pPr>
        <w:ind w:left="0"/>
        <w:rPr>
          <w:lang w:eastAsia="x-none" w:bidi="ar-SA"/>
        </w:rPr>
      </w:pPr>
    </w:p>
    <w:p w14:paraId="019995F0" w14:textId="77777777" w:rsidR="0064520C" w:rsidRDefault="0064520C" w:rsidP="00BB1852">
      <w:pPr>
        <w:ind w:left="0"/>
        <w:rPr>
          <w:b/>
          <w:bCs/>
          <w:lang w:eastAsia="x-none" w:bidi="ar-SA"/>
        </w:rPr>
      </w:pPr>
      <w:r>
        <w:rPr>
          <w:b/>
          <w:bCs/>
          <w:lang w:eastAsia="x-none" w:bidi="ar-SA"/>
        </w:rPr>
        <w:t>Sick Leave</w:t>
      </w:r>
    </w:p>
    <w:p w14:paraId="49F4C2FF" w14:textId="71358661" w:rsidR="00BB1852" w:rsidRDefault="0046786C" w:rsidP="00BB1852">
      <w:pPr>
        <w:ind w:left="0"/>
        <w:rPr>
          <w:lang w:eastAsia="x-none" w:bidi="ar-SA"/>
        </w:rPr>
      </w:pPr>
      <w:r>
        <w:rPr>
          <w:lang w:eastAsia="x-none" w:bidi="ar-SA"/>
        </w:rPr>
        <w:t xml:space="preserve">For those employees who request leave due to their own </w:t>
      </w:r>
      <w:r w:rsidR="004C660E">
        <w:rPr>
          <w:lang w:eastAsia="x-none" w:bidi="ar-SA"/>
        </w:rPr>
        <w:t>COVID-19</w:t>
      </w:r>
      <w:r w:rsidR="00C24BAE">
        <w:rPr>
          <w:lang w:eastAsia="x-none" w:bidi="ar-SA"/>
        </w:rPr>
        <w:t xml:space="preserve">-related </w:t>
      </w:r>
      <w:r w:rsidR="008874B8">
        <w:rPr>
          <w:lang w:eastAsia="x-none" w:bidi="ar-SA"/>
        </w:rPr>
        <w:t>illness,</w:t>
      </w:r>
      <w:r w:rsidR="0064520C">
        <w:rPr>
          <w:lang w:eastAsia="x-none" w:bidi="ar-SA"/>
        </w:rPr>
        <w:t xml:space="preserve"> or to care for a sick family</w:t>
      </w:r>
      <w:r w:rsidR="002D68CA">
        <w:rPr>
          <w:lang w:eastAsia="x-none" w:bidi="ar-SA"/>
        </w:rPr>
        <w:t xml:space="preserve"> affected</w:t>
      </w:r>
      <w:r w:rsidR="008874B8">
        <w:rPr>
          <w:lang w:eastAsia="x-none" w:bidi="ar-SA"/>
        </w:rPr>
        <w:t xml:space="preserve"> by </w:t>
      </w:r>
      <w:r w:rsidR="004C660E">
        <w:rPr>
          <w:lang w:eastAsia="x-none" w:bidi="ar-SA"/>
        </w:rPr>
        <w:t>COVID-19</w:t>
      </w:r>
      <w:r w:rsidR="008874B8">
        <w:rPr>
          <w:lang w:eastAsia="x-none" w:bidi="ar-SA"/>
        </w:rPr>
        <w:t xml:space="preserve">, </w:t>
      </w:r>
      <w:r w:rsidR="00B1136D">
        <w:rPr>
          <w:lang w:eastAsia="x-none" w:bidi="ar-SA"/>
        </w:rPr>
        <w:t>it is necessary to consider whether FMLA-protected leave applies.</w:t>
      </w:r>
    </w:p>
    <w:p w14:paraId="1C291BEA" w14:textId="7020ABFC" w:rsidR="00B1136D" w:rsidRDefault="00B1136D" w:rsidP="00BB1852">
      <w:pPr>
        <w:ind w:left="0"/>
        <w:rPr>
          <w:lang w:eastAsia="x-none" w:bidi="ar-SA"/>
        </w:rPr>
      </w:pPr>
    </w:p>
    <w:p w14:paraId="37B08118" w14:textId="0A44D042" w:rsidR="00CC3CD7" w:rsidRDefault="00B1136D" w:rsidP="005B59D9">
      <w:pPr>
        <w:ind w:left="0"/>
        <w:rPr>
          <w:lang w:eastAsia="x-none" w:bidi="ar-SA"/>
        </w:rPr>
      </w:pPr>
      <w:r>
        <w:rPr>
          <w:lang w:eastAsia="x-none" w:bidi="ar-SA"/>
        </w:rPr>
        <w:t xml:space="preserve">All public entities are subject to FMLA, regardless of size, while private </w:t>
      </w:r>
      <w:r w:rsidR="00B46ADF">
        <w:rPr>
          <w:lang w:eastAsia="x-none" w:bidi="ar-SA"/>
        </w:rPr>
        <w:t>employers are typically subject to FMLA</w:t>
      </w:r>
      <w:r w:rsidR="00CB73CF">
        <w:rPr>
          <w:lang w:eastAsia="x-none" w:bidi="ar-SA"/>
        </w:rPr>
        <w:t xml:space="preserve"> only if the employer has 50 or more employees. </w:t>
      </w:r>
      <w:r w:rsidR="00236C0D">
        <w:rPr>
          <w:lang w:eastAsia="x-none" w:bidi="ar-SA"/>
        </w:rPr>
        <w:t xml:space="preserve">Employees who request leave for </w:t>
      </w:r>
      <w:r w:rsidR="00855D5C">
        <w:rPr>
          <w:lang w:eastAsia="x-none" w:bidi="ar-SA"/>
        </w:rPr>
        <w:t xml:space="preserve">qualifying reasons </w:t>
      </w:r>
      <w:r w:rsidR="005B59D9">
        <w:rPr>
          <w:lang w:eastAsia="x-none" w:bidi="ar-SA"/>
        </w:rPr>
        <w:t>are eligible for FMLA-protected leave if</w:t>
      </w:r>
      <w:r w:rsidR="00D52271">
        <w:rPr>
          <w:lang w:eastAsia="x-none" w:bidi="ar-SA"/>
        </w:rPr>
        <w:t xml:space="preserve"> they: (i) work</w:t>
      </w:r>
      <w:r w:rsidR="005B59D9">
        <w:rPr>
          <w:lang w:eastAsia="x-none" w:bidi="ar-SA"/>
        </w:rPr>
        <w:t xml:space="preserve"> for a covered employer</w:t>
      </w:r>
      <w:r w:rsidR="00D52271">
        <w:rPr>
          <w:lang w:eastAsia="x-none" w:bidi="ar-SA"/>
        </w:rPr>
        <w:t xml:space="preserve">; (ii) have worked </w:t>
      </w:r>
      <w:r w:rsidR="005B59D9">
        <w:rPr>
          <w:lang w:eastAsia="x-none" w:bidi="ar-SA"/>
        </w:rPr>
        <w:t>for the employer for at least 12 months as of the date the FMLA leave is to start</w:t>
      </w:r>
      <w:r w:rsidR="00D52271">
        <w:rPr>
          <w:lang w:eastAsia="x-none" w:bidi="ar-SA"/>
        </w:rPr>
        <w:t xml:space="preserve">; (iii) have </w:t>
      </w:r>
      <w:r w:rsidR="005B59D9">
        <w:rPr>
          <w:lang w:eastAsia="x-none" w:bidi="ar-SA"/>
        </w:rPr>
        <w:t xml:space="preserve">at least 1,250 hours of service for the employer during the </w:t>
      </w:r>
      <w:r w:rsidR="00764AED">
        <w:rPr>
          <w:lang w:eastAsia="x-none" w:bidi="ar-SA"/>
        </w:rPr>
        <w:t xml:space="preserve">previous </w:t>
      </w:r>
      <w:r w:rsidR="005B59D9">
        <w:rPr>
          <w:lang w:eastAsia="x-none" w:bidi="ar-SA"/>
        </w:rPr>
        <w:t>12-month period</w:t>
      </w:r>
      <w:r w:rsidR="00CC45E1">
        <w:rPr>
          <w:lang w:eastAsia="x-none" w:bidi="ar-SA"/>
        </w:rPr>
        <w:t>;</w:t>
      </w:r>
      <w:r w:rsidR="005B59D9">
        <w:rPr>
          <w:lang w:eastAsia="x-none" w:bidi="ar-SA"/>
        </w:rPr>
        <w:t xml:space="preserve"> and</w:t>
      </w:r>
      <w:r w:rsidR="00CC45E1">
        <w:rPr>
          <w:lang w:eastAsia="x-none" w:bidi="ar-SA"/>
        </w:rPr>
        <w:t xml:space="preserve"> (iv) work</w:t>
      </w:r>
      <w:r w:rsidR="005B59D9">
        <w:rPr>
          <w:lang w:eastAsia="x-none" w:bidi="ar-SA"/>
        </w:rPr>
        <w:t xml:space="preserve"> at a location where the employer employs at least 50 employees within 75 miles of that</w:t>
      </w:r>
      <w:r w:rsidR="00DA7C19">
        <w:rPr>
          <w:lang w:eastAsia="x-none" w:bidi="ar-SA"/>
        </w:rPr>
        <w:t xml:space="preserve"> </w:t>
      </w:r>
      <w:r w:rsidR="005B59D9">
        <w:rPr>
          <w:lang w:eastAsia="x-none" w:bidi="ar-SA"/>
        </w:rPr>
        <w:t>worksite.</w:t>
      </w:r>
      <w:r w:rsidR="00722CCA">
        <w:rPr>
          <w:lang w:eastAsia="x-none" w:bidi="ar-SA"/>
        </w:rPr>
        <w:t xml:space="preserve"> For more detailed information discussing employers subject to FMLA and FMLA requirements, see DOL’s Guide for Employers found here - </w:t>
      </w:r>
      <w:hyperlink r:id="rId9" w:history="1">
        <w:r w:rsidR="00722CCA">
          <w:rPr>
            <w:rStyle w:val="Hyperlink"/>
          </w:rPr>
          <w:t>https://www.dol.gov/sites/dolgov/files/WHD/legacy/files/employerguide.pdf</w:t>
        </w:r>
      </w:hyperlink>
      <w:r w:rsidR="00722CCA">
        <w:t>.</w:t>
      </w:r>
    </w:p>
    <w:p w14:paraId="351DE67F" w14:textId="572070F3" w:rsidR="00AC5CC4" w:rsidRDefault="00AC5CC4" w:rsidP="005B59D9">
      <w:pPr>
        <w:ind w:left="0"/>
        <w:rPr>
          <w:lang w:eastAsia="x-none" w:bidi="ar-SA"/>
        </w:rPr>
      </w:pPr>
    </w:p>
    <w:p w14:paraId="1299F9D0" w14:textId="0CC83940" w:rsidR="00AC5CC4" w:rsidRDefault="00AC5CC4" w:rsidP="005B59D9">
      <w:pPr>
        <w:ind w:left="0"/>
        <w:rPr>
          <w:lang w:eastAsia="x-none" w:bidi="ar-SA"/>
        </w:rPr>
      </w:pPr>
      <w:r>
        <w:rPr>
          <w:lang w:eastAsia="x-none" w:bidi="ar-SA"/>
        </w:rPr>
        <w:t xml:space="preserve">If the employee qualifies for FMLA-protected leave, </w:t>
      </w:r>
      <w:r w:rsidR="00244635">
        <w:rPr>
          <w:lang w:eastAsia="x-none" w:bidi="ar-SA"/>
        </w:rPr>
        <w:t xml:space="preserve">the employer </w:t>
      </w:r>
      <w:r w:rsidR="006E3AEC">
        <w:rPr>
          <w:lang w:eastAsia="x-none" w:bidi="ar-SA"/>
        </w:rPr>
        <w:t xml:space="preserve">must </w:t>
      </w:r>
      <w:r w:rsidR="00244635">
        <w:rPr>
          <w:lang w:eastAsia="x-none" w:bidi="ar-SA"/>
        </w:rPr>
        <w:t xml:space="preserve">continue to offer group health plan benefits </w:t>
      </w:r>
      <w:r w:rsidR="006E3AEC">
        <w:rPr>
          <w:lang w:eastAsia="x-none" w:bidi="ar-SA"/>
        </w:rPr>
        <w:t xml:space="preserve">under the same terms as if the employee was actively at work, including </w:t>
      </w:r>
      <w:r w:rsidR="00A55870">
        <w:rPr>
          <w:lang w:eastAsia="x-none" w:bidi="ar-SA"/>
        </w:rPr>
        <w:t xml:space="preserve"> the same employer and employee contributions for </w:t>
      </w:r>
      <w:r w:rsidR="006E3AEC">
        <w:rPr>
          <w:lang w:eastAsia="x-none" w:bidi="ar-SA"/>
        </w:rPr>
        <w:t>as long as the employee is eligible for FMLA</w:t>
      </w:r>
      <w:r w:rsidR="00E5309F">
        <w:rPr>
          <w:lang w:eastAsia="x-none" w:bidi="ar-SA"/>
        </w:rPr>
        <w:t>-protected</w:t>
      </w:r>
      <w:r w:rsidR="006E3AEC">
        <w:rPr>
          <w:lang w:eastAsia="x-none" w:bidi="ar-SA"/>
        </w:rPr>
        <w:t xml:space="preserve"> leave</w:t>
      </w:r>
      <w:r w:rsidR="00A55870">
        <w:rPr>
          <w:lang w:eastAsia="x-none" w:bidi="ar-SA"/>
        </w:rPr>
        <w:t xml:space="preserve">. </w:t>
      </w:r>
    </w:p>
    <w:p w14:paraId="4B6765B2" w14:textId="58B54032" w:rsidR="00AC0700" w:rsidRDefault="00AC0700" w:rsidP="005B59D9">
      <w:pPr>
        <w:ind w:left="0"/>
        <w:rPr>
          <w:lang w:eastAsia="x-none" w:bidi="ar-SA"/>
        </w:rPr>
      </w:pPr>
    </w:p>
    <w:p w14:paraId="3C6C9289" w14:textId="6A141F59" w:rsidR="00AC0700" w:rsidRDefault="00AC0700" w:rsidP="005B59D9">
      <w:pPr>
        <w:ind w:left="0"/>
        <w:rPr>
          <w:lang w:eastAsia="x-none" w:bidi="ar-SA"/>
        </w:rPr>
      </w:pPr>
      <w:r>
        <w:rPr>
          <w:lang w:eastAsia="x-none" w:bidi="ar-SA"/>
        </w:rPr>
        <w:t xml:space="preserve">For those employees who do not qualify for FMLA-protected leave, </w:t>
      </w:r>
      <w:r w:rsidR="00A15764" w:rsidRPr="00A15764">
        <w:rPr>
          <w:lang w:eastAsia="x-none" w:bidi="ar-SA"/>
        </w:rPr>
        <w:t xml:space="preserve">benefit eligibility </w:t>
      </w:r>
      <w:r w:rsidR="00A15764">
        <w:rPr>
          <w:lang w:eastAsia="x-none" w:bidi="ar-SA"/>
        </w:rPr>
        <w:t>may be</w:t>
      </w:r>
      <w:r w:rsidR="00A15764" w:rsidRPr="00A15764">
        <w:rPr>
          <w:lang w:eastAsia="x-none" w:bidi="ar-SA"/>
        </w:rPr>
        <w:t xml:space="preserve"> lost upon leave (or at the end of the month in which leave is taken) unless the employer has a leave policy which allows for an extension of benefit eligibility. If the employee is no longer considered eligible and there isn't a leave policy extending benefit eligibility, coverage should be </w:t>
      </w:r>
      <w:proofErr w:type="gramStart"/>
      <w:r w:rsidR="00A15764" w:rsidRPr="00A15764">
        <w:rPr>
          <w:lang w:eastAsia="x-none" w:bidi="ar-SA"/>
        </w:rPr>
        <w:t>terminated</w:t>
      </w:r>
      <w:proofErr w:type="gramEnd"/>
      <w:r w:rsidR="00A15764" w:rsidRPr="00A15764">
        <w:rPr>
          <w:lang w:eastAsia="x-none" w:bidi="ar-SA"/>
        </w:rPr>
        <w:t xml:space="preserve"> and COBRA offered.</w:t>
      </w:r>
      <w:r w:rsidR="006E3AEC">
        <w:rPr>
          <w:lang w:eastAsia="x-none" w:bidi="ar-SA"/>
        </w:rPr>
        <w:t xml:space="preserve"> Remember that a reduction in hours that causes a loss of eligibility is a COBRA </w:t>
      </w:r>
      <w:r w:rsidR="00E5309F">
        <w:rPr>
          <w:lang w:eastAsia="x-none" w:bidi="ar-SA"/>
        </w:rPr>
        <w:t xml:space="preserve">qualifying </w:t>
      </w:r>
      <w:r w:rsidR="006E3AEC">
        <w:rPr>
          <w:lang w:eastAsia="x-none" w:bidi="ar-SA"/>
        </w:rPr>
        <w:t>event for an employee even if employment is not terminated.</w:t>
      </w:r>
    </w:p>
    <w:p w14:paraId="2672CE4C" w14:textId="77777777" w:rsidR="00CC3CD7" w:rsidRDefault="00CC3CD7" w:rsidP="00BB1852">
      <w:pPr>
        <w:ind w:left="0"/>
        <w:rPr>
          <w:lang w:eastAsia="x-none" w:bidi="ar-SA"/>
        </w:rPr>
      </w:pPr>
    </w:p>
    <w:p w14:paraId="0497483D" w14:textId="7C139AF2" w:rsidR="000C409F" w:rsidRPr="00BE5D51" w:rsidRDefault="00BE5D51" w:rsidP="009F67B4">
      <w:pPr>
        <w:ind w:left="0"/>
        <w:rPr>
          <w:rFonts w:cs="Arial"/>
          <w:b/>
          <w:bCs/>
          <w:szCs w:val="20"/>
        </w:rPr>
      </w:pPr>
      <w:r>
        <w:rPr>
          <w:rFonts w:cs="Arial"/>
          <w:b/>
          <w:bCs/>
          <w:szCs w:val="20"/>
        </w:rPr>
        <w:t>Furlough</w:t>
      </w:r>
    </w:p>
    <w:p w14:paraId="7122E0E0" w14:textId="34A50C2A" w:rsidR="008415B9" w:rsidRPr="008415B9" w:rsidRDefault="00644A0B" w:rsidP="008415B9">
      <w:pPr>
        <w:ind w:left="0"/>
        <w:rPr>
          <w:rFonts w:cs="Arial"/>
          <w:color w:val="000000"/>
          <w:szCs w:val="20"/>
        </w:rPr>
      </w:pPr>
      <w:r>
        <w:rPr>
          <w:rFonts w:cs="Arial"/>
          <w:color w:val="000000"/>
          <w:szCs w:val="20"/>
        </w:rPr>
        <w:t xml:space="preserve">Employers </w:t>
      </w:r>
      <w:r w:rsidR="00CA680B">
        <w:rPr>
          <w:rFonts w:cs="Arial"/>
          <w:color w:val="000000"/>
          <w:szCs w:val="20"/>
        </w:rPr>
        <w:t xml:space="preserve">may </w:t>
      </w:r>
      <w:r w:rsidR="00B57CD8">
        <w:rPr>
          <w:rFonts w:cs="Arial"/>
          <w:color w:val="000000"/>
          <w:szCs w:val="20"/>
        </w:rPr>
        <w:t>be forced by government</w:t>
      </w:r>
      <w:r w:rsidR="00792F14">
        <w:rPr>
          <w:rFonts w:cs="Arial"/>
          <w:color w:val="000000"/>
          <w:szCs w:val="20"/>
        </w:rPr>
        <w:t xml:space="preserve"> order, public health considerations, or</w:t>
      </w:r>
      <w:r w:rsidR="00B57CD8">
        <w:rPr>
          <w:rFonts w:cs="Arial"/>
          <w:color w:val="000000"/>
          <w:szCs w:val="20"/>
        </w:rPr>
        <w:t xml:space="preserve"> economic circumstances</w:t>
      </w:r>
      <w:r w:rsidR="00CA680B">
        <w:rPr>
          <w:rFonts w:cs="Arial"/>
          <w:color w:val="000000"/>
          <w:szCs w:val="20"/>
        </w:rPr>
        <w:t xml:space="preserve"> to </w:t>
      </w:r>
      <w:r w:rsidR="00792F14">
        <w:rPr>
          <w:rFonts w:cs="Arial"/>
          <w:color w:val="000000"/>
          <w:szCs w:val="20"/>
        </w:rPr>
        <w:t xml:space="preserve">furlough </w:t>
      </w:r>
      <w:r w:rsidR="00CA680B">
        <w:rPr>
          <w:rFonts w:cs="Arial"/>
          <w:color w:val="000000"/>
          <w:szCs w:val="20"/>
        </w:rPr>
        <w:t>employees</w:t>
      </w:r>
      <w:r w:rsidR="00E47F52">
        <w:rPr>
          <w:rFonts w:cs="Arial"/>
          <w:color w:val="000000"/>
          <w:szCs w:val="20"/>
        </w:rPr>
        <w:t xml:space="preserve"> for </w:t>
      </w:r>
      <w:proofErr w:type="gramStart"/>
      <w:r w:rsidR="00E47F52">
        <w:rPr>
          <w:rFonts w:cs="Arial"/>
          <w:color w:val="000000"/>
          <w:szCs w:val="20"/>
        </w:rPr>
        <w:t>a period of time</w:t>
      </w:r>
      <w:proofErr w:type="gramEnd"/>
      <w:r w:rsidR="00E47F52">
        <w:rPr>
          <w:rFonts w:cs="Arial"/>
          <w:color w:val="000000"/>
          <w:szCs w:val="20"/>
        </w:rPr>
        <w:t xml:space="preserve"> </w:t>
      </w:r>
      <w:r w:rsidR="00C8277D">
        <w:rPr>
          <w:rFonts w:cs="Arial"/>
          <w:color w:val="000000"/>
          <w:szCs w:val="20"/>
        </w:rPr>
        <w:t>due to</w:t>
      </w:r>
      <w:r w:rsidR="004C660E">
        <w:rPr>
          <w:rFonts w:cs="Arial"/>
          <w:color w:val="000000"/>
          <w:szCs w:val="20"/>
        </w:rPr>
        <w:t xml:space="preserve"> COVID-19</w:t>
      </w:r>
      <w:r w:rsidR="00B57CD8">
        <w:rPr>
          <w:rFonts w:cs="Arial"/>
          <w:color w:val="000000"/>
          <w:szCs w:val="20"/>
        </w:rPr>
        <w:t>.</w:t>
      </w:r>
      <w:r>
        <w:rPr>
          <w:rFonts w:cs="Arial"/>
          <w:color w:val="000000"/>
          <w:szCs w:val="20"/>
        </w:rPr>
        <w:t xml:space="preserve"> </w:t>
      </w:r>
      <w:r w:rsidR="00AE67A4">
        <w:rPr>
          <w:rFonts w:cs="Arial"/>
          <w:color w:val="000000"/>
          <w:szCs w:val="20"/>
        </w:rPr>
        <w:t>Typically, furloughed employees remain employed, but have reduced hours or a</w:t>
      </w:r>
      <w:r w:rsidR="00712328">
        <w:rPr>
          <w:rFonts w:cs="Arial"/>
          <w:color w:val="000000"/>
          <w:szCs w:val="20"/>
        </w:rPr>
        <w:t xml:space="preserve">re placed on a </w:t>
      </w:r>
      <w:r w:rsidR="00C8277D">
        <w:rPr>
          <w:rFonts w:cs="Arial"/>
          <w:color w:val="000000"/>
          <w:szCs w:val="20"/>
        </w:rPr>
        <w:t xml:space="preserve">temporary </w:t>
      </w:r>
      <w:r w:rsidR="00AE67A4">
        <w:rPr>
          <w:rFonts w:cs="Arial"/>
          <w:color w:val="000000"/>
          <w:szCs w:val="20"/>
        </w:rPr>
        <w:t>leave</w:t>
      </w:r>
      <w:r w:rsidR="00712328">
        <w:rPr>
          <w:rFonts w:cs="Arial"/>
          <w:color w:val="000000"/>
          <w:szCs w:val="20"/>
        </w:rPr>
        <w:t xml:space="preserve"> of absence</w:t>
      </w:r>
      <w:r w:rsidR="00FC2561">
        <w:rPr>
          <w:rFonts w:cs="Arial"/>
          <w:color w:val="000000"/>
          <w:szCs w:val="20"/>
        </w:rPr>
        <w:t>.</w:t>
      </w:r>
      <w:r w:rsidR="008415B9">
        <w:rPr>
          <w:rFonts w:cs="Arial"/>
          <w:color w:val="000000"/>
          <w:szCs w:val="20"/>
        </w:rPr>
        <w:t xml:space="preserve"> </w:t>
      </w:r>
      <w:r w:rsidR="008415B9" w:rsidRPr="008415B9">
        <w:rPr>
          <w:rFonts w:cs="Arial"/>
          <w:color w:val="000000"/>
          <w:szCs w:val="20"/>
        </w:rPr>
        <w:t>If employment is not terminated,</w:t>
      </w:r>
      <w:r w:rsidR="008415B9">
        <w:rPr>
          <w:rFonts w:cs="Arial"/>
          <w:color w:val="000000"/>
          <w:szCs w:val="20"/>
        </w:rPr>
        <w:t xml:space="preserve"> but there is a reduction in hours</w:t>
      </w:r>
      <w:r w:rsidR="00C8277D">
        <w:rPr>
          <w:rFonts w:cs="Arial"/>
          <w:color w:val="000000"/>
          <w:szCs w:val="20"/>
        </w:rPr>
        <w:t>/leave of absence</w:t>
      </w:r>
      <w:r w:rsidR="008415B9">
        <w:rPr>
          <w:rFonts w:cs="Arial"/>
          <w:color w:val="000000"/>
          <w:szCs w:val="20"/>
        </w:rPr>
        <w:t>,</w:t>
      </w:r>
      <w:r w:rsidR="008415B9" w:rsidRPr="008415B9">
        <w:rPr>
          <w:rFonts w:cs="Arial"/>
          <w:color w:val="000000"/>
          <w:szCs w:val="20"/>
        </w:rPr>
        <w:t xml:space="preserve"> it's necessary to consider plan eligibility rules</w:t>
      </w:r>
      <w:r w:rsidR="008415B9">
        <w:rPr>
          <w:rFonts w:cs="Arial"/>
          <w:color w:val="000000"/>
          <w:szCs w:val="20"/>
        </w:rPr>
        <w:t xml:space="preserve"> and any applicable leave policies</w:t>
      </w:r>
      <w:r w:rsidR="00C8277D">
        <w:rPr>
          <w:rFonts w:cs="Arial"/>
          <w:color w:val="000000"/>
          <w:szCs w:val="20"/>
        </w:rPr>
        <w:t xml:space="preserve"> in order to properly administer benefits</w:t>
      </w:r>
      <w:r w:rsidR="008415B9" w:rsidRPr="008415B9">
        <w:rPr>
          <w:rFonts w:cs="Arial"/>
          <w:color w:val="000000"/>
          <w:szCs w:val="20"/>
        </w:rPr>
        <w:t xml:space="preserve">. </w:t>
      </w:r>
    </w:p>
    <w:p w14:paraId="6219ED14" w14:textId="694A8533" w:rsidR="008415B9" w:rsidRDefault="008415B9" w:rsidP="00712328">
      <w:pPr>
        <w:pStyle w:val="ListParagraph"/>
        <w:numPr>
          <w:ilvl w:val="0"/>
          <w:numId w:val="24"/>
        </w:numPr>
        <w:rPr>
          <w:rFonts w:cs="Arial"/>
          <w:color w:val="000000"/>
          <w:szCs w:val="20"/>
        </w:rPr>
      </w:pPr>
      <w:r w:rsidRPr="009F381D">
        <w:rPr>
          <w:rFonts w:cs="Arial"/>
          <w:color w:val="000000"/>
          <w:szCs w:val="20"/>
        </w:rPr>
        <w:t xml:space="preserve">If </w:t>
      </w:r>
      <w:r w:rsidR="00020C39">
        <w:rPr>
          <w:rFonts w:cs="Arial"/>
          <w:color w:val="000000"/>
          <w:szCs w:val="20"/>
        </w:rPr>
        <w:t>an</w:t>
      </w:r>
      <w:r w:rsidRPr="009F381D">
        <w:rPr>
          <w:rFonts w:cs="Arial"/>
          <w:color w:val="000000"/>
          <w:szCs w:val="20"/>
        </w:rPr>
        <w:t xml:space="preserve"> employer is using the </w:t>
      </w:r>
      <w:r w:rsidRPr="00712328">
        <w:rPr>
          <w:rFonts w:cs="Arial"/>
          <w:color w:val="000000"/>
          <w:szCs w:val="20"/>
          <w:u w:val="single"/>
        </w:rPr>
        <w:t>look-back measurement method</w:t>
      </w:r>
      <w:r w:rsidRPr="009F381D">
        <w:rPr>
          <w:rFonts w:cs="Arial"/>
          <w:color w:val="000000"/>
          <w:szCs w:val="20"/>
        </w:rPr>
        <w:t>, employees may remain eligible</w:t>
      </w:r>
      <w:r w:rsidR="004C660E">
        <w:rPr>
          <w:rFonts w:cs="Arial"/>
          <w:color w:val="000000"/>
          <w:szCs w:val="20"/>
        </w:rPr>
        <w:t xml:space="preserve"> for benefits</w:t>
      </w:r>
      <w:r w:rsidRPr="009F381D">
        <w:rPr>
          <w:rFonts w:cs="Arial"/>
          <w:color w:val="000000"/>
          <w:szCs w:val="20"/>
        </w:rPr>
        <w:t xml:space="preserve">, at least for the duration of the current stability period. </w:t>
      </w:r>
      <w:r w:rsidR="00712328">
        <w:rPr>
          <w:rFonts w:cs="Arial"/>
          <w:color w:val="000000"/>
          <w:szCs w:val="20"/>
        </w:rPr>
        <w:t>The general rule is that those who averaged full-time hours in the previous measurement period are considered eligible for the corresponding stability period, even during a reduction in hours, unless employment is terminated.</w:t>
      </w:r>
    </w:p>
    <w:p w14:paraId="01B13589" w14:textId="077867BF" w:rsidR="00020C39" w:rsidRDefault="008415B9" w:rsidP="00712328">
      <w:pPr>
        <w:pStyle w:val="ListParagraph"/>
        <w:numPr>
          <w:ilvl w:val="0"/>
          <w:numId w:val="24"/>
        </w:numPr>
        <w:rPr>
          <w:rFonts w:cs="Arial"/>
          <w:color w:val="000000"/>
          <w:szCs w:val="20"/>
        </w:rPr>
      </w:pPr>
      <w:r w:rsidRPr="00712328">
        <w:rPr>
          <w:rFonts w:cs="Arial"/>
          <w:color w:val="000000"/>
          <w:szCs w:val="20"/>
        </w:rPr>
        <w:t xml:space="preserve">If </w:t>
      </w:r>
      <w:r w:rsidR="00020C39">
        <w:rPr>
          <w:rFonts w:cs="Arial"/>
          <w:color w:val="000000"/>
          <w:szCs w:val="20"/>
        </w:rPr>
        <w:t>an</w:t>
      </w:r>
      <w:r w:rsidRPr="00712328">
        <w:rPr>
          <w:rFonts w:cs="Arial"/>
          <w:color w:val="000000"/>
          <w:szCs w:val="20"/>
        </w:rPr>
        <w:t xml:space="preserve"> employer is using the </w:t>
      </w:r>
      <w:r w:rsidRPr="00712328">
        <w:rPr>
          <w:rFonts w:cs="Arial"/>
          <w:color w:val="000000"/>
          <w:szCs w:val="20"/>
          <w:u w:val="single"/>
        </w:rPr>
        <w:t>monthly measurement method</w:t>
      </w:r>
      <w:r w:rsidRPr="00712328">
        <w:rPr>
          <w:rFonts w:cs="Arial"/>
          <w:color w:val="000000"/>
          <w:szCs w:val="20"/>
        </w:rPr>
        <w:t>, employees are unlikely to meet plan eligibility requirements</w:t>
      </w:r>
      <w:r w:rsidR="001216D1">
        <w:rPr>
          <w:rFonts w:cs="Arial"/>
          <w:color w:val="000000"/>
          <w:szCs w:val="20"/>
        </w:rPr>
        <w:t xml:space="preserve"> during a period of reduced hours</w:t>
      </w:r>
      <w:r w:rsidRPr="00712328">
        <w:rPr>
          <w:rFonts w:cs="Arial"/>
          <w:color w:val="000000"/>
          <w:szCs w:val="20"/>
        </w:rPr>
        <w:t xml:space="preserve">. </w:t>
      </w:r>
    </w:p>
    <w:p w14:paraId="02883D84" w14:textId="3CC8A7E4" w:rsidR="00020C39" w:rsidRDefault="00020C39" w:rsidP="00712328">
      <w:pPr>
        <w:pStyle w:val="ListParagraph"/>
        <w:numPr>
          <w:ilvl w:val="0"/>
          <w:numId w:val="24"/>
        </w:numPr>
        <w:rPr>
          <w:rFonts w:cs="Arial"/>
          <w:color w:val="000000"/>
          <w:szCs w:val="20"/>
        </w:rPr>
      </w:pPr>
      <w:r>
        <w:rPr>
          <w:rFonts w:cs="Arial"/>
          <w:color w:val="000000"/>
          <w:szCs w:val="20"/>
        </w:rPr>
        <w:t>An</w:t>
      </w:r>
      <w:r w:rsidR="008415B9" w:rsidRPr="00712328">
        <w:rPr>
          <w:rFonts w:cs="Arial"/>
          <w:color w:val="000000"/>
          <w:szCs w:val="20"/>
        </w:rPr>
        <w:t xml:space="preserve"> employer </w:t>
      </w:r>
      <w:r>
        <w:rPr>
          <w:rFonts w:cs="Arial"/>
          <w:color w:val="000000"/>
          <w:szCs w:val="20"/>
        </w:rPr>
        <w:t>may have</w:t>
      </w:r>
      <w:r w:rsidR="008415B9" w:rsidRPr="00712328">
        <w:rPr>
          <w:rFonts w:cs="Arial"/>
          <w:color w:val="000000"/>
          <w:szCs w:val="20"/>
        </w:rPr>
        <w:t xml:space="preserve"> a </w:t>
      </w:r>
      <w:r w:rsidR="008415B9" w:rsidRPr="00020C39">
        <w:rPr>
          <w:rFonts w:cs="Arial"/>
          <w:color w:val="000000"/>
          <w:szCs w:val="20"/>
          <w:u w:val="single"/>
        </w:rPr>
        <w:t>leave of absence policy</w:t>
      </w:r>
      <w:r>
        <w:rPr>
          <w:rFonts w:cs="Arial"/>
          <w:color w:val="000000"/>
          <w:szCs w:val="20"/>
        </w:rPr>
        <w:t xml:space="preserve"> for specified circumstances</w:t>
      </w:r>
      <w:r w:rsidR="008415B9" w:rsidRPr="00712328">
        <w:rPr>
          <w:rFonts w:cs="Arial"/>
          <w:color w:val="000000"/>
          <w:szCs w:val="20"/>
        </w:rPr>
        <w:t xml:space="preserve"> which extends benefit eligibility</w:t>
      </w:r>
      <w:r>
        <w:rPr>
          <w:rFonts w:cs="Arial"/>
          <w:color w:val="000000"/>
          <w:szCs w:val="20"/>
        </w:rPr>
        <w:t xml:space="preserve"> for </w:t>
      </w:r>
      <w:proofErr w:type="gramStart"/>
      <w:r>
        <w:rPr>
          <w:rFonts w:cs="Arial"/>
          <w:color w:val="000000"/>
          <w:szCs w:val="20"/>
        </w:rPr>
        <w:t>a period of time</w:t>
      </w:r>
      <w:proofErr w:type="gramEnd"/>
      <w:r>
        <w:rPr>
          <w:rFonts w:cs="Arial"/>
          <w:color w:val="000000"/>
          <w:szCs w:val="20"/>
        </w:rPr>
        <w:t xml:space="preserve">. An employer might also adopt such a policy specifically related to </w:t>
      </w:r>
      <w:r w:rsidR="004C660E">
        <w:rPr>
          <w:rFonts w:cs="Arial"/>
          <w:color w:val="000000"/>
          <w:szCs w:val="20"/>
        </w:rPr>
        <w:t>COVID-19</w:t>
      </w:r>
      <w:r>
        <w:rPr>
          <w:rFonts w:cs="Arial"/>
          <w:color w:val="000000"/>
          <w:szCs w:val="20"/>
        </w:rPr>
        <w:t xml:space="preserve">. </w:t>
      </w:r>
      <w:r w:rsidR="000D5C78">
        <w:rPr>
          <w:rFonts w:cs="Arial"/>
          <w:color w:val="000000"/>
          <w:szCs w:val="20"/>
        </w:rPr>
        <w:t xml:space="preserve">If choosing to adopt such a policy, the safest approach would be to make it available to all similarly </w:t>
      </w:r>
      <w:r w:rsidR="000D5C78">
        <w:rPr>
          <w:rFonts w:cs="Arial"/>
          <w:color w:val="000000"/>
          <w:szCs w:val="20"/>
        </w:rPr>
        <w:lastRenderedPageBreak/>
        <w:t xml:space="preserve">situated individuals. </w:t>
      </w:r>
      <w:r w:rsidR="00CA22F6">
        <w:rPr>
          <w:rFonts w:cs="Arial"/>
          <w:color w:val="000000"/>
          <w:szCs w:val="20"/>
        </w:rPr>
        <w:t>In addition, a</w:t>
      </w:r>
      <w:r w:rsidR="008203E8">
        <w:rPr>
          <w:rFonts w:cs="Arial"/>
          <w:color w:val="000000"/>
          <w:szCs w:val="20"/>
        </w:rPr>
        <w:t xml:space="preserve">ny such policy should be carefully coordinated with the carrier or stop-loss vendor to ensure claims coverage during the leave of absence. </w:t>
      </w:r>
      <w:r w:rsidR="00F04E3C">
        <w:rPr>
          <w:rFonts w:cs="Arial"/>
          <w:color w:val="000000"/>
          <w:szCs w:val="20"/>
        </w:rPr>
        <w:t>Without their blessing, the carrier could refuse to provide coverage and leave the employer liable for medical expenses incurred.</w:t>
      </w:r>
    </w:p>
    <w:p w14:paraId="1459B80C" w14:textId="78E52B40" w:rsidR="00644A0B" w:rsidRDefault="00644A0B" w:rsidP="00644A0B">
      <w:pPr>
        <w:ind w:left="0"/>
        <w:rPr>
          <w:rFonts w:cs="Arial"/>
          <w:color w:val="000000"/>
          <w:szCs w:val="20"/>
        </w:rPr>
      </w:pPr>
    </w:p>
    <w:p w14:paraId="17A91446" w14:textId="4E90E80A" w:rsidR="008415B9" w:rsidRDefault="00644A0B" w:rsidP="00C8277D">
      <w:pPr>
        <w:ind w:left="0"/>
        <w:rPr>
          <w:rFonts w:cs="Arial"/>
          <w:color w:val="000000"/>
          <w:szCs w:val="20"/>
        </w:rPr>
      </w:pPr>
      <w:r>
        <w:rPr>
          <w:rFonts w:cs="Arial"/>
          <w:color w:val="000000"/>
          <w:szCs w:val="20"/>
        </w:rPr>
        <w:t>While on furlough, if employees no longer</w:t>
      </w:r>
      <w:r w:rsidR="00C8277D">
        <w:rPr>
          <w:rFonts w:cs="Arial"/>
          <w:color w:val="000000"/>
          <w:szCs w:val="20"/>
        </w:rPr>
        <w:t xml:space="preserve"> meet the plan eligibility rules and there isn’t a leave policy in place which extends benefit eligibility, </w:t>
      </w:r>
      <w:r w:rsidR="008415B9" w:rsidRPr="00C8277D">
        <w:rPr>
          <w:rFonts w:cs="Arial"/>
          <w:color w:val="000000"/>
          <w:szCs w:val="20"/>
        </w:rPr>
        <w:t xml:space="preserve">coverage should be </w:t>
      </w:r>
      <w:proofErr w:type="gramStart"/>
      <w:r w:rsidR="008415B9" w:rsidRPr="00C8277D">
        <w:rPr>
          <w:rFonts w:cs="Arial"/>
          <w:color w:val="000000"/>
          <w:szCs w:val="20"/>
        </w:rPr>
        <w:t>terminated</w:t>
      </w:r>
      <w:proofErr w:type="gramEnd"/>
      <w:r w:rsidR="008415B9" w:rsidRPr="00C8277D">
        <w:rPr>
          <w:rFonts w:cs="Arial"/>
          <w:color w:val="000000"/>
          <w:szCs w:val="20"/>
        </w:rPr>
        <w:t xml:space="preserve"> and </w:t>
      </w:r>
      <w:r w:rsidR="00350A7D">
        <w:rPr>
          <w:rFonts w:cs="Arial"/>
          <w:color w:val="000000"/>
          <w:szCs w:val="20"/>
        </w:rPr>
        <w:t xml:space="preserve">applicable </w:t>
      </w:r>
      <w:r w:rsidR="008415B9" w:rsidRPr="00C8277D">
        <w:rPr>
          <w:rFonts w:cs="Arial"/>
          <w:color w:val="000000"/>
          <w:szCs w:val="20"/>
        </w:rPr>
        <w:t>COBRA</w:t>
      </w:r>
      <w:r w:rsidR="00350A7D">
        <w:rPr>
          <w:rFonts w:cs="Arial"/>
          <w:color w:val="000000"/>
          <w:szCs w:val="20"/>
        </w:rPr>
        <w:t xml:space="preserve"> or state continuation coverage</w:t>
      </w:r>
      <w:r w:rsidR="008415B9" w:rsidRPr="00C8277D">
        <w:rPr>
          <w:rFonts w:cs="Arial"/>
          <w:color w:val="000000"/>
          <w:szCs w:val="20"/>
        </w:rPr>
        <w:t xml:space="preserve"> </w:t>
      </w:r>
      <w:r w:rsidR="00350A7D">
        <w:rPr>
          <w:rFonts w:cs="Arial"/>
          <w:color w:val="000000"/>
          <w:szCs w:val="20"/>
        </w:rPr>
        <w:t xml:space="preserve">should be </w:t>
      </w:r>
      <w:r w:rsidR="008415B9" w:rsidRPr="00C8277D">
        <w:rPr>
          <w:rFonts w:cs="Arial"/>
          <w:color w:val="000000"/>
          <w:szCs w:val="20"/>
        </w:rPr>
        <w:t xml:space="preserve">offered. </w:t>
      </w:r>
    </w:p>
    <w:p w14:paraId="4C61D752" w14:textId="77777777" w:rsidR="00C8277D" w:rsidRPr="00C8277D" w:rsidRDefault="00C8277D" w:rsidP="00C8277D">
      <w:pPr>
        <w:ind w:left="0"/>
        <w:rPr>
          <w:rFonts w:cs="Arial"/>
          <w:color w:val="000000"/>
          <w:szCs w:val="20"/>
        </w:rPr>
      </w:pPr>
    </w:p>
    <w:p w14:paraId="488D6B61" w14:textId="366FE848" w:rsidR="00FC2561" w:rsidRPr="00A67A5C" w:rsidRDefault="00A67A5C" w:rsidP="00BE5D51">
      <w:pPr>
        <w:ind w:left="0"/>
        <w:rPr>
          <w:rFonts w:cs="Arial"/>
          <w:b/>
          <w:bCs/>
          <w:color w:val="000000"/>
          <w:szCs w:val="20"/>
        </w:rPr>
      </w:pPr>
      <w:r>
        <w:rPr>
          <w:rFonts w:cs="Arial"/>
          <w:b/>
          <w:bCs/>
          <w:color w:val="000000"/>
          <w:szCs w:val="20"/>
        </w:rPr>
        <w:t>Termination/Lay-Off</w:t>
      </w:r>
    </w:p>
    <w:p w14:paraId="7FA6DEF2" w14:textId="1C1DB062" w:rsidR="001A2BF1" w:rsidRDefault="002330A5" w:rsidP="00845C37">
      <w:pPr>
        <w:ind w:left="0"/>
        <w:rPr>
          <w:rFonts w:cs="Arial"/>
          <w:color w:val="000000"/>
          <w:szCs w:val="20"/>
        </w:rPr>
      </w:pPr>
      <w:r>
        <w:rPr>
          <w:rFonts w:cs="Arial"/>
          <w:color w:val="000000"/>
          <w:szCs w:val="20"/>
        </w:rPr>
        <w:t>Employers may have to make the tough de</w:t>
      </w:r>
      <w:bookmarkStart w:id="0" w:name="_GoBack"/>
      <w:bookmarkEnd w:id="0"/>
      <w:r>
        <w:rPr>
          <w:rFonts w:cs="Arial"/>
          <w:color w:val="000000"/>
          <w:szCs w:val="20"/>
        </w:rPr>
        <w:t>cision</w:t>
      </w:r>
      <w:r w:rsidR="00CC7A01">
        <w:rPr>
          <w:rFonts w:cs="Arial"/>
          <w:color w:val="000000"/>
          <w:szCs w:val="20"/>
        </w:rPr>
        <w:t xml:space="preserve"> to lay-off employees due </w:t>
      </w:r>
      <w:r w:rsidR="00FA1BD0">
        <w:rPr>
          <w:rFonts w:cs="Arial"/>
          <w:color w:val="000000"/>
          <w:szCs w:val="20"/>
        </w:rPr>
        <w:t xml:space="preserve">to circumstances created by the </w:t>
      </w:r>
      <w:r w:rsidR="004C660E">
        <w:rPr>
          <w:rFonts w:cs="Arial"/>
          <w:color w:val="000000"/>
          <w:szCs w:val="20"/>
        </w:rPr>
        <w:t>COVID-19</w:t>
      </w:r>
      <w:r w:rsidR="00FA1BD0">
        <w:rPr>
          <w:rFonts w:cs="Arial"/>
          <w:color w:val="000000"/>
          <w:szCs w:val="20"/>
        </w:rPr>
        <w:t xml:space="preserve">. </w:t>
      </w:r>
      <w:r w:rsidR="00A67A5C">
        <w:rPr>
          <w:rFonts w:cs="Arial"/>
          <w:color w:val="000000"/>
          <w:szCs w:val="20"/>
        </w:rPr>
        <w:t>A</w:t>
      </w:r>
      <w:r w:rsidR="00AE67A4">
        <w:rPr>
          <w:rFonts w:cs="Arial"/>
          <w:color w:val="000000"/>
          <w:szCs w:val="20"/>
        </w:rPr>
        <w:t xml:space="preserve"> lay</w:t>
      </w:r>
      <w:r w:rsidR="00A67A5C">
        <w:rPr>
          <w:rFonts w:cs="Arial"/>
          <w:color w:val="000000"/>
          <w:szCs w:val="20"/>
        </w:rPr>
        <w:t>-</w:t>
      </w:r>
      <w:r w:rsidR="00AE67A4">
        <w:rPr>
          <w:rFonts w:cs="Arial"/>
          <w:color w:val="000000"/>
          <w:szCs w:val="20"/>
        </w:rPr>
        <w:t xml:space="preserve">off is </w:t>
      </w:r>
      <w:r w:rsidR="00A67A5C">
        <w:rPr>
          <w:rFonts w:cs="Arial"/>
          <w:color w:val="000000"/>
          <w:szCs w:val="20"/>
        </w:rPr>
        <w:t>considered a</w:t>
      </w:r>
      <w:r w:rsidR="00AE67A4">
        <w:rPr>
          <w:rFonts w:cs="Arial"/>
          <w:color w:val="000000"/>
          <w:szCs w:val="20"/>
        </w:rPr>
        <w:t xml:space="preserve"> termination of employment</w:t>
      </w:r>
      <w:r w:rsidR="00A67A5C">
        <w:rPr>
          <w:rFonts w:cs="Arial"/>
          <w:color w:val="000000"/>
          <w:szCs w:val="20"/>
        </w:rPr>
        <w:t xml:space="preserve">, </w:t>
      </w:r>
      <w:r w:rsidR="00AE67A4">
        <w:rPr>
          <w:rFonts w:cs="Arial"/>
          <w:color w:val="000000"/>
          <w:szCs w:val="20"/>
        </w:rPr>
        <w:t>although potentially short-term under these circumstances.</w:t>
      </w:r>
      <w:r w:rsidR="00845C37">
        <w:rPr>
          <w:rFonts w:cs="Arial"/>
          <w:color w:val="000000"/>
          <w:szCs w:val="20"/>
          <w:lang w:bidi="ar-SA"/>
        </w:rPr>
        <w:t xml:space="preserve"> </w:t>
      </w:r>
      <w:r w:rsidR="00AE67A4">
        <w:rPr>
          <w:rFonts w:cs="Arial"/>
          <w:color w:val="000000"/>
          <w:szCs w:val="20"/>
        </w:rPr>
        <w:t xml:space="preserve">If employment is terminated, the former employees </w:t>
      </w:r>
      <w:r w:rsidR="00AE5194">
        <w:rPr>
          <w:rFonts w:cs="Arial"/>
          <w:color w:val="000000"/>
          <w:szCs w:val="20"/>
        </w:rPr>
        <w:t>will typically</w:t>
      </w:r>
      <w:r w:rsidR="00AE67A4">
        <w:rPr>
          <w:rFonts w:cs="Arial"/>
          <w:color w:val="000000"/>
          <w:szCs w:val="20"/>
        </w:rPr>
        <w:t xml:space="preserve"> no longer be eligible for benefits</w:t>
      </w:r>
      <w:r w:rsidR="00FA1BD0">
        <w:rPr>
          <w:rFonts w:cs="Arial"/>
          <w:color w:val="000000"/>
          <w:szCs w:val="20"/>
        </w:rPr>
        <w:t>,</w:t>
      </w:r>
      <w:r w:rsidR="00AE67A4">
        <w:rPr>
          <w:rFonts w:cs="Arial"/>
          <w:color w:val="000000"/>
          <w:szCs w:val="20"/>
        </w:rPr>
        <w:t xml:space="preserve"> </w:t>
      </w:r>
      <w:r w:rsidR="00AE5194">
        <w:rPr>
          <w:rFonts w:cs="Arial"/>
          <w:color w:val="000000"/>
          <w:szCs w:val="20"/>
        </w:rPr>
        <w:t>in which case</w:t>
      </w:r>
      <w:r w:rsidR="00AE67A4">
        <w:rPr>
          <w:rFonts w:cs="Arial"/>
          <w:color w:val="000000"/>
          <w:szCs w:val="20"/>
        </w:rPr>
        <w:t xml:space="preserve"> those covered</w:t>
      </w:r>
      <w:r w:rsidR="00FA1BD0">
        <w:rPr>
          <w:rFonts w:cs="Arial"/>
          <w:color w:val="000000"/>
          <w:szCs w:val="20"/>
        </w:rPr>
        <w:t xml:space="preserve"> when the lay-off occurs</w:t>
      </w:r>
      <w:r w:rsidR="00AE67A4">
        <w:rPr>
          <w:rFonts w:cs="Arial"/>
          <w:color w:val="000000"/>
          <w:szCs w:val="20"/>
        </w:rPr>
        <w:t xml:space="preserve"> should have coverage terminated and be offered COBRA</w:t>
      </w:r>
      <w:r w:rsidR="00380E82">
        <w:rPr>
          <w:rFonts w:cs="Arial"/>
          <w:color w:val="000000"/>
          <w:szCs w:val="20"/>
        </w:rPr>
        <w:t xml:space="preserve"> or state continuation as applicable</w:t>
      </w:r>
      <w:r w:rsidR="00AE67A4">
        <w:rPr>
          <w:rFonts w:cs="Arial"/>
          <w:color w:val="000000"/>
          <w:szCs w:val="20"/>
        </w:rPr>
        <w:t xml:space="preserve">. </w:t>
      </w:r>
    </w:p>
    <w:p w14:paraId="7A79C5C3" w14:textId="2CA4C9F8" w:rsidR="00AE5194" w:rsidRDefault="00AE5194" w:rsidP="00845C37">
      <w:pPr>
        <w:ind w:left="0"/>
        <w:rPr>
          <w:rFonts w:cs="Arial"/>
          <w:color w:val="000000"/>
          <w:szCs w:val="20"/>
        </w:rPr>
      </w:pPr>
    </w:p>
    <w:p w14:paraId="48E4F9F2" w14:textId="19EC5D5C" w:rsidR="00AE5194" w:rsidRDefault="00AE5194" w:rsidP="00845C37">
      <w:pPr>
        <w:ind w:left="0"/>
        <w:rPr>
          <w:rFonts w:cs="Arial"/>
          <w:color w:val="000000"/>
          <w:szCs w:val="20"/>
        </w:rPr>
      </w:pPr>
      <w:r>
        <w:rPr>
          <w:rFonts w:cs="Arial"/>
          <w:color w:val="000000"/>
          <w:szCs w:val="20"/>
        </w:rPr>
        <w:t xml:space="preserve">As mentioned above for furloughs, there may be some flexibility to extend benefit eligibility beyond employment for a short period of time under these circumstances. However, </w:t>
      </w:r>
      <w:r w:rsidR="00C73EB8">
        <w:rPr>
          <w:rFonts w:cs="Arial"/>
          <w:color w:val="000000"/>
          <w:szCs w:val="20"/>
        </w:rPr>
        <w:t xml:space="preserve">any efforts to extend benefit eligibility to former employees should be </w:t>
      </w:r>
      <w:r w:rsidR="00E83744">
        <w:rPr>
          <w:rFonts w:cs="Arial"/>
          <w:color w:val="000000"/>
          <w:szCs w:val="20"/>
        </w:rPr>
        <w:t>coordinated with the carrier or stop-loss vendor to ensure claims coverage</w:t>
      </w:r>
      <w:r w:rsidR="00066FF6">
        <w:rPr>
          <w:rFonts w:cs="Arial"/>
          <w:color w:val="000000"/>
          <w:szCs w:val="20"/>
        </w:rPr>
        <w:t>, and the recommendation would be to offer such extended benefit eligibility to all similarly situated individuals to avoid potential discrimination issues.</w:t>
      </w:r>
      <w:r>
        <w:rPr>
          <w:rFonts w:cs="Arial"/>
          <w:color w:val="000000"/>
          <w:szCs w:val="20"/>
        </w:rPr>
        <w:t xml:space="preserve"> </w:t>
      </w:r>
    </w:p>
    <w:p w14:paraId="5A1BD118" w14:textId="2A21355C" w:rsidR="001A2BF1" w:rsidRDefault="001A2BF1" w:rsidP="00845C37">
      <w:pPr>
        <w:ind w:left="0"/>
        <w:rPr>
          <w:rFonts w:cs="Arial"/>
          <w:color w:val="000000"/>
          <w:szCs w:val="20"/>
        </w:rPr>
      </w:pPr>
    </w:p>
    <w:p w14:paraId="187C6A83" w14:textId="10B2F011" w:rsidR="001A2BF1" w:rsidRPr="00EE2F1D" w:rsidRDefault="00EE2F1D" w:rsidP="00845C37">
      <w:pPr>
        <w:ind w:left="0"/>
        <w:rPr>
          <w:rFonts w:cs="Arial"/>
          <w:b/>
          <w:bCs/>
          <w:color w:val="000000"/>
          <w:szCs w:val="20"/>
        </w:rPr>
      </w:pPr>
      <w:r>
        <w:rPr>
          <w:rFonts w:cs="Arial"/>
          <w:b/>
          <w:bCs/>
          <w:color w:val="000000"/>
          <w:szCs w:val="20"/>
        </w:rPr>
        <w:t>Premium Contributions</w:t>
      </w:r>
    </w:p>
    <w:p w14:paraId="658EB1C8" w14:textId="078A2474" w:rsidR="000C78FA" w:rsidRDefault="00CA22F6" w:rsidP="00266771">
      <w:pPr>
        <w:ind w:left="0"/>
        <w:rPr>
          <w:rFonts w:cs="Arial"/>
          <w:color w:val="000000"/>
          <w:szCs w:val="20"/>
        </w:rPr>
      </w:pPr>
      <w:r w:rsidRPr="008415B9">
        <w:rPr>
          <w:rFonts w:cs="Arial"/>
          <w:color w:val="000000"/>
          <w:szCs w:val="20"/>
        </w:rPr>
        <w:t>Whether active coverage continues to be available</w:t>
      </w:r>
      <w:r>
        <w:rPr>
          <w:rFonts w:cs="Arial"/>
          <w:color w:val="000000"/>
          <w:szCs w:val="20"/>
        </w:rPr>
        <w:t>,</w:t>
      </w:r>
      <w:r w:rsidRPr="008415B9">
        <w:rPr>
          <w:rFonts w:cs="Arial"/>
          <w:color w:val="000000"/>
          <w:szCs w:val="20"/>
        </w:rPr>
        <w:t xml:space="preserve"> or </w:t>
      </w:r>
      <w:r w:rsidR="00350A7D">
        <w:rPr>
          <w:rFonts w:cs="Arial"/>
          <w:color w:val="000000"/>
          <w:szCs w:val="20"/>
        </w:rPr>
        <w:t>federal/state continuation coverage</w:t>
      </w:r>
      <w:r w:rsidRPr="008415B9">
        <w:rPr>
          <w:rFonts w:cs="Arial"/>
          <w:color w:val="000000"/>
          <w:szCs w:val="20"/>
        </w:rPr>
        <w:t xml:space="preserve"> is offered</w:t>
      </w:r>
      <w:r w:rsidR="00350A7D">
        <w:rPr>
          <w:rFonts w:cs="Arial"/>
          <w:color w:val="000000"/>
          <w:szCs w:val="20"/>
        </w:rPr>
        <w:t xml:space="preserve"> following a termination of active coverage</w:t>
      </w:r>
      <w:r w:rsidRPr="008415B9">
        <w:rPr>
          <w:rFonts w:cs="Arial"/>
          <w:color w:val="000000"/>
          <w:szCs w:val="20"/>
        </w:rPr>
        <w:t xml:space="preserve">, the employer could choose to </w:t>
      </w:r>
      <w:r w:rsidR="00FF47BA">
        <w:rPr>
          <w:rFonts w:cs="Arial"/>
          <w:color w:val="000000"/>
          <w:szCs w:val="20"/>
        </w:rPr>
        <w:t>adjust employer contributions</w:t>
      </w:r>
      <w:r w:rsidR="000F3936">
        <w:rPr>
          <w:rFonts w:cs="Arial"/>
          <w:color w:val="000000"/>
          <w:szCs w:val="20"/>
        </w:rPr>
        <w:t xml:space="preserve"> or </w:t>
      </w:r>
      <w:r w:rsidRPr="008415B9">
        <w:rPr>
          <w:rFonts w:cs="Arial"/>
          <w:color w:val="000000"/>
          <w:szCs w:val="20"/>
        </w:rPr>
        <w:t xml:space="preserve">subsidize the premiums for </w:t>
      </w:r>
      <w:proofErr w:type="gramStart"/>
      <w:r w:rsidRPr="008415B9">
        <w:rPr>
          <w:rFonts w:cs="Arial"/>
          <w:color w:val="000000"/>
          <w:szCs w:val="20"/>
        </w:rPr>
        <w:t>a period of time</w:t>
      </w:r>
      <w:proofErr w:type="gramEnd"/>
      <w:r w:rsidR="000F3936">
        <w:rPr>
          <w:rFonts w:cs="Arial"/>
          <w:color w:val="000000"/>
          <w:szCs w:val="20"/>
        </w:rPr>
        <w:t>.</w:t>
      </w:r>
      <w:r w:rsidRPr="008415B9">
        <w:rPr>
          <w:rFonts w:cs="Arial"/>
          <w:color w:val="000000"/>
          <w:szCs w:val="20"/>
        </w:rPr>
        <w:t xml:space="preserve"> </w:t>
      </w:r>
    </w:p>
    <w:p w14:paraId="6D20604D" w14:textId="101D5179" w:rsidR="006E3AEC" w:rsidRDefault="00D4529C" w:rsidP="00D4529C">
      <w:pPr>
        <w:pStyle w:val="ListParagraph"/>
        <w:numPr>
          <w:ilvl w:val="0"/>
          <w:numId w:val="25"/>
        </w:numPr>
        <w:rPr>
          <w:rFonts w:cs="Arial"/>
          <w:color w:val="000000"/>
          <w:szCs w:val="20"/>
        </w:rPr>
      </w:pPr>
      <w:r>
        <w:rPr>
          <w:rFonts w:cs="Arial"/>
          <w:color w:val="000000"/>
          <w:szCs w:val="20"/>
        </w:rPr>
        <w:t>Some employers may choose to reduce or stop employer contributions</w:t>
      </w:r>
      <w:r w:rsidR="006E3AEC">
        <w:rPr>
          <w:rFonts w:cs="Arial"/>
          <w:color w:val="000000"/>
          <w:szCs w:val="20"/>
        </w:rPr>
        <w:t xml:space="preserve"> depending on the situation</w:t>
      </w:r>
      <w:r>
        <w:rPr>
          <w:rFonts w:cs="Arial"/>
          <w:color w:val="000000"/>
          <w:szCs w:val="20"/>
        </w:rPr>
        <w:t xml:space="preserve">. </w:t>
      </w:r>
    </w:p>
    <w:p w14:paraId="41E18E73" w14:textId="529A5314" w:rsidR="006E3AEC" w:rsidRDefault="00D4529C" w:rsidP="006E3AEC">
      <w:pPr>
        <w:pStyle w:val="ListParagraph"/>
        <w:numPr>
          <w:ilvl w:val="1"/>
          <w:numId w:val="25"/>
        </w:numPr>
        <w:rPr>
          <w:rFonts w:cs="Arial"/>
          <w:color w:val="000000"/>
          <w:szCs w:val="20"/>
        </w:rPr>
      </w:pPr>
      <w:r>
        <w:rPr>
          <w:rFonts w:cs="Arial"/>
          <w:color w:val="000000"/>
          <w:szCs w:val="20"/>
        </w:rPr>
        <w:t>If the employees no longer meet</w:t>
      </w:r>
      <w:r w:rsidR="00E5309F">
        <w:rPr>
          <w:rFonts w:cs="Arial"/>
          <w:color w:val="000000"/>
          <w:szCs w:val="20"/>
        </w:rPr>
        <w:t xml:space="preserve"> </w:t>
      </w:r>
      <w:r>
        <w:rPr>
          <w:rFonts w:cs="Arial"/>
          <w:color w:val="000000"/>
          <w:szCs w:val="20"/>
        </w:rPr>
        <w:t xml:space="preserve">plan eligibility requirements, the employer doesn’t have any obligation to help pay for benefit premiums. </w:t>
      </w:r>
    </w:p>
    <w:p w14:paraId="1D6C6617" w14:textId="77777777" w:rsidR="006E3AEC" w:rsidRDefault="00D4529C" w:rsidP="006E3AEC">
      <w:pPr>
        <w:pStyle w:val="ListParagraph"/>
        <w:numPr>
          <w:ilvl w:val="1"/>
          <w:numId w:val="25"/>
        </w:numPr>
        <w:rPr>
          <w:rFonts w:cs="Arial"/>
          <w:color w:val="000000"/>
          <w:szCs w:val="20"/>
        </w:rPr>
      </w:pPr>
      <w:r>
        <w:rPr>
          <w:rFonts w:cs="Arial"/>
          <w:color w:val="000000"/>
          <w:szCs w:val="20"/>
        </w:rPr>
        <w:t xml:space="preserve">However, if the employees are still eligible for active coverage, applicable large employers should consider §4980H(b) affordability requirements for full-time employees to avoid potential penalties. </w:t>
      </w:r>
    </w:p>
    <w:p w14:paraId="23A417EF" w14:textId="18E14B96" w:rsidR="00D4529C" w:rsidRDefault="00D4529C" w:rsidP="00E5309F">
      <w:pPr>
        <w:pStyle w:val="ListParagraph"/>
        <w:numPr>
          <w:ilvl w:val="1"/>
          <w:numId w:val="25"/>
        </w:numPr>
        <w:rPr>
          <w:rFonts w:cs="Arial"/>
          <w:color w:val="000000"/>
          <w:szCs w:val="20"/>
        </w:rPr>
      </w:pPr>
      <w:r>
        <w:rPr>
          <w:rFonts w:cs="Arial"/>
          <w:color w:val="000000"/>
          <w:szCs w:val="20"/>
        </w:rPr>
        <w:t xml:space="preserve">In addition, employers offering </w:t>
      </w:r>
      <w:proofErr w:type="gramStart"/>
      <w:r>
        <w:rPr>
          <w:rFonts w:cs="Arial"/>
          <w:color w:val="000000"/>
          <w:szCs w:val="20"/>
        </w:rPr>
        <w:t>fully-insured</w:t>
      </w:r>
      <w:proofErr w:type="gramEnd"/>
      <w:r>
        <w:rPr>
          <w:rFonts w:cs="Arial"/>
          <w:color w:val="000000"/>
          <w:szCs w:val="20"/>
        </w:rPr>
        <w:t xml:space="preserve"> coverage should consider any carrier</w:t>
      </w:r>
      <w:r w:rsidR="00E5309F">
        <w:rPr>
          <w:rFonts w:cs="Arial"/>
          <w:color w:val="000000"/>
          <w:szCs w:val="20"/>
        </w:rPr>
        <w:t xml:space="preserve"> requirements regarding</w:t>
      </w:r>
      <w:r>
        <w:rPr>
          <w:rFonts w:cs="Arial"/>
          <w:color w:val="000000"/>
          <w:szCs w:val="20"/>
        </w:rPr>
        <w:t xml:space="preserve"> </w:t>
      </w:r>
      <w:r w:rsidR="006E3AEC">
        <w:rPr>
          <w:rFonts w:cs="Arial"/>
          <w:color w:val="000000"/>
          <w:szCs w:val="20"/>
        </w:rPr>
        <w:t xml:space="preserve">employer </w:t>
      </w:r>
      <w:r>
        <w:rPr>
          <w:rFonts w:cs="Arial"/>
          <w:color w:val="000000"/>
          <w:szCs w:val="20"/>
        </w:rPr>
        <w:t>contribution</w:t>
      </w:r>
      <w:r w:rsidR="00E5309F">
        <w:rPr>
          <w:rFonts w:cs="Arial"/>
          <w:color w:val="000000"/>
          <w:szCs w:val="20"/>
        </w:rPr>
        <w:t>s</w:t>
      </w:r>
      <w:r>
        <w:rPr>
          <w:rFonts w:cs="Arial"/>
          <w:color w:val="000000"/>
          <w:szCs w:val="20"/>
        </w:rPr>
        <w:t>.</w:t>
      </w:r>
    </w:p>
    <w:p w14:paraId="06C2ABBB" w14:textId="40361A08" w:rsidR="00D4529C" w:rsidRPr="00D4529C" w:rsidRDefault="00D4529C" w:rsidP="00D4529C">
      <w:pPr>
        <w:pStyle w:val="ListParagraph"/>
        <w:numPr>
          <w:ilvl w:val="0"/>
          <w:numId w:val="25"/>
        </w:numPr>
        <w:rPr>
          <w:rFonts w:cs="Arial"/>
          <w:color w:val="000000"/>
          <w:szCs w:val="20"/>
        </w:rPr>
      </w:pPr>
      <w:r>
        <w:rPr>
          <w:rFonts w:cs="Arial"/>
          <w:color w:val="000000"/>
          <w:szCs w:val="20"/>
        </w:rPr>
        <w:t>Other employers may choose to increase employer contributions or fully cover the cost of coverage, which is certainly permitted.</w:t>
      </w:r>
    </w:p>
    <w:p w14:paraId="22291B55" w14:textId="356002D7" w:rsidR="007D1706" w:rsidRDefault="007D1706" w:rsidP="007D1706">
      <w:pPr>
        <w:ind w:left="0"/>
        <w:rPr>
          <w:rFonts w:cs="Arial"/>
          <w:szCs w:val="20"/>
        </w:rPr>
      </w:pPr>
    </w:p>
    <w:p w14:paraId="3F59C55A" w14:textId="161D67BA" w:rsidR="00D4529C" w:rsidRDefault="00D4529C" w:rsidP="007D1706">
      <w:pPr>
        <w:ind w:left="0"/>
        <w:rPr>
          <w:rFonts w:cs="Arial"/>
          <w:color w:val="000000"/>
          <w:szCs w:val="20"/>
        </w:rPr>
      </w:pPr>
      <w:r>
        <w:rPr>
          <w:rFonts w:cs="Arial"/>
          <w:color w:val="000000"/>
          <w:szCs w:val="20"/>
        </w:rPr>
        <w:t>If employees remain enrolled in active coverage and</w:t>
      </w:r>
      <w:r w:rsidR="0089536C">
        <w:rPr>
          <w:rFonts w:cs="Arial"/>
          <w:color w:val="000000"/>
          <w:szCs w:val="20"/>
        </w:rPr>
        <w:t xml:space="preserve"> employee contributions cannot be collected via payroll, the employer will need to determine a method of collecting the employee contributions. The employer could choose to require employees to pay in after-tax during the time of reduced hours or a leave of absence; alternatively, the employer could cover the cost and allow employees to make catch-up contributions (pre-tax</w:t>
      </w:r>
      <w:r w:rsidR="00E5309F">
        <w:rPr>
          <w:rFonts w:cs="Arial"/>
          <w:color w:val="000000"/>
          <w:szCs w:val="20"/>
        </w:rPr>
        <w:t>,</w:t>
      </w:r>
      <w:r w:rsidR="0089536C">
        <w:rPr>
          <w:rFonts w:cs="Arial"/>
          <w:color w:val="000000"/>
          <w:szCs w:val="20"/>
        </w:rPr>
        <w:t xml:space="preserve"> if through a cafeteria plan) upon return to work.</w:t>
      </w:r>
    </w:p>
    <w:p w14:paraId="5BD5BB99" w14:textId="77777777" w:rsidR="0089536C" w:rsidRDefault="0089536C" w:rsidP="007D1706">
      <w:pPr>
        <w:ind w:left="0"/>
        <w:rPr>
          <w:rFonts w:cs="Arial"/>
          <w:color w:val="000000"/>
          <w:szCs w:val="20"/>
        </w:rPr>
      </w:pPr>
    </w:p>
    <w:p w14:paraId="57796B1B" w14:textId="497B7370" w:rsidR="0089536C" w:rsidRDefault="0089536C" w:rsidP="007D1706">
      <w:pPr>
        <w:ind w:left="0"/>
        <w:rPr>
          <w:rFonts w:cs="Arial"/>
          <w:color w:val="000000"/>
          <w:szCs w:val="20"/>
        </w:rPr>
      </w:pPr>
      <w:r>
        <w:rPr>
          <w:rFonts w:cs="Arial"/>
          <w:color w:val="000000"/>
          <w:szCs w:val="20"/>
        </w:rPr>
        <w:t xml:space="preserve">We recommend that employers adjust premium contributions in the same fashion for all similarly situated individuals </w:t>
      </w:r>
      <w:proofErr w:type="gramStart"/>
      <w:r>
        <w:rPr>
          <w:rFonts w:cs="Arial"/>
          <w:color w:val="000000"/>
          <w:szCs w:val="20"/>
        </w:rPr>
        <w:t>and also</w:t>
      </w:r>
      <w:proofErr w:type="gramEnd"/>
      <w:r>
        <w:rPr>
          <w:rFonts w:cs="Arial"/>
          <w:color w:val="000000"/>
          <w:szCs w:val="20"/>
        </w:rPr>
        <w:t xml:space="preserve"> carefully communicate any employee responsibilities and applicable time frames</w:t>
      </w:r>
      <w:r w:rsidRPr="008415B9">
        <w:rPr>
          <w:rFonts w:cs="Arial"/>
          <w:color w:val="000000"/>
          <w:szCs w:val="20"/>
        </w:rPr>
        <w:t>.</w:t>
      </w:r>
    </w:p>
    <w:p w14:paraId="20087BD0" w14:textId="71E8C7B0" w:rsidR="00D1630B" w:rsidRDefault="00D1630B" w:rsidP="007D1706">
      <w:pPr>
        <w:ind w:left="0"/>
        <w:rPr>
          <w:rFonts w:cs="Arial"/>
          <w:color w:val="000000"/>
          <w:szCs w:val="20"/>
        </w:rPr>
      </w:pPr>
    </w:p>
    <w:p w14:paraId="0A418E25" w14:textId="32556575" w:rsidR="00502802" w:rsidRPr="0007136F" w:rsidRDefault="00502802" w:rsidP="007D1706">
      <w:pPr>
        <w:ind w:left="0"/>
        <w:rPr>
          <w:rFonts w:cs="Arial"/>
          <w:b/>
          <w:bCs/>
          <w:color w:val="000000"/>
          <w:szCs w:val="20"/>
        </w:rPr>
      </w:pPr>
      <w:r w:rsidRPr="0007136F">
        <w:rPr>
          <w:rFonts w:cs="Arial"/>
          <w:b/>
          <w:bCs/>
          <w:color w:val="000000"/>
          <w:szCs w:val="20"/>
        </w:rPr>
        <w:t>§</w:t>
      </w:r>
      <w:r w:rsidR="0007136F" w:rsidRPr="0007136F">
        <w:rPr>
          <w:rFonts w:cs="Arial"/>
          <w:b/>
          <w:bCs/>
          <w:color w:val="000000"/>
          <w:szCs w:val="20"/>
        </w:rPr>
        <w:t>125 (Cafeteria) Plan Election Changes</w:t>
      </w:r>
    </w:p>
    <w:p w14:paraId="2B566C47" w14:textId="5B9D2F54" w:rsidR="008C03BD" w:rsidRDefault="00C13AA4" w:rsidP="007D1706">
      <w:pPr>
        <w:ind w:left="0"/>
        <w:rPr>
          <w:rFonts w:cs="Arial"/>
          <w:color w:val="000000"/>
          <w:szCs w:val="20"/>
        </w:rPr>
      </w:pPr>
      <w:r>
        <w:rPr>
          <w:rFonts w:cs="Arial"/>
          <w:color w:val="000000"/>
          <w:szCs w:val="20"/>
        </w:rPr>
        <w:t>A</w:t>
      </w:r>
      <w:r w:rsidR="005222EC">
        <w:rPr>
          <w:rFonts w:cs="Arial"/>
          <w:color w:val="000000"/>
          <w:szCs w:val="20"/>
        </w:rPr>
        <w:t xml:space="preserve"> termination of benefit</w:t>
      </w:r>
      <w:r>
        <w:rPr>
          <w:rFonts w:cs="Arial"/>
          <w:color w:val="000000"/>
          <w:szCs w:val="20"/>
        </w:rPr>
        <w:t xml:space="preserve"> eligibility</w:t>
      </w:r>
      <w:r w:rsidR="005222EC">
        <w:rPr>
          <w:rFonts w:cs="Arial"/>
          <w:color w:val="000000"/>
          <w:szCs w:val="20"/>
        </w:rPr>
        <w:t xml:space="preserve"> </w:t>
      </w:r>
      <w:r>
        <w:rPr>
          <w:rFonts w:cs="Arial"/>
          <w:color w:val="000000"/>
          <w:szCs w:val="20"/>
        </w:rPr>
        <w:t>clearly permits a mid-year election change for any pre-tax elections made through an employer’s cafeteria plan. In addition, a change in the cost of coverage initiated by the employer will also generally permit a</w:t>
      </w:r>
      <w:r w:rsidR="00306EAD">
        <w:rPr>
          <w:rFonts w:cs="Arial"/>
          <w:color w:val="000000"/>
          <w:szCs w:val="20"/>
        </w:rPr>
        <w:t xml:space="preserve"> corresponding change in pre-tax</w:t>
      </w:r>
      <w:r w:rsidR="009B47F1">
        <w:rPr>
          <w:rFonts w:cs="Arial"/>
          <w:color w:val="000000"/>
          <w:szCs w:val="20"/>
        </w:rPr>
        <w:t xml:space="preserve"> electio</w:t>
      </w:r>
      <w:r w:rsidR="00306EAD">
        <w:rPr>
          <w:rFonts w:cs="Arial"/>
          <w:color w:val="000000"/>
          <w:szCs w:val="20"/>
        </w:rPr>
        <w:t>ns, including dropping coverage completely when the cost increases significantly</w:t>
      </w:r>
      <w:r w:rsidR="009B47F1">
        <w:rPr>
          <w:rFonts w:cs="Arial"/>
          <w:color w:val="000000"/>
          <w:szCs w:val="20"/>
        </w:rPr>
        <w:t xml:space="preserve">. </w:t>
      </w:r>
    </w:p>
    <w:p w14:paraId="55542A3C" w14:textId="77777777" w:rsidR="008C03BD" w:rsidRDefault="008C03BD" w:rsidP="007D1706">
      <w:pPr>
        <w:ind w:left="0"/>
        <w:rPr>
          <w:rFonts w:cs="Arial"/>
          <w:color w:val="000000"/>
          <w:szCs w:val="20"/>
        </w:rPr>
      </w:pPr>
    </w:p>
    <w:p w14:paraId="0401F035" w14:textId="4B6C2E40" w:rsidR="00B015C5" w:rsidRDefault="00947696" w:rsidP="007D1706">
      <w:pPr>
        <w:ind w:left="0"/>
        <w:rPr>
          <w:rFonts w:cs="Arial"/>
          <w:color w:val="000000"/>
          <w:szCs w:val="20"/>
        </w:rPr>
      </w:pPr>
      <w:r>
        <w:rPr>
          <w:rFonts w:cs="Arial"/>
          <w:color w:val="000000"/>
          <w:szCs w:val="20"/>
        </w:rPr>
        <w:t>On the other hand, w</w:t>
      </w:r>
      <w:r w:rsidR="009B47F1">
        <w:rPr>
          <w:rFonts w:cs="Arial"/>
          <w:color w:val="000000"/>
          <w:szCs w:val="20"/>
        </w:rPr>
        <w:t>hen</w:t>
      </w:r>
      <w:r w:rsidR="008C03BD">
        <w:rPr>
          <w:rFonts w:cs="Arial"/>
          <w:color w:val="000000"/>
          <w:szCs w:val="20"/>
        </w:rPr>
        <w:t xml:space="preserve"> there is a reduction in pay, but</w:t>
      </w:r>
      <w:r w:rsidR="009B47F1">
        <w:rPr>
          <w:rFonts w:cs="Arial"/>
          <w:color w:val="000000"/>
          <w:szCs w:val="20"/>
        </w:rPr>
        <w:t xml:space="preserve"> </w:t>
      </w:r>
      <w:r w:rsidR="00306EAD">
        <w:rPr>
          <w:rFonts w:cs="Arial"/>
          <w:color w:val="000000"/>
          <w:szCs w:val="20"/>
        </w:rPr>
        <w:t xml:space="preserve">benefit eligibility and the cost of coverage </w:t>
      </w:r>
      <w:r>
        <w:rPr>
          <w:rFonts w:cs="Arial"/>
          <w:color w:val="000000"/>
          <w:szCs w:val="20"/>
        </w:rPr>
        <w:t>are unchanged</w:t>
      </w:r>
      <w:r w:rsidR="008C03BD">
        <w:rPr>
          <w:rFonts w:cs="Arial"/>
          <w:color w:val="000000"/>
          <w:szCs w:val="20"/>
        </w:rPr>
        <w:t>, the rules do not permit a mid-year change in pre-tax elections. That being the case, if employers choose to be a little more flexible under these unique circumstances</w:t>
      </w:r>
      <w:r w:rsidR="006E3AEC">
        <w:rPr>
          <w:rFonts w:cs="Arial"/>
          <w:color w:val="000000"/>
          <w:szCs w:val="20"/>
        </w:rPr>
        <w:t xml:space="preserve"> by allowing election changes that are not specifically allowed under </w:t>
      </w:r>
      <w:r w:rsidR="00E5309F">
        <w:rPr>
          <w:rFonts w:cs="Arial"/>
          <w:color w:val="000000"/>
          <w:szCs w:val="20"/>
        </w:rPr>
        <w:t>§</w:t>
      </w:r>
      <w:r w:rsidR="006E3AEC">
        <w:rPr>
          <w:rFonts w:cs="Arial"/>
          <w:color w:val="000000"/>
          <w:szCs w:val="20"/>
        </w:rPr>
        <w:t>125 rules</w:t>
      </w:r>
      <w:r w:rsidR="008C03BD">
        <w:rPr>
          <w:rFonts w:cs="Arial"/>
          <w:color w:val="000000"/>
          <w:szCs w:val="20"/>
        </w:rPr>
        <w:t>, it seems extremely unlikely that the IRS would take any significant enforcement action.</w:t>
      </w:r>
    </w:p>
    <w:p w14:paraId="26FAACFE" w14:textId="77777777" w:rsidR="00B015C5" w:rsidRDefault="00B015C5" w:rsidP="007D1706">
      <w:pPr>
        <w:ind w:left="0"/>
        <w:rPr>
          <w:rFonts w:cs="Arial"/>
          <w:color w:val="000000"/>
          <w:szCs w:val="20"/>
        </w:rPr>
      </w:pPr>
    </w:p>
    <w:p w14:paraId="2FA0787D" w14:textId="71121667" w:rsidR="00D1630B" w:rsidRPr="00F63CAB" w:rsidRDefault="00F63CAB" w:rsidP="007D1706">
      <w:pPr>
        <w:ind w:left="0"/>
        <w:rPr>
          <w:rFonts w:cs="Arial"/>
          <w:b/>
          <w:bCs/>
          <w:color w:val="000000"/>
          <w:szCs w:val="20"/>
        </w:rPr>
      </w:pPr>
      <w:r>
        <w:rPr>
          <w:rFonts w:cs="Arial"/>
          <w:b/>
          <w:bCs/>
          <w:color w:val="000000"/>
          <w:szCs w:val="20"/>
        </w:rPr>
        <w:t>Public Exchange Coverage &amp; Subsidy Eligibility</w:t>
      </w:r>
    </w:p>
    <w:p w14:paraId="087DB590" w14:textId="5DE9CC41" w:rsidR="00D4529C" w:rsidRDefault="005611AC" w:rsidP="007D1706">
      <w:pPr>
        <w:ind w:left="0"/>
        <w:rPr>
          <w:rFonts w:cs="Arial"/>
          <w:color w:val="000000"/>
          <w:szCs w:val="20"/>
        </w:rPr>
      </w:pPr>
      <w:r>
        <w:rPr>
          <w:rFonts w:cs="Arial"/>
          <w:color w:val="000000"/>
          <w:szCs w:val="20"/>
        </w:rPr>
        <w:t xml:space="preserve">Employees who lose eligibility for </w:t>
      </w:r>
      <w:r w:rsidR="0042217C">
        <w:rPr>
          <w:rFonts w:cs="Arial"/>
          <w:color w:val="000000"/>
          <w:szCs w:val="20"/>
        </w:rPr>
        <w:t xml:space="preserve">group medical </w:t>
      </w:r>
      <w:r>
        <w:rPr>
          <w:rFonts w:cs="Arial"/>
          <w:color w:val="000000"/>
          <w:szCs w:val="20"/>
        </w:rPr>
        <w:t xml:space="preserve">coverage, or for whom coverage becomes unaffordable due to a decrease in employer contributions, </w:t>
      </w:r>
      <w:r w:rsidR="008437FB">
        <w:rPr>
          <w:rFonts w:cs="Arial"/>
          <w:color w:val="000000"/>
          <w:szCs w:val="20"/>
        </w:rPr>
        <w:t xml:space="preserve">will likely qualify for a special enrollment through their local public Exchange. </w:t>
      </w:r>
      <w:r w:rsidR="000824BA">
        <w:rPr>
          <w:rFonts w:cs="Arial"/>
          <w:color w:val="000000"/>
          <w:szCs w:val="20"/>
        </w:rPr>
        <w:t xml:space="preserve">If they are not eligible for minimum value, affordable coverage offered through an employer and have household income of 100-400% of the federal poverty level, they </w:t>
      </w:r>
      <w:r w:rsidR="0042217C">
        <w:rPr>
          <w:rFonts w:cs="Arial"/>
          <w:color w:val="000000"/>
          <w:szCs w:val="20"/>
        </w:rPr>
        <w:t>may also qualify for a tax subsidy to assist with paying for coverage purchased through the public Exchange.</w:t>
      </w:r>
      <w:r w:rsidR="008437FB">
        <w:rPr>
          <w:rFonts w:cs="Arial"/>
          <w:color w:val="000000"/>
          <w:szCs w:val="20"/>
        </w:rPr>
        <w:t xml:space="preserve"> </w:t>
      </w:r>
      <w:r w:rsidR="00D60251">
        <w:rPr>
          <w:rFonts w:cs="Arial"/>
          <w:color w:val="000000"/>
          <w:szCs w:val="20"/>
        </w:rPr>
        <w:t xml:space="preserve">This might be a more attractive coverage option </w:t>
      </w:r>
      <w:r w:rsidR="0018386C">
        <w:rPr>
          <w:rFonts w:cs="Arial"/>
          <w:color w:val="000000"/>
          <w:szCs w:val="20"/>
        </w:rPr>
        <w:t>than continuation coverage</w:t>
      </w:r>
      <w:r w:rsidR="0004025E">
        <w:rPr>
          <w:rFonts w:cs="Arial"/>
          <w:color w:val="000000"/>
          <w:szCs w:val="20"/>
        </w:rPr>
        <w:t xml:space="preserve"> requiring the employee to pay </w:t>
      </w:r>
      <w:r w:rsidR="006E3AEC">
        <w:rPr>
          <w:rFonts w:cs="Arial"/>
          <w:color w:val="000000"/>
          <w:szCs w:val="20"/>
        </w:rPr>
        <w:t xml:space="preserve">up to </w:t>
      </w:r>
      <w:r w:rsidR="0004025E">
        <w:rPr>
          <w:rFonts w:cs="Arial"/>
          <w:color w:val="000000"/>
          <w:szCs w:val="20"/>
        </w:rPr>
        <w:t>102% of the monthly premium cost.</w:t>
      </w:r>
    </w:p>
    <w:p w14:paraId="27317C52" w14:textId="2103762C" w:rsidR="00D4529C" w:rsidRDefault="00D4529C" w:rsidP="007D1706">
      <w:pPr>
        <w:ind w:left="0"/>
        <w:rPr>
          <w:rFonts w:cs="Arial"/>
          <w:szCs w:val="20"/>
        </w:rPr>
      </w:pPr>
    </w:p>
    <w:p w14:paraId="1CD92B7C" w14:textId="5266020C" w:rsidR="00E5309F" w:rsidRDefault="00E5309F" w:rsidP="007D1706">
      <w:pPr>
        <w:ind w:left="0"/>
        <w:rPr>
          <w:rFonts w:cs="Arial"/>
          <w:szCs w:val="20"/>
        </w:rPr>
      </w:pPr>
    </w:p>
    <w:p w14:paraId="2E696392" w14:textId="77777777" w:rsidR="00E5309F" w:rsidRPr="00856A54" w:rsidRDefault="00E5309F" w:rsidP="007D1706">
      <w:pPr>
        <w:ind w:left="0"/>
        <w:rPr>
          <w:rFonts w:cs="Arial"/>
          <w:szCs w:val="20"/>
        </w:rPr>
      </w:pPr>
    </w:p>
    <w:p w14:paraId="04104B8F" w14:textId="77F9DB43" w:rsidR="008362F4" w:rsidRPr="00D51343" w:rsidRDefault="00470E94" w:rsidP="00D51343">
      <w:pPr>
        <w:pStyle w:val="MediumGrid21"/>
        <w:rPr>
          <w:i/>
          <w:sz w:val="18"/>
        </w:rPr>
      </w:pPr>
      <w:r w:rsidRPr="00470E94">
        <w:rPr>
          <w:rFonts w:cs="Arial"/>
          <w:i/>
          <w:sz w:val="18"/>
          <w:szCs w:val="18"/>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51343" w:rsidSect="00856A54">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4DF69" w14:textId="77777777" w:rsidR="005A31BD" w:rsidRDefault="005A31BD" w:rsidP="006C7EC1">
      <w:r>
        <w:separator/>
      </w:r>
    </w:p>
  </w:endnote>
  <w:endnote w:type="continuationSeparator" w:id="0">
    <w:p w14:paraId="3C25D264" w14:textId="77777777" w:rsidR="005A31BD" w:rsidRDefault="005A31BD" w:rsidP="006C7EC1">
      <w:r>
        <w:continuationSeparator/>
      </w:r>
    </w:p>
  </w:endnote>
  <w:endnote w:type="continuationNotice" w:id="1">
    <w:p w14:paraId="6B595026" w14:textId="77777777" w:rsidR="005A31BD" w:rsidRDefault="005A3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670B" w14:textId="77777777" w:rsidR="00916C51" w:rsidRDefault="00916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C21D" w14:textId="77777777" w:rsidR="008E0604" w:rsidRDefault="008E0604" w:rsidP="006C7EC1">
    <w:pPr>
      <w:pStyle w:val="Footer"/>
      <w:jc w:val="center"/>
      <w:rPr>
        <w:rFonts w:cs="Arial"/>
        <w:sz w:val="18"/>
        <w:szCs w:val="18"/>
      </w:rPr>
    </w:pPr>
  </w:p>
  <w:p w14:paraId="2FC9C34E" w14:textId="59D4EC99" w:rsidR="008E0604" w:rsidRDefault="008E0604" w:rsidP="006C7EC1">
    <w:pPr>
      <w:pStyle w:val="Footer"/>
      <w:jc w:val="center"/>
      <w:rPr>
        <w:sz w:val="18"/>
        <w:szCs w:val="18"/>
        <w:lang w:val="en-US"/>
      </w:rPr>
    </w:pPr>
    <w:r w:rsidRPr="006C7EC1">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6A5648F9"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23D44">
      <w:rPr>
        <w:noProof/>
        <w:sz w:val="18"/>
        <w:szCs w:val="18"/>
        <w:lang w:val="en-US"/>
      </w:rPr>
      <w:t>2</w:t>
    </w:r>
    <w:r w:rsidRPr="00866B99">
      <w:rP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0340" w14:textId="1828F437" w:rsidR="008E0604" w:rsidRDefault="008E0604" w:rsidP="006C7EC1">
    <w:pPr>
      <w:pStyle w:val="Footer"/>
      <w:jc w:val="center"/>
      <w:rPr>
        <w:sz w:val="18"/>
        <w:szCs w:val="18"/>
        <w:lang w:val="en-US"/>
      </w:rPr>
    </w:pPr>
    <w:r>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5F408CE2"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23D44">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35CE7" w14:textId="77777777" w:rsidR="005A31BD" w:rsidRDefault="005A31BD" w:rsidP="006C7EC1">
      <w:r>
        <w:separator/>
      </w:r>
    </w:p>
  </w:footnote>
  <w:footnote w:type="continuationSeparator" w:id="0">
    <w:p w14:paraId="455FBA80" w14:textId="77777777" w:rsidR="005A31BD" w:rsidRDefault="005A31BD" w:rsidP="006C7EC1">
      <w:r>
        <w:continuationSeparator/>
      </w:r>
    </w:p>
  </w:footnote>
  <w:footnote w:type="continuationNotice" w:id="1">
    <w:p w14:paraId="23FFDADE" w14:textId="77777777" w:rsidR="005A31BD" w:rsidRDefault="005A31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F9F7" w14:textId="77777777" w:rsidR="00916C51" w:rsidRDefault="00916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158B2" w14:textId="77777777" w:rsidR="00D51343" w:rsidRDefault="00D51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7785"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FAA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31464"/>
    <w:multiLevelType w:val="hybridMultilevel"/>
    <w:tmpl w:val="E010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31FE"/>
    <w:multiLevelType w:val="hybridMultilevel"/>
    <w:tmpl w:val="3E4EA808"/>
    <w:lvl w:ilvl="0" w:tplc="CC989464">
      <w:numFmt w:val="bullet"/>
      <w:lvlText w:val="•"/>
      <w:lvlJc w:val="left"/>
      <w:pPr>
        <w:ind w:left="144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71A2"/>
    <w:multiLevelType w:val="hybridMultilevel"/>
    <w:tmpl w:val="29A0332A"/>
    <w:lvl w:ilvl="0" w:tplc="CC98946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56D16"/>
    <w:multiLevelType w:val="hybridMultilevel"/>
    <w:tmpl w:val="6B9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B0889"/>
    <w:multiLevelType w:val="hybridMultilevel"/>
    <w:tmpl w:val="D31EA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D75C1"/>
    <w:multiLevelType w:val="hybridMultilevel"/>
    <w:tmpl w:val="57EA470A"/>
    <w:lvl w:ilvl="0" w:tplc="CC98946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405A3E"/>
    <w:multiLevelType w:val="hybridMultilevel"/>
    <w:tmpl w:val="B0B0D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61A543B0"/>
    <w:multiLevelType w:val="hybridMultilevel"/>
    <w:tmpl w:val="035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133AA"/>
    <w:multiLevelType w:val="hybridMultilevel"/>
    <w:tmpl w:val="97DC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7BB44C2"/>
    <w:multiLevelType w:val="multilevel"/>
    <w:tmpl w:val="F7CC0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E73FD2"/>
    <w:multiLevelType w:val="hybridMultilevel"/>
    <w:tmpl w:val="39527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3679BB"/>
    <w:multiLevelType w:val="hybridMultilevel"/>
    <w:tmpl w:val="A624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B31D6"/>
    <w:multiLevelType w:val="hybridMultilevel"/>
    <w:tmpl w:val="52A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71A00"/>
    <w:multiLevelType w:val="hybridMultilevel"/>
    <w:tmpl w:val="72A0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1F4581"/>
    <w:multiLevelType w:val="hybridMultilevel"/>
    <w:tmpl w:val="3662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05132"/>
    <w:multiLevelType w:val="hybridMultilevel"/>
    <w:tmpl w:val="5A36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7FC512C"/>
    <w:multiLevelType w:val="hybridMultilevel"/>
    <w:tmpl w:val="F4BC7E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24"/>
  </w:num>
  <w:num w:numId="3">
    <w:abstractNumId w:val="23"/>
  </w:num>
  <w:num w:numId="4">
    <w:abstractNumId w:val="5"/>
  </w:num>
  <w:num w:numId="5">
    <w:abstractNumId w:val="12"/>
  </w:num>
  <w:num w:numId="6">
    <w:abstractNumId w:val="8"/>
  </w:num>
  <w:num w:numId="7">
    <w:abstractNumId w:val="6"/>
  </w:num>
  <w:num w:numId="8">
    <w:abstractNumId w:val="15"/>
  </w:num>
  <w:num w:numId="9">
    <w:abstractNumId w:val="0"/>
  </w:num>
  <w:num w:numId="10">
    <w:abstractNumId w:val="13"/>
  </w:num>
  <w:num w:numId="11">
    <w:abstractNumId w:val="17"/>
  </w:num>
  <w:num w:numId="12">
    <w:abstractNumId w:val="11"/>
  </w:num>
  <w:num w:numId="13">
    <w:abstractNumId w:val="10"/>
  </w:num>
  <w:num w:numId="14">
    <w:abstractNumId w:val="2"/>
  </w:num>
  <w:num w:numId="15">
    <w:abstractNumId w:val="4"/>
  </w:num>
  <w:num w:numId="16">
    <w:abstractNumId w:val="21"/>
  </w:num>
  <w:num w:numId="17">
    <w:abstractNumId w:val="20"/>
  </w:num>
  <w:num w:numId="18">
    <w:abstractNumId w:val="1"/>
  </w:num>
  <w:num w:numId="19">
    <w:abstractNumId w:val="14"/>
  </w:num>
  <w:num w:numId="20">
    <w:abstractNumId w:val="7"/>
  </w:num>
  <w:num w:numId="21">
    <w:abstractNumId w:val="22"/>
  </w:num>
  <w:num w:numId="22">
    <w:abstractNumId w:val="19"/>
  </w:num>
  <w:num w:numId="23">
    <w:abstractNumId w:val="16"/>
  </w:num>
  <w:num w:numId="24">
    <w:abstractNumId w:val="9"/>
  </w:num>
  <w:num w:numId="2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80"/>
  <w:drawingGridVerticalSpacing w:val="109"/>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37D0"/>
    <w:rsid w:val="00005756"/>
    <w:rsid w:val="000130D1"/>
    <w:rsid w:val="00014763"/>
    <w:rsid w:val="000166F5"/>
    <w:rsid w:val="00017813"/>
    <w:rsid w:val="00020C39"/>
    <w:rsid w:val="00027ACB"/>
    <w:rsid w:val="00035EF2"/>
    <w:rsid w:val="0004025E"/>
    <w:rsid w:val="00040AB3"/>
    <w:rsid w:val="00041D34"/>
    <w:rsid w:val="00042D2A"/>
    <w:rsid w:val="00045F42"/>
    <w:rsid w:val="00047242"/>
    <w:rsid w:val="00056762"/>
    <w:rsid w:val="00057C3B"/>
    <w:rsid w:val="0006084A"/>
    <w:rsid w:val="0006208C"/>
    <w:rsid w:val="00065F15"/>
    <w:rsid w:val="00066FF6"/>
    <w:rsid w:val="0007136F"/>
    <w:rsid w:val="00071F3D"/>
    <w:rsid w:val="00074479"/>
    <w:rsid w:val="000824BA"/>
    <w:rsid w:val="00090998"/>
    <w:rsid w:val="00093B13"/>
    <w:rsid w:val="00096B1E"/>
    <w:rsid w:val="000A697A"/>
    <w:rsid w:val="000B4DEA"/>
    <w:rsid w:val="000C3603"/>
    <w:rsid w:val="000C409F"/>
    <w:rsid w:val="000C41B5"/>
    <w:rsid w:val="000C5473"/>
    <w:rsid w:val="000C721A"/>
    <w:rsid w:val="000C78FA"/>
    <w:rsid w:val="000D3FBC"/>
    <w:rsid w:val="000D4539"/>
    <w:rsid w:val="000D5C78"/>
    <w:rsid w:val="000D78EF"/>
    <w:rsid w:val="000E03AB"/>
    <w:rsid w:val="000E668C"/>
    <w:rsid w:val="000F3936"/>
    <w:rsid w:val="000F3F23"/>
    <w:rsid w:val="000F528A"/>
    <w:rsid w:val="000F764D"/>
    <w:rsid w:val="0010150B"/>
    <w:rsid w:val="00103F85"/>
    <w:rsid w:val="00103FD3"/>
    <w:rsid w:val="00104680"/>
    <w:rsid w:val="00107969"/>
    <w:rsid w:val="00112649"/>
    <w:rsid w:val="001134BA"/>
    <w:rsid w:val="00113F23"/>
    <w:rsid w:val="001216D1"/>
    <w:rsid w:val="00124F43"/>
    <w:rsid w:val="001432A3"/>
    <w:rsid w:val="00144A9C"/>
    <w:rsid w:val="00146F88"/>
    <w:rsid w:val="00155720"/>
    <w:rsid w:val="00160EF0"/>
    <w:rsid w:val="00172882"/>
    <w:rsid w:val="001824D9"/>
    <w:rsid w:val="001831CC"/>
    <w:rsid w:val="0018386C"/>
    <w:rsid w:val="00185E4E"/>
    <w:rsid w:val="00187547"/>
    <w:rsid w:val="00194FD3"/>
    <w:rsid w:val="001956A4"/>
    <w:rsid w:val="001A01BC"/>
    <w:rsid w:val="001A2BF1"/>
    <w:rsid w:val="001A4388"/>
    <w:rsid w:val="001A569D"/>
    <w:rsid w:val="001A7955"/>
    <w:rsid w:val="001B1A88"/>
    <w:rsid w:val="001C1E40"/>
    <w:rsid w:val="001C256F"/>
    <w:rsid w:val="001C4860"/>
    <w:rsid w:val="001C64ED"/>
    <w:rsid w:val="001C68CC"/>
    <w:rsid w:val="001D2CD5"/>
    <w:rsid w:val="001D58D8"/>
    <w:rsid w:val="001D745D"/>
    <w:rsid w:val="001D77F4"/>
    <w:rsid w:val="001E2972"/>
    <w:rsid w:val="001E622E"/>
    <w:rsid w:val="001F00ED"/>
    <w:rsid w:val="001F0404"/>
    <w:rsid w:val="001F20E5"/>
    <w:rsid w:val="001F3F58"/>
    <w:rsid w:val="001F50F8"/>
    <w:rsid w:val="001F55BC"/>
    <w:rsid w:val="00200664"/>
    <w:rsid w:val="0020244B"/>
    <w:rsid w:val="00211FC6"/>
    <w:rsid w:val="00212E4A"/>
    <w:rsid w:val="002136F8"/>
    <w:rsid w:val="002241F3"/>
    <w:rsid w:val="00224D07"/>
    <w:rsid w:val="00226283"/>
    <w:rsid w:val="00231306"/>
    <w:rsid w:val="00232ED4"/>
    <w:rsid w:val="002330A5"/>
    <w:rsid w:val="00236C0D"/>
    <w:rsid w:val="00244635"/>
    <w:rsid w:val="00244C01"/>
    <w:rsid w:val="00247077"/>
    <w:rsid w:val="00250761"/>
    <w:rsid w:val="00255A5D"/>
    <w:rsid w:val="00266771"/>
    <w:rsid w:val="00267C12"/>
    <w:rsid w:val="00270D0F"/>
    <w:rsid w:val="00273B33"/>
    <w:rsid w:val="00273D4E"/>
    <w:rsid w:val="002742E6"/>
    <w:rsid w:val="00277CAA"/>
    <w:rsid w:val="002815D9"/>
    <w:rsid w:val="002A761A"/>
    <w:rsid w:val="002B4D4C"/>
    <w:rsid w:val="002B72B6"/>
    <w:rsid w:val="002C4834"/>
    <w:rsid w:val="002C4ADB"/>
    <w:rsid w:val="002D2CAD"/>
    <w:rsid w:val="002D68CA"/>
    <w:rsid w:val="002D6E4B"/>
    <w:rsid w:val="002D6F6F"/>
    <w:rsid w:val="002E0CD0"/>
    <w:rsid w:val="002E12F2"/>
    <w:rsid w:val="002E280D"/>
    <w:rsid w:val="002E52E2"/>
    <w:rsid w:val="002E69BE"/>
    <w:rsid w:val="002F023E"/>
    <w:rsid w:val="002F1D78"/>
    <w:rsid w:val="002F3FBC"/>
    <w:rsid w:val="002F5B6A"/>
    <w:rsid w:val="002F5FCD"/>
    <w:rsid w:val="00306EAD"/>
    <w:rsid w:val="00311D22"/>
    <w:rsid w:val="00314066"/>
    <w:rsid w:val="00315F0E"/>
    <w:rsid w:val="0031698C"/>
    <w:rsid w:val="0032527D"/>
    <w:rsid w:val="0032681D"/>
    <w:rsid w:val="0033168B"/>
    <w:rsid w:val="00332855"/>
    <w:rsid w:val="00333257"/>
    <w:rsid w:val="00337651"/>
    <w:rsid w:val="00341F9B"/>
    <w:rsid w:val="00346D40"/>
    <w:rsid w:val="003507D0"/>
    <w:rsid w:val="00350A7D"/>
    <w:rsid w:val="00351DAE"/>
    <w:rsid w:val="003536E9"/>
    <w:rsid w:val="0035725D"/>
    <w:rsid w:val="003606B3"/>
    <w:rsid w:val="00366731"/>
    <w:rsid w:val="00373838"/>
    <w:rsid w:val="0037534B"/>
    <w:rsid w:val="00375AC7"/>
    <w:rsid w:val="00376897"/>
    <w:rsid w:val="00376D4E"/>
    <w:rsid w:val="00377A73"/>
    <w:rsid w:val="00380E82"/>
    <w:rsid w:val="003902B9"/>
    <w:rsid w:val="0039272A"/>
    <w:rsid w:val="00393B70"/>
    <w:rsid w:val="003964A9"/>
    <w:rsid w:val="00397F1D"/>
    <w:rsid w:val="003A15A0"/>
    <w:rsid w:val="003A7120"/>
    <w:rsid w:val="003B0730"/>
    <w:rsid w:val="003B2F3D"/>
    <w:rsid w:val="003B7105"/>
    <w:rsid w:val="003C2C45"/>
    <w:rsid w:val="003C50C6"/>
    <w:rsid w:val="003C61A1"/>
    <w:rsid w:val="003D0C70"/>
    <w:rsid w:val="003D3ABE"/>
    <w:rsid w:val="003D5BB6"/>
    <w:rsid w:val="003D6019"/>
    <w:rsid w:val="003E1F9E"/>
    <w:rsid w:val="003E7F11"/>
    <w:rsid w:val="004019B7"/>
    <w:rsid w:val="004132DF"/>
    <w:rsid w:val="00421453"/>
    <w:rsid w:val="0042217C"/>
    <w:rsid w:val="00431FC0"/>
    <w:rsid w:val="00440FAD"/>
    <w:rsid w:val="00441B20"/>
    <w:rsid w:val="0044224C"/>
    <w:rsid w:val="0044576D"/>
    <w:rsid w:val="00450D6A"/>
    <w:rsid w:val="00453723"/>
    <w:rsid w:val="00453816"/>
    <w:rsid w:val="004547A6"/>
    <w:rsid w:val="00461B0E"/>
    <w:rsid w:val="00464CBE"/>
    <w:rsid w:val="0046786C"/>
    <w:rsid w:val="00467E2A"/>
    <w:rsid w:val="00470E94"/>
    <w:rsid w:val="004767AA"/>
    <w:rsid w:val="00476F72"/>
    <w:rsid w:val="00480728"/>
    <w:rsid w:val="00484888"/>
    <w:rsid w:val="004870C3"/>
    <w:rsid w:val="00490D5F"/>
    <w:rsid w:val="0049425B"/>
    <w:rsid w:val="004A2300"/>
    <w:rsid w:val="004A51E3"/>
    <w:rsid w:val="004B2781"/>
    <w:rsid w:val="004B4147"/>
    <w:rsid w:val="004B6441"/>
    <w:rsid w:val="004B7C6C"/>
    <w:rsid w:val="004C2946"/>
    <w:rsid w:val="004C660E"/>
    <w:rsid w:val="004C685A"/>
    <w:rsid w:val="004C69AE"/>
    <w:rsid w:val="004C7E74"/>
    <w:rsid w:val="004D0666"/>
    <w:rsid w:val="004E1B3E"/>
    <w:rsid w:val="004E2D50"/>
    <w:rsid w:val="004E530D"/>
    <w:rsid w:val="004E77C4"/>
    <w:rsid w:val="004F0122"/>
    <w:rsid w:val="004F12B3"/>
    <w:rsid w:val="004F1328"/>
    <w:rsid w:val="004F38E5"/>
    <w:rsid w:val="004F4484"/>
    <w:rsid w:val="00502802"/>
    <w:rsid w:val="00514672"/>
    <w:rsid w:val="005222EC"/>
    <w:rsid w:val="00524D6D"/>
    <w:rsid w:val="0053017A"/>
    <w:rsid w:val="00532F84"/>
    <w:rsid w:val="0053484C"/>
    <w:rsid w:val="0053695B"/>
    <w:rsid w:val="005378A2"/>
    <w:rsid w:val="00540CCF"/>
    <w:rsid w:val="0054208E"/>
    <w:rsid w:val="00544C20"/>
    <w:rsid w:val="005460AD"/>
    <w:rsid w:val="00554D66"/>
    <w:rsid w:val="0055764A"/>
    <w:rsid w:val="0056000B"/>
    <w:rsid w:val="005611AC"/>
    <w:rsid w:val="005660E9"/>
    <w:rsid w:val="005718A9"/>
    <w:rsid w:val="005718C3"/>
    <w:rsid w:val="00572A67"/>
    <w:rsid w:val="00573C67"/>
    <w:rsid w:val="00583F06"/>
    <w:rsid w:val="00586252"/>
    <w:rsid w:val="00586571"/>
    <w:rsid w:val="005900FA"/>
    <w:rsid w:val="00591725"/>
    <w:rsid w:val="005918A5"/>
    <w:rsid w:val="005921C3"/>
    <w:rsid w:val="005926DA"/>
    <w:rsid w:val="005965B8"/>
    <w:rsid w:val="005A227E"/>
    <w:rsid w:val="005A31BD"/>
    <w:rsid w:val="005A631F"/>
    <w:rsid w:val="005B0103"/>
    <w:rsid w:val="005B59D9"/>
    <w:rsid w:val="005B59FC"/>
    <w:rsid w:val="005C2382"/>
    <w:rsid w:val="005D297F"/>
    <w:rsid w:val="005D6D8C"/>
    <w:rsid w:val="005E1161"/>
    <w:rsid w:val="005E17F7"/>
    <w:rsid w:val="005E27CD"/>
    <w:rsid w:val="005E4301"/>
    <w:rsid w:val="005F1993"/>
    <w:rsid w:val="005F2269"/>
    <w:rsid w:val="005F26CE"/>
    <w:rsid w:val="005F4D3F"/>
    <w:rsid w:val="005F6CE2"/>
    <w:rsid w:val="006002FE"/>
    <w:rsid w:val="00600FC4"/>
    <w:rsid w:val="006034D7"/>
    <w:rsid w:val="00605355"/>
    <w:rsid w:val="006102F4"/>
    <w:rsid w:val="00613988"/>
    <w:rsid w:val="006149F2"/>
    <w:rsid w:val="00616FD0"/>
    <w:rsid w:val="006259C0"/>
    <w:rsid w:val="00630D64"/>
    <w:rsid w:val="006325DB"/>
    <w:rsid w:val="00633D0E"/>
    <w:rsid w:val="00644A0B"/>
    <w:rsid w:val="0064520C"/>
    <w:rsid w:val="006466D7"/>
    <w:rsid w:val="00651512"/>
    <w:rsid w:val="00651B68"/>
    <w:rsid w:val="006577E9"/>
    <w:rsid w:val="00657FA9"/>
    <w:rsid w:val="00661E3F"/>
    <w:rsid w:val="006634A7"/>
    <w:rsid w:val="00665FB5"/>
    <w:rsid w:val="006717AA"/>
    <w:rsid w:val="00675439"/>
    <w:rsid w:val="006756CB"/>
    <w:rsid w:val="00685C8D"/>
    <w:rsid w:val="006954EF"/>
    <w:rsid w:val="006A2EBF"/>
    <w:rsid w:val="006A3A71"/>
    <w:rsid w:val="006B1545"/>
    <w:rsid w:val="006B23FC"/>
    <w:rsid w:val="006B28BC"/>
    <w:rsid w:val="006B5260"/>
    <w:rsid w:val="006B649F"/>
    <w:rsid w:val="006C7B72"/>
    <w:rsid w:val="006C7EC1"/>
    <w:rsid w:val="006E1247"/>
    <w:rsid w:val="006E3AEC"/>
    <w:rsid w:val="006E4439"/>
    <w:rsid w:val="006F01EE"/>
    <w:rsid w:val="006F72AD"/>
    <w:rsid w:val="007022C4"/>
    <w:rsid w:val="0070365B"/>
    <w:rsid w:val="007047B7"/>
    <w:rsid w:val="00712328"/>
    <w:rsid w:val="00713909"/>
    <w:rsid w:val="00722CCA"/>
    <w:rsid w:val="00726F77"/>
    <w:rsid w:val="0072721D"/>
    <w:rsid w:val="00733A52"/>
    <w:rsid w:val="007358F5"/>
    <w:rsid w:val="00736A9B"/>
    <w:rsid w:val="007403EB"/>
    <w:rsid w:val="007414D8"/>
    <w:rsid w:val="00744C75"/>
    <w:rsid w:val="007508F7"/>
    <w:rsid w:val="007626B8"/>
    <w:rsid w:val="00764AED"/>
    <w:rsid w:val="00773AE3"/>
    <w:rsid w:val="00776816"/>
    <w:rsid w:val="00777B7B"/>
    <w:rsid w:val="007832BF"/>
    <w:rsid w:val="007908B7"/>
    <w:rsid w:val="00792F14"/>
    <w:rsid w:val="007956BD"/>
    <w:rsid w:val="007A40FF"/>
    <w:rsid w:val="007A47CD"/>
    <w:rsid w:val="007A7A8C"/>
    <w:rsid w:val="007B4885"/>
    <w:rsid w:val="007C77AA"/>
    <w:rsid w:val="007C7C7C"/>
    <w:rsid w:val="007C7D72"/>
    <w:rsid w:val="007D1706"/>
    <w:rsid w:val="007D41B2"/>
    <w:rsid w:val="007D5827"/>
    <w:rsid w:val="007E2565"/>
    <w:rsid w:val="007E4BD6"/>
    <w:rsid w:val="007F1010"/>
    <w:rsid w:val="007F34B4"/>
    <w:rsid w:val="007F57CF"/>
    <w:rsid w:val="007F634F"/>
    <w:rsid w:val="00800533"/>
    <w:rsid w:val="00800A0A"/>
    <w:rsid w:val="0080349F"/>
    <w:rsid w:val="00803687"/>
    <w:rsid w:val="008052A3"/>
    <w:rsid w:val="0080584F"/>
    <w:rsid w:val="008104EC"/>
    <w:rsid w:val="008203E8"/>
    <w:rsid w:val="00822C04"/>
    <w:rsid w:val="00824D22"/>
    <w:rsid w:val="0082678E"/>
    <w:rsid w:val="00827418"/>
    <w:rsid w:val="008302ED"/>
    <w:rsid w:val="0083063B"/>
    <w:rsid w:val="008362F4"/>
    <w:rsid w:val="00840509"/>
    <w:rsid w:val="00840DD1"/>
    <w:rsid w:val="008415B9"/>
    <w:rsid w:val="008437FB"/>
    <w:rsid w:val="00845C37"/>
    <w:rsid w:val="008477BE"/>
    <w:rsid w:val="008537F8"/>
    <w:rsid w:val="00855D5C"/>
    <w:rsid w:val="00856A54"/>
    <w:rsid w:val="00857FDC"/>
    <w:rsid w:val="008615C4"/>
    <w:rsid w:val="0086304F"/>
    <w:rsid w:val="008645AC"/>
    <w:rsid w:val="00865D88"/>
    <w:rsid w:val="00866B99"/>
    <w:rsid w:val="00880137"/>
    <w:rsid w:val="008828FF"/>
    <w:rsid w:val="00883F9F"/>
    <w:rsid w:val="008874B8"/>
    <w:rsid w:val="00891545"/>
    <w:rsid w:val="0089536C"/>
    <w:rsid w:val="00897617"/>
    <w:rsid w:val="008A5596"/>
    <w:rsid w:val="008A5DF8"/>
    <w:rsid w:val="008B036B"/>
    <w:rsid w:val="008B6E46"/>
    <w:rsid w:val="008B7124"/>
    <w:rsid w:val="008B76C2"/>
    <w:rsid w:val="008C03BD"/>
    <w:rsid w:val="008C4542"/>
    <w:rsid w:val="008C712B"/>
    <w:rsid w:val="008D0598"/>
    <w:rsid w:val="008D3E7A"/>
    <w:rsid w:val="008D5BAD"/>
    <w:rsid w:val="008E052B"/>
    <w:rsid w:val="008E0604"/>
    <w:rsid w:val="008E2D74"/>
    <w:rsid w:val="008E4B3D"/>
    <w:rsid w:val="008F2B0B"/>
    <w:rsid w:val="008F69A2"/>
    <w:rsid w:val="00913F40"/>
    <w:rsid w:val="00914A8A"/>
    <w:rsid w:val="00916C51"/>
    <w:rsid w:val="00920347"/>
    <w:rsid w:val="00921C1B"/>
    <w:rsid w:val="00923103"/>
    <w:rsid w:val="00930A4F"/>
    <w:rsid w:val="009312C4"/>
    <w:rsid w:val="0093597C"/>
    <w:rsid w:val="00942EA1"/>
    <w:rsid w:val="00943165"/>
    <w:rsid w:val="00947696"/>
    <w:rsid w:val="00951D03"/>
    <w:rsid w:val="009536DD"/>
    <w:rsid w:val="009629D1"/>
    <w:rsid w:val="00966B82"/>
    <w:rsid w:val="0096744A"/>
    <w:rsid w:val="00967C19"/>
    <w:rsid w:val="0097001D"/>
    <w:rsid w:val="009704FD"/>
    <w:rsid w:val="00972BD4"/>
    <w:rsid w:val="00976EE7"/>
    <w:rsid w:val="00977B85"/>
    <w:rsid w:val="00997C14"/>
    <w:rsid w:val="009A4AD6"/>
    <w:rsid w:val="009B47F1"/>
    <w:rsid w:val="009C3F26"/>
    <w:rsid w:val="009C6FD1"/>
    <w:rsid w:val="009D2536"/>
    <w:rsid w:val="009D30FA"/>
    <w:rsid w:val="009D6B8F"/>
    <w:rsid w:val="009D71FC"/>
    <w:rsid w:val="009E2006"/>
    <w:rsid w:val="009F0EFE"/>
    <w:rsid w:val="009F1035"/>
    <w:rsid w:val="009F381D"/>
    <w:rsid w:val="009F5809"/>
    <w:rsid w:val="009F67B4"/>
    <w:rsid w:val="00A04FB0"/>
    <w:rsid w:val="00A0509F"/>
    <w:rsid w:val="00A05A38"/>
    <w:rsid w:val="00A15764"/>
    <w:rsid w:val="00A21DC4"/>
    <w:rsid w:val="00A34FC3"/>
    <w:rsid w:val="00A36CA9"/>
    <w:rsid w:val="00A36D84"/>
    <w:rsid w:val="00A4314E"/>
    <w:rsid w:val="00A50245"/>
    <w:rsid w:val="00A51D54"/>
    <w:rsid w:val="00A55870"/>
    <w:rsid w:val="00A56BB2"/>
    <w:rsid w:val="00A60F14"/>
    <w:rsid w:val="00A6121E"/>
    <w:rsid w:val="00A6352B"/>
    <w:rsid w:val="00A66E09"/>
    <w:rsid w:val="00A671B6"/>
    <w:rsid w:val="00A67A5C"/>
    <w:rsid w:val="00A67C0D"/>
    <w:rsid w:val="00A745E7"/>
    <w:rsid w:val="00A752A0"/>
    <w:rsid w:val="00A80821"/>
    <w:rsid w:val="00A84C0E"/>
    <w:rsid w:val="00A90172"/>
    <w:rsid w:val="00A94DC8"/>
    <w:rsid w:val="00A953DD"/>
    <w:rsid w:val="00A9585D"/>
    <w:rsid w:val="00AA0AC2"/>
    <w:rsid w:val="00AA3E90"/>
    <w:rsid w:val="00AA6A57"/>
    <w:rsid w:val="00AB0F84"/>
    <w:rsid w:val="00AB2DCF"/>
    <w:rsid w:val="00AB4D8B"/>
    <w:rsid w:val="00AB5E46"/>
    <w:rsid w:val="00AB66C0"/>
    <w:rsid w:val="00AC0700"/>
    <w:rsid w:val="00AC0F82"/>
    <w:rsid w:val="00AC276A"/>
    <w:rsid w:val="00AC5CC4"/>
    <w:rsid w:val="00AC60D1"/>
    <w:rsid w:val="00AD0FF5"/>
    <w:rsid w:val="00AD32EA"/>
    <w:rsid w:val="00AD5E20"/>
    <w:rsid w:val="00AE1425"/>
    <w:rsid w:val="00AE2B47"/>
    <w:rsid w:val="00AE33B8"/>
    <w:rsid w:val="00AE5194"/>
    <w:rsid w:val="00AE67A4"/>
    <w:rsid w:val="00AE6854"/>
    <w:rsid w:val="00AE7C27"/>
    <w:rsid w:val="00AF0B9D"/>
    <w:rsid w:val="00B015C5"/>
    <w:rsid w:val="00B02C89"/>
    <w:rsid w:val="00B05B7A"/>
    <w:rsid w:val="00B06E74"/>
    <w:rsid w:val="00B1136D"/>
    <w:rsid w:val="00B1142F"/>
    <w:rsid w:val="00B14799"/>
    <w:rsid w:val="00B15106"/>
    <w:rsid w:val="00B15861"/>
    <w:rsid w:val="00B16E4B"/>
    <w:rsid w:val="00B2077C"/>
    <w:rsid w:val="00B23D44"/>
    <w:rsid w:val="00B2474E"/>
    <w:rsid w:val="00B347E4"/>
    <w:rsid w:val="00B448AB"/>
    <w:rsid w:val="00B46ADF"/>
    <w:rsid w:val="00B51719"/>
    <w:rsid w:val="00B554D2"/>
    <w:rsid w:val="00B55BBA"/>
    <w:rsid w:val="00B568F6"/>
    <w:rsid w:val="00B57B5E"/>
    <w:rsid w:val="00B57CD8"/>
    <w:rsid w:val="00B6090B"/>
    <w:rsid w:val="00B66B60"/>
    <w:rsid w:val="00B76B82"/>
    <w:rsid w:val="00B803FC"/>
    <w:rsid w:val="00B90848"/>
    <w:rsid w:val="00B954EF"/>
    <w:rsid w:val="00BA1B50"/>
    <w:rsid w:val="00BA3246"/>
    <w:rsid w:val="00BA6FBA"/>
    <w:rsid w:val="00BB01DD"/>
    <w:rsid w:val="00BB04D8"/>
    <w:rsid w:val="00BB1852"/>
    <w:rsid w:val="00BC004D"/>
    <w:rsid w:val="00BC1E4F"/>
    <w:rsid w:val="00BC3B75"/>
    <w:rsid w:val="00BC505C"/>
    <w:rsid w:val="00BC5BB5"/>
    <w:rsid w:val="00BD1121"/>
    <w:rsid w:val="00BD2EC1"/>
    <w:rsid w:val="00BD3888"/>
    <w:rsid w:val="00BD3EE9"/>
    <w:rsid w:val="00BE0984"/>
    <w:rsid w:val="00BE0BDC"/>
    <w:rsid w:val="00BE0C19"/>
    <w:rsid w:val="00BE398F"/>
    <w:rsid w:val="00BE4C26"/>
    <w:rsid w:val="00BE5D51"/>
    <w:rsid w:val="00BF434C"/>
    <w:rsid w:val="00BF49EF"/>
    <w:rsid w:val="00C07F42"/>
    <w:rsid w:val="00C13AA4"/>
    <w:rsid w:val="00C162DF"/>
    <w:rsid w:val="00C24151"/>
    <w:rsid w:val="00C24BAE"/>
    <w:rsid w:val="00C26A3B"/>
    <w:rsid w:val="00C365DB"/>
    <w:rsid w:val="00C37360"/>
    <w:rsid w:val="00C444A8"/>
    <w:rsid w:val="00C52F29"/>
    <w:rsid w:val="00C5571B"/>
    <w:rsid w:val="00C60F20"/>
    <w:rsid w:val="00C62071"/>
    <w:rsid w:val="00C662A3"/>
    <w:rsid w:val="00C70F5A"/>
    <w:rsid w:val="00C73EB8"/>
    <w:rsid w:val="00C8277D"/>
    <w:rsid w:val="00C87533"/>
    <w:rsid w:val="00C87D79"/>
    <w:rsid w:val="00C91641"/>
    <w:rsid w:val="00C91C53"/>
    <w:rsid w:val="00CA22F6"/>
    <w:rsid w:val="00CA680B"/>
    <w:rsid w:val="00CB08F7"/>
    <w:rsid w:val="00CB2087"/>
    <w:rsid w:val="00CB28AF"/>
    <w:rsid w:val="00CB2A7B"/>
    <w:rsid w:val="00CB530C"/>
    <w:rsid w:val="00CB73CF"/>
    <w:rsid w:val="00CB7F8B"/>
    <w:rsid w:val="00CC3CD7"/>
    <w:rsid w:val="00CC3EBB"/>
    <w:rsid w:val="00CC45E1"/>
    <w:rsid w:val="00CC7A01"/>
    <w:rsid w:val="00CD3AB1"/>
    <w:rsid w:val="00CD4988"/>
    <w:rsid w:val="00CE15AE"/>
    <w:rsid w:val="00CF3647"/>
    <w:rsid w:val="00CF44F7"/>
    <w:rsid w:val="00D00064"/>
    <w:rsid w:val="00D0013D"/>
    <w:rsid w:val="00D00F60"/>
    <w:rsid w:val="00D0224C"/>
    <w:rsid w:val="00D06F47"/>
    <w:rsid w:val="00D12D97"/>
    <w:rsid w:val="00D147A9"/>
    <w:rsid w:val="00D14868"/>
    <w:rsid w:val="00D1630B"/>
    <w:rsid w:val="00D20571"/>
    <w:rsid w:val="00D23F45"/>
    <w:rsid w:val="00D25E06"/>
    <w:rsid w:val="00D31672"/>
    <w:rsid w:val="00D34186"/>
    <w:rsid w:val="00D3714F"/>
    <w:rsid w:val="00D448E1"/>
    <w:rsid w:val="00D44E36"/>
    <w:rsid w:val="00D4529C"/>
    <w:rsid w:val="00D51343"/>
    <w:rsid w:val="00D52271"/>
    <w:rsid w:val="00D60251"/>
    <w:rsid w:val="00D636DB"/>
    <w:rsid w:val="00D669F2"/>
    <w:rsid w:val="00D76D80"/>
    <w:rsid w:val="00D80B8E"/>
    <w:rsid w:val="00D80E1E"/>
    <w:rsid w:val="00D9231D"/>
    <w:rsid w:val="00D975E7"/>
    <w:rsid w:val="00D97ECB"/>
    <w:rsid w:val="00DA1860"/>
    <w:rsid w:val="00DA1EF8"/>
    <w:rsid w:val="00DA1F14"/>
    <w:rsid w:val="00DA5084"/>
    <w:rsid w:val="00DA6314"/>
    <w:rsid w:val="00DA7C19"/>
    <w:rsid w:val="00DB00D9"/>
    <w:rsid w:val="00DB1126"/>
    <w:rsid w:val="00DB42E7"/>
    <w:rsid w:val="00DB46C3"/>
    <w:rsid w:val="00DB553D"/>
    <w:rsid w:val="00DC34B1"/>
    <w:rsid w:val="00DC376D"/>
    <w:rsid w:val="00DC50F5"/>
    <w:rsid w:val="00DC5D5A"/>
    <w:rsid w:val="00DD04FD"/>
    <w:rsid w:val="00DD1020"/>
    <w:rsid w:val="00DD1F73"/>
    <w:rsid w:val="00DD2734"/>
    <w:rsid w:val="00DD6331"/>
    <w:rsid w:val="00DD69C1"/>
    <w:rsid w:val="00DE428B"/>
    <w:rsid w:val="00DE4E19"/>
    <w:rsid w:val="00DF24C0"/>
    <w:rsid w:val="00DF5D23"/>
    <w:rsid w:val="00DF7B11"/>
    <w:rsid w:val="00E023A7"/>
    <w:rsid w:val="00E03088"/>
    <w:rsid w:val="00E03522"/>
    <w:rsid w:val="00E0400B"/>
    <w:rsid w:val="00E04630"/>
    <w:rsid w:val="00E10762"/>
    <w:rsid w:val="00E33680"/>
    <w:rsid w:val="00E368CF"/>
    <w:rsid w:val="00E377FE"/>
    <w:rsid w:val="00E429E7"/>
    <w:rsid w:val="00E44F0B"/>
    <w:rsid w:val="00E457E7"/>
    <w:rsid w:val="00E462E7"/>
    <w:rsid w:val="00E46F87"/>
    <w:rsid w:val="00E47F52"/>
    <w:rsid w:val="00E50650"/>
    <w:rsid w:val="00E5309F"/>
    <w:rsid w:val="00E53468"/>
    <w:rsid w:val="00E537E1"/>
    <w:rsid w:val="00E55C77"/>
    <w:rsid w:val="00E67648"/>
    <w:rsid w:val="00E67AB9"/>
    <w:rsid w:val="00E74803"/>
    <w:rsid w:val="00E76581"/>
    <w:rsid w:val="00E773C4"/>
    <w:rsid w:val="00E830A5"/>
    <w:rsid w:val="00E83744"/>
    <w:rsid w:val="00E83CD0"/>
    <w:rsid w:val="00E84917"/>
    <w:rsid w:val="00E85FF7"/>
    <w:rsid w:val="00EA12F5"/>
    <w:rsid w:val="00EB2B80"/>
    <w:rsid w:val="00EB4518"/>
    <w:rsid w:val="00EB54CD"/>
    <w:rsid w:val="00EB6293"/>
    <w:rsid w:val="00EB6674"/>
    <w:rsid w:val="00EB7532"/>
    <w:rsid w:val="00EC6C15"/>
    <w:rsid w:val="00ED645B"/>
    <w:rsid w:val="00EE2F1D"/>
    <w:rsid w:val="00EE5111"/>
    <w:rsid w:val="00EF1C04"/>
    <w:rsid w:val="00EF5910"/>
    <w:rsid w:val="00EF7919"/>
    <w:rsid w:val="00F04E3C"/>
    <w:rsid w:val="00F06079"/>
    <w:rsid w:val="00F12F1B"/>
    <w:rsid w:val="00F14F76"/>
    <w:rsid w:val="00F208D8"/>
    <w:rsid w:val="00F256AC"/>
    <w:rsid w:val="00F36451"/>
    <w:rsid w:val="00F3716F"/>
    <w:rsid w:val="00F440C1"/>
    <w:rsid w:val="00F51BB5"/>
    <w:rsid w:val="00F51DF1"/>
    <w:rsid w:val="00F535E7"/>
    <w:rsid w:val="00F55CEF"/>
    <w:rsid w:val="00F562CC"/>
    <w:rsid w:val="00F57124"/>
    <w:rsid w:val="00F617E4"/>
    <w:rsid w:val="00F63CAB"/>
    <w:rsid w:val="00F64D3B"/>
    <w:rsid w:val="00F65565"/>
    <w:rsid w:val="00F70102"/>
    <w:rsid w:val="00F7135C"/>
    <w:rsid w:val="00F80D9C"/>
    <w:rsid w:val="00F83367"/>
    <w:rsid w:val="00F877B8"/>
    <w:rsid w:val="00F909F2"/>
    <w:rsid w:val="00F949F2"/>
    <w:rsid w:val="00F97E77"/>
    <w:rsid w:val="00FA0739"/>
    <w:rsid w:val="00FA1426"/>
    <w:rsid w:val="00FA1BD0"/>
    <w:rsid w:val="00FA4C44"/>
    <w:rsid w:val="00FA4FD2"/>
    <w:rsid w:val="00FA5593"/>
    <w:rsid w:val="00FB0360"/>
    <w:rsid w:val="00FB6812"/>
    <w:rsid w:val="00FC1066"/>
    <w:rsid w:val="00FC2561"/>
    <w:rsid w:val="00FC4834"/>
    <w:rsid w:val="00FC69CE"/>
    <w:rsid w:val="00FC70FE"/>
    <w:rsid w:val="00FD0F26"/>
    <w:rsid w:val="00FD20BF"/>
    <w:rsid w:val="00FE27B6"/>
    <w:rsid w:val="00FE2B1C"/>
    <w:rsid w:val="00FE422D"/>
    <w:rsid w:val="00FF47BA"/>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274FD5"/>
  <w14:defaultImageDpi w14:val="300"/>
  <w15:chartTrackingRefBased/>
  <w15:docId w15:val="{3A98C3B8-B72D-4E19-BA9D-CBBC01F5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43"/>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customStyle="1" w:styleId="MediumGrid21">
    <w:name w:val="Medium Grid 21"/>
    <w:basedOn w:val="Normal"/>
    <w:uiPriority w:val="1"/>
    <w:qFormat/>
    <w:rsid w:val="00470E94"/>
    <w:pPr>
      <w:ind w:left="0"/>
    </w:pPr>
    <w:rPr>
      <w:lang w:val="x-none" w:eastAsia="x-none"/>
    </w:rPr>
  </w:style>
  <w:style w:type="table" w:styleId="TableGrid">
    <w:name w:val="Table Grid"/>
    <w:basedOn w:val="TableNormal"/>
    <w:uiPriority w:val="59"/>
    <w:rsid w:val="0033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A52"/>
    <w:pPr>
      <w:ind w:left="720"/>
      <w:contextualSpacing/>
    </w:pPr>
  </w:style>
  <w:style w:type="character" w:customStyle="1" w:styleId="size">
    <w:name w:val="size"/>
    <w:basedOn w:val="DefaultParagraphFont"/>
    <w:rsid w:val="00DC34B1"/>
  </w:style>
  <w:style w:type="character" w:customStyle="1" w:styleId="markacnc4sntc">
    <w:name w:val="markacnc4sntc"/>
    <w:basedOn w:val="DefaultParagraphFont"/>
    <w:rsid w:val="00824D22"/>
  </w:style>
  <w:style w:type="character" w:customStyle="1" w:styleId="mark8sgv6mrjw">
    <w:name w:val="mark8sgv6mrjw"/>
    <w:basedOn w:val="DefaultParagraphFont"/>
    <w:rsid w:val="00824D22"/>
  </w:style>
  <w:style w:type="character" w:customStyle="1" w:styleId="markfdka4ahsb">
    <w:name w:val="markfdka4ahsb"/>
    <w:basedOn w:val="DefaultParagraphFont"/>
    <w:rsid w:val="00857FDC"/>
  </w:style>
  <w:style w:type="character" w:customStyle="1" w:styleId="markeen7b1pw1">
    <w:name w:val="markeen7b1pw1"/>
    <w:basedOn w:val="DefaultParagraphFont"/>
    <w:rsid w:val="00C365DB"/>
  </w:style>
  <w:style w:type="character" w:customStyle="1" w:styleId="marklghjjieoh">
    <w:name w:val="marklghjjieoh"/>
    <w:basedOn w:val="DefaultParagraphFont"/>
    <w:rsid w:val="00A745E7"/>
  </w:style>
  <w:style w:type="character" w:customStyle="1" w:styleId="mark2mfvgckbk">
    <w:name w:val="mark2mfvgckbk"/>
    <w:basedOn w:val="DefaultParagraphFont"/>
    <w:rsid w:val="00A745E7"/>
  </w:style>
  <w:style w:type="character" w:customStyle="1" w:styleId="mark20vfahqfo">
    <w:name w:val="mark20vfahqfo"/>
    <w:basedOn w:val="DefaultParagraphFont"/>
    <w:rsid w:val="00645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924220638">
      <w:bodyDiv w:val="1"/>
      <w:marLeft w:val="0"/>
      <w:marRight w:val="0"/>
      <w:marTop w:val="0"/>
      <w:marBottom w:val="0"/>
      <w:divBdr>
        <w:top w:val="none" w:sz="0" w:space="0" w:color="auto"/>
        <w:left w:val="none" w:sz="0" w:space="0" w:color="auto"/>
        <w:bottom w:val="none" w:sz="0" w:space="0" w:color="auto"/>
        <w:right w:val="none" w:sz="0" w:space="0" w:color="auto"/>
      </w:divBdr>
    </w:div>
    <w:div w:id="1162505506">
      <w:bodyDiv w:val="1"/>
      <w:marLeft w:val="0"/>
      <w:marRight w:val="0"/>
      <w:marTop w:val="0"/>
      <w:marBottom w:val="0"/>
      <w:divBdr>
        <w:top w:val="none" w:sz="0" w:space="0" w:color="auto"/>
        <w:left w:val="none" w:sz="0" w:space="0" w:color="auto"/>
        <w:bottom w:val="none" w:sz="0" w:space="0" w:color="auto"/>
        <w:right w:val="none" w:sz="0" w:space="0" w:color="auto"/>
      </w:divBdr>
      <w:divsChild>
        <w:div w:id="936016246">
          <w:marLeft w:val="0"/>
          <w:marRight w:val="0"/>
          <w:marTop w:val="0"/>
          <w:marBottom w:val="0"/>
          <w:divBdr>
            <w:top w:val="none" w:sz="0" w:space="0" w:color="auto"/>
            <w:left w:val="none" w:sz="0" w:space="0" w:color="auto"/>
            <w:bottom w:val="none" w:sz="0" w:space="0" w:color="auto"/>
            <w:right w:val="none" w:sz="0" w:space="0" w:color="auto"/>
          </w:divBdr>
        </w:div>
      </w:divsChild>
    </w:div>
    <w:div w:id="1315720543">
      <w:bodyDiv w:val="1"/>
      <w:marLeft w:val="0"/>
      <w:marRight w:val="0"/>
      <w:marTop w:val="0"/>
      <w:marBottom w:val="0"/>
      <w:divBdr>
        <w:top w:val="none" w:sz="0" w:space="0" w:color="auto"/>
        <w:left w:val="none" w:sz="0" w:space="0" w:color="auto"/>
        <w:bottom w:val="none" w:sz="0" w:space="0" w:color="auto"/>
        <w:right w:val="none" w:sz="0" w:space="0" w:color="auto"/>
      </w:divBdr>
      <w:divsChild>
        <w:div w:id="1067999424">
          <w:marLeft w:val="0"/>
          <w:marRight w:val="0"/>
          <w:marTop w:val="0"/>
          <w:marBottom w:val="0"/>
          <w:divBdr>
            <w:top w:val="none" w:sz="0" w:space="0" w:color="auto"/>
            <w:left w:val="none" w:sz="0" w:space="0" w:color="auto"/>
            <w:bottom w:val="none" w:sz="0" w:space="0" w:color="auto"/>
            <w:right w:val="none" w:sz="0" w:space="0" w:color="auto"/>
          </w:divBdr>
        </w:div>
      </w:divsChild>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89706365">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l.gov/sites/dolgov/files/WHD/legacy/files/employerguid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83603-F849-42ED-96F9-8F90FF08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1408</Words>
  <Characters>8026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dc:description/>
  <cp:lastModifiedBy>Regan Debban</cp:lastModifiedBy>
  <cp:revision>2</cp:revision>
  <cp:lastPrinted>2015-06-13T20:42:00Z</cp:lastPrinted>
  <dcterms:created xsi:type="dcterms:W3CDTF">2020-03-18T16:20:00Z</dcterms:created>
  <dcterms:modified xsi:type="dcterms:W3CDTF">2020-03-18T16:20:00Z</dcterms:modified>
</cp:coreProperties>
</file>