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011C" w14:textId="640831CF" w:rsidR="00102C3F" w:rsidRDefault="00521168" w:rsidP="00D20E25">
      <w:r>
        <w:rPr>
          <w:noProof/>
        </w:rPr>
        <mc:AlternateContent>
          <mc:Choice Requires="wps">
            <w:drawing>
              <wp:anchor distT="0" distB="0" distL="114300" distR="114300" simplePos="0" relativeHeight="251657216" behindDoc="0" locked="0" layoutInCell="1" allowOverlap="1" wp14:anchorId="1F050ED3" wp14:editId="48D665B2">
                <wp:simplePos x="0" y="0"/>
                <wp:positionH relativeFrom="column">
                  <wp:posOffset>3504565</wp:posOffset>
                </wp:positionH>
                <wp:positionV relativeFrom="paragraph">
                  <wp:posOffset>-603250</wp:posOffset>
                </wp:positionV>
                <wp:extent cx="2895600" cy="399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ext uri="{91240B29-F687-4f45-9708-019B960494DF}"/>
                        </a:extLst>
                      </wps:spPr>
                      <wps:txb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50ED3"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C4w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" filled="f" stroked="f">
                <v:textbo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20167FA8" wp14:editId="6E26818F">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B44BF" w14:textId="77777777" w:rsidR="00383956" w:rsidRDefault="00383956" w:rsidP="00D20E25">
      <w:pPr>
        <w:pStyle w:val="Heading1"/>
      </w:pPr>
    </w:p>
    <w:p w14:paraId="3639285B" w14:textId="06557EB5" w:rsidR="00AF0B9D" w:rsidRPr="00D20E25" w:rsidRDefault="00807B7A" w:rsidP="00D20E25">
      <w:pPr>
        <w:pStyle w:val="Heading1"/>
      </w:pPr>
      <w:r>
        <w:t>Families First Coronavirus Response Act (FFCRA) – Agency Guidance Released</w:t>
      </w:r>
    </w:p>
    <w:p w14:paraId="7CF3A7DC" w14:textId="77777777" w:rsidR="00807B7A" w:rsidRDefault="00807B7A" w:rsidP="00D20E25"/>
    <w:p w14:paraId="49CE0426" w14:textId="4CB3F9B7" w:rsidR="000E03AB" w:rsidRPr="00D20E25" w:rsidRDefault="00DB46C3" w:rsidP="00D20E25">
      <w:r w:rsidRPr="00D20E25">
        <w:t>Issue</w:t>
      </w:r>
      <w:r w:rsidR="00AF0B9D" w:rsidRPr="00D20E25">
        <w:t xml:space="preserve"> Date: </w:t>
      </w:r>
      <w:r w:rsidR="00807B7A">
        <w:t>March 2020</w:t>
      </w:r>
    </w:p>
    <w:p w14:paraId="7F81FE84" w14:textId="77777777" w:rsidR="00102C3F" w:rsidRPr="00D20E25" w:rsidRDefault="00102C3F" w:rsidP="00D20E25"/>
    <w:p w14:paraId="390E108E" w14:textId="77777777" w:rsidR="00383956" w:rsidRDefault="00383956" w:rsidP="00DE2E6F">
      <w:pPr>
        <w:pStyle w:val="MediumGrid2-Accent11"/>
      </w:pPr>
    </w:p>
    <w:p w14:paraId="59B135A3" w14:textId="57F07135" w:rsidR="00383956" w:rsidRDefault="00B9448D" w:rsidP="00807B7A">
      <w:pPr>
        <w:pStyle w:val="MediumGrid2-Accent11"/>
        <w:rPr>
          <w:lang w:val="en-US"/>
        </w:rPr>
      </w:pPr>
      <w:r w:rsidRPr="00D20E25">
        <w:t xml:space="preserve">The Department of Labor (DOL) </w:t>
      </w:r>
      <w:r w:rsidR="00807B7A">
        <w:rPr>
          <w:lang w:val="en-US"/>
        </w:rPr>
        <w:t xml:space="preserve">and Internal Revenue Service (IRS) have </w:t>
      </w:r>
      <w:r w:rsidRPr="00D20E25">
        <w:t xml:space="preserve">released </w:t>
      </w:r>
      <w:r w:rsidR="00807B7A">
        <w:rPr>
          <w:lang w:val="en-US"/>
        </w:rPr>
        <w:t xml:space="preserve">initial guidance clarifying </w:t>
      </w:r>
      <w:r w:rsidR="00804237">
        <w:rPr>
          <w:lang w:val="en-US"/>
        </w:rPr>
        <w:t>several provisions</w:t>
      </w:r>
      <w:r w:rsidR="00807B7A">
        <w:rPr>
          <w:lang w:val="en-US"/>
        </w:rPr>
        <w:t xml:space="preserve"> set forth </w:t>
      </w:r>
      <w:r w:rsidR="00804237">
        <w:rPr>
          <w:lang w:val="en-US"/>
        </w:rPr>
        <w:t>in the Families First Coronavirus Response Act (FFCRA). A high</w:t>
      </w:r>
      <w:r w:rsidR="0078418E">
        <w:rPr>
          <w:lang w:val="en-US"/>
        </w:rPr>
        <w:t>-</w:t>
      </w:r>
      <w:r w:rsidR="00804237">
        <w:rPr>
          <w:lang w:val="en-US"/>
        </w:rPr>
        <w:t>level summary of these items, as well as links to the guidance, are provided below.</w:t>
      </w:r>
    </w:p>
    <w:p w14:paraId="4146E2FC" w14:textId="4A39E906" w:rsidR="00807B7A" w:rsidRDefault="00807B7A" w:rsidP="00807B7A">
      <w:pPr>
        <w:pStyle w:val="MediumGrid2-Accent11"/>
        <w:rPr>
          <w:lang w:val="en-US"/>
        </w:rPr>
      </w:pPr>
    </w:p>
    <w:p w14:paraId="2AAD6EFC" w14:textId="5A879149" w:rsidR="00804237" w:rsidRDefault="00804237" w:rsidP="00807B7A">
      <w:pPr>
        <w:pStyle w:val="MediumGrid2-Accent11"/>
        <w:rPr>
          <w:lang w:val="en-US"/>
        </w:rPr>
      </w:pPr>
    </w:p>
    <w:p w14:paraId="1DDD9243" w14:textId="561DFB37" w:rsidR="00804237" w:rsidRDefault="00804237" w:rsidP="00807B7A">
      <w:pPr>
        <w:pStyle w:val="MediumGrid2-Accent11"/>
        <w:rPr>
          <w:b/>
          <w:bCs/>
          <w:lang w:val="en-US"/>
        </w:rPr>
      </w:pPr>
      <w:r>
        <w:rPr>
          <w:b/>
          <w:bCs/>
          <w:lang w:val="en-US"/>
        </w:rPr>
        <w:t>DOL Guidance</w:t>
      </w:r>
    </w:p>
    <w:p w14:paraId="573B623E" w14:textId="3E33EBE0" w:rsidR="00804237" w:rsidRDefault="00804237" w:rsidP="00807B7A">
      <w:pPr>
        <w:pStyle w:val="MediumGrid2-Accent11"/>
        <w:rPr>
          <w:lang w:val="en-US"/>
        </w:rPr>
      </w:pPr>
      <w:r>
        <w:rPr>
          <w:lang w:val="en-US"/>
        </w:rPr>
        <w:t xml:space="preserve">The DOL </w:t>
      </w:r>
      <w:r w:rsidR="00ED3020">
        <w:rPr>
          <w:lang w:val="en-US"/>
        </w:rPr>
        <w:t>guidance</w:t>
      </w:r>
      <w:r>
        <w:rPr>
          <w:lang w:val="en-US"/>
        </w:rPr>
        <w:t xml:space="preserve"> indicates the new paid leave requirements go into effect April 1, 2020 (without a retroactive effect) and continue through the end of 2020. Among other the things, the guidance clarifies the following items:</w:t>
      </w:r>
    </w:p>
    <w:p w14:paraId="1BF48FFB" w14:textId="77777777" w:rsidR="00ED3020" w:rsidRDefault="00ED3020" w:rsidP="00807B7A">
      <w:pPr>
        <w:pStyle w:val="MediumGrid2-Accent11"/>
        <w:rPr>
          <w:lang w:val="en-US"/>
        </w:rPr>
      </w:pPr>
    </w:p>
    <w:p w14:paraId="318D10C3" w14:textId="56CE6B43" w:rsidR="00804237" w:rsidRDefault="00804237" w:rsidP="00804237">
      <w:pPr>
        <w:pStyle w:val="MediumGrid2-Accent11"/>
        <w:numPr>
          <w:ilvl w:val="0"/>
          <w:numId w:val="35"/>
        </w:numPr>
        <w:rPr>
          <w:lang w:val="en-US"/>
        </w:rPr>
      </w:pPr>
      <w:r w:rsidRPr="00804237">
        <w:rPr>
          <w:lang w:val="en-US"/>
        </w:rPr>
        <w:t xml:space="preserve">Private employers with fewer than 500 employees are require </w:t>
      </w:r>
      <w:proofErr w:type="gramStart"/>
      <w:r w:rsidRPr="00804237">
        <w:rPr>
          <w:lang w:val="en-US"/>
        </w:rPr>
        <w:t>to comply</w:t>
      </w:r>
      <w:proofErr w:type="gramEnd"/>
      <w:r w:rsidRPr="00804237">
        <w:rPr>
          <w:lang w:val="en-US"/>
        </w:rPr>
        <w:t xml:space="preserve"> with the new paid leave requirements. To determine the employee count, count all employees (full-time and part-time) in the U.S. at the time leave is requested.</w:t>
      </w:r>
      <w:r w:rsidR="001B212E">
        <w:rPr>
          <w:lang w:val="en-US"/>
        </w:rPr>
        <w:t xml:space="preserve"> </w:t>
      </w:r>
    </w:p>
    <w:p w14:paraId="47F5C8B9" w14:textId="68ECC03F" w:rsidR="001B212E" w:rsidRDefault="001B212E" w:rsidP="001B212E">
      <w:pPr>
        <w:pStyle w:val="MediumGrid2-Accent11"/>
        <w:numPr>
          <w:ilvl w:val="1"/>
          <w:numId w:val="35"/>
        </w:numPr>
        <w:rPr>
          <w:lang w:val="en-US"/>
        </w:rPr>
      </w:pPr>
      <w:r w:rsidRPr="001B212E">
        <w:rPr>
          <w:lang w:val="en-US"/>
        </w:rPr>
        <w:t xml:space="preserve">If two entities are found to be </w:t>
      </w:r>
      <w:r>
        <w:rPr>
          <w:lang w:val="en-US"/>
        </w:rPr>
        <w:t>“</w:t>
      </w:r>
      <w:r w:rsidRPr="001B212E">
        <w:rPr>
          <w:lang w:val="en-US"/>
        </w:rPr>
        <w:t>joint employers</w:t>
      </w:r>
      <w:r>
        <w:rPr>
          <w:lang w:val="en-US"/>
        </w:rPr>
        <w:t>” as defined under the Fair Labor Standards Act (FLSA)</w:t>
      </w:r>
      <w:r w:rsidRPr="001B212E">
        <w:rPr>
          <w:lang w:val="en-US"/>
        </w:rPr>
        <w:t>, all their common employees must be counted</w:t>
      </w:r>
      <w:r>
        <w:rPr>
          <w:lang w:val="en-US"/>
        </w:rPr>
        <w:t>.</w:t>
      </w:r>
    </w:p>
    <w:p w14:paraId="3EDA72EE" w14:textId="5D9822DA" w:rsidR="001B212E" w:rsidRDefault="001B212E" w:rsidP="001B212E">
      <w:pPr>
        <w:pStyle w:val="MediumGrid2-Accent11"/>
        <w:numPr>
          <w:ilvl w:val="1"/>
          <w:numId w:val="35"/>
        </w:numPr>
        <w:rPr>
          <w:lang w:val="en-US"/>
        </w:rPr>
      </w:pPr>
      <w:r>
        <w:rPr>
          <w:lang w:val="en-US"/>
        </w:rPr>
        <w:t>If t</w:t>
      </w:r>
      <w:r w:rsidRPr="001B212E">
        <w:rPr>
          <w:lang w:val="en-US"/>
        </w:rPr>
        <w:t xml:space="preserve">wo or more entities are </w:t>
      </w:r>
      <w:r>
        <w:rPr>
          <w:lang w:val="en-US"/>
        </w:rPr>
        <w:t>considered an “</w:t>
      </w:r>
      <w:r w:rsidRPr="001B212E">
        <w:rPr>
          <w:lang w:val="en-US"/>
        </w:rPr>
        <w:t>integrated employer</w:t>
      </w:r>
      <w:r>
        <w:rPr>
          <w:lang w:val="en-US"/>
        </w:rPr>
        <w:t>”</w:t>
      </w:r>
      <w:r w:rsidRPr="001B212E">
        <w:rPr>
          <w:lang w:val="en-US"/>
        </w:rPr>
        <w:t xml:space="preserve"> </w:t>
      </w:r>
      <w:r>
        <w:rPr>
          <w:lang w:val="en-US"/>
        </w:rPr>
        <w:t>as defined under</w:t>
      </w:r>
      <w:r w:rsidRPr="001B212E">
        <w:rPr>
          <w:lang w:val="en-US"/>
        </w:rPr>
        <w:t xml:space="preserve"> the Family and Medical Leave Act</w:t>
      </w:r>
      <w:r>
        <w:rPr>
          <w:lang w:val="en-US"/>
        </w:rPr>
        <w:t xml:space="preserve"> </w:t>
      </w:r>
      <w:r w:rsidRPr="001B212E">
        <w:rPr>
          <w:lang w:val="en-US"/>
        </w:rPr>
        <w:t>(FMLA)</w:t>
      </w:r>
      <w:r>
        <w:rPr>
          <w:lang w:val="en-US"/>
        </w:rPr>
        <w:t>,</w:t>
      </w:r>
      <w:r w:rsidRPr="001B212E">
        <w:rPr>
          <w:lang w:val="en-US"/>
        </w:rPr>
        <w:t xml:space="preserve"> </w:t>
      </w:r>
      <w:r>
        <w:rPr>
          <w:lang w:val="en-US"/>
        </w:rPr>
        <w:t>then</w:t>
      </w:r>
      <w:r w:rsidRPr="001B212E">
        <w:rPr>
          <w:lang w:val="en-US"/>
        </w:rPr>
        <w:t xml:space="preserve"> employees of all entities making up the integrated employer will be counted</w:t>
      </w:r>
      <w:r>
        <w:rPr>
          <w:lang w:val="en-US"/>
        </w:rPr>
        <w:t>.</w:t>
      </w:r>
    </w:p>
    <w:p w14:paraId="0D1FAF74" w14:textId="202F3F28" w:rsidR="001B212E" w:rsidRDefault="001B212E" w:rsidP="001B212E">
      <w:pPr>
        <w:pStyle w:val="MediumGrid2-Accent11"/>
        <w:numPr>
          <w:ilvl w:val="1"/>
          <w:numId w:val="35"/>
        </w:numPr>
        <w:rPr>
          <w:lang w:val="en-US"/>
        </w:rPr>
      </w:pPr>
      <w:r>
        <w:rPr>
          <w:lang w:val="en-US"/>
        </w:rPr>
        <w:t xml:space="preserve">Employers with 500+ employees do NOT have to comply with the paid leave requirements under </w:t>
      </w:r>
      <w:r w:rsidR="00FE7E7C">
        <w:rPr>
          <w:lang w:val="en-US"/>
        </w:rPr>
        <w:t xml:space="preserve">the </w:t>
      </w:r>
      <w:r>
        <w:rPr>
          <w:lang w:val="en-US"/>
        </w:rPr>
        <w:t>FFCRA.</w:t>
      </w:r>
    </w:p>
    <w:p w14:paraId="15123785" w14:textId="1044465C" w:rsidR="001B212E" w:rsidRDefault="001B212E" w:rsidP="001B212E">
      <w:pPr>
        <w:pStyle w:val="MediumGrid2-Accent11"/>
        <w:numPr>
          <w:ilvl w:val="1"/>
          <w:numId w:val="35"/>
        </w:numPr>
        <w:rPr>
          <w:lang w:val="en-US"/>
        </w:rPr>
      </w:pPr>
      <w:r>
        <w:rPr>
          <w:lang w:val="en-US"/>
        </w:rPr>
        <w:t xml:space="preserve">Employers with &lt;50 employees may qualify for an exemption if the paid leave requirements would </w:t>
      </w:r>
      <w:r w:rsidRPr="001B212E">
        <w:rPr>
          <w:lang w:val="en-US"/>
        </w:rPr>
        <w:t xml:space="preserve">jeopardize the viability of </w:t>
      </w:r>
      <w:r>
        <w:rPr>
          <w:lang w:val="en-US"/>
        </w:rPr>
        <w:t>the</w:t>
      </w:r>
      <w:r w:rsidRPr="001B212E">
        <w:rPr>
          <w:lang w:val="en-US"/>
        </w:rPr>
        <w:t xml:space="preserve"> business as a going concern</w:t>
      </w:r>
      <w:r>
        <w:rPr>
          <w:lang w:val="en-US"/>
        </w:rPr>
        <w:t>.</w:t>
      </w:r>
    </w:p>
    <w:p w14:paraId="264BF76A" w14:textId="77777777" w:rsidR="00ED3020" w:rsidRDefault="00ED3020" w:rsidP="00ED3020">
      <w:pPr>
        <w:pStyle w:val="MediumGrid2-Accent11"/>
        <w:ind w:left="1440"/>
        <w:rPr>
          <w:lang w:val="en-US"/>
        </w:rPr>
      </w:pPr>
    </w:p>
    <w:p w14:paraId="13890BEC" w14:textId="44BF8655" w:rsidR="001B212E" w:rsidRDefault="001B212E" w:rsidP="001B212E">
      <w:pPr>
        <w:pStyle w:val="MediumGrid2-Accent11"/>
        <w:numPr>
          <w:ilvl w:val="0"/>
          <w:numId w:val="35"/>
        </w:numPr>
        <w:rPr>
          <w:lang w:val="en-US"/>
        </w:rPr>
      </w:pPr>
      <w:r>
        <w:rPr>
          <w:lang w:val="en-US"/>
        </w:rPr>
        <w:t>Paid leave as required</w:t>
      </w:r>
      <w:r w:rsidR="00ED3020">
        <w:rPr>
          <w:lang w:val="en-US"/>
        </w:rPr>
        <w:t xml:space="preserve"> under the FFCRA applies to full-time and part-time employees who request leave for a qualifying reason. To calculate hours and corresponding pay for part-time or variable hour employees, the employer </w:t>
      </w:r>
      <w:r w:rsidR="00ED3020" w:rsidRPr="00ED3020">
        <w:rPr>
          <w:lang w:val="en-US"/>
        </w:rPr>
        <w:t xml:space="preserve">may use a </w:t>
      </w:r>
      <w:r w:rsidR="00ED3020">
        <w:rPr>
          <w:lang w:val="en-US"/>
        </w:rPr>
        <w:t>6</w:t>
      </w:r>
      <w:r w:rsidR="00ED3020" w:rsidRPr="00ED3020">
        <w:rPr>
          <w:lang w:val="en-US"/>
        </w:rPr>
        <w:t>-month average</w:t>
      </w:r>
      <w:r w:rsidR="00ED3020">
        <w:rPr>
          <w:lang w:val="en-US"/>
        </w:rPr>
        <w:t>. For employees who have been employed less than 6 months, use: (</w:t>
      </w:r>
      <w:proofErr w:type="spellStart"/>
      <w:r w:rsidR="00ED3020">
        <w:rPr>
          <w:lang w:val="en-US"/>
        </w:rPr>
        <w:t>i</w:t>
      </w:r>
      <w:proofErr w:type="spellEnd"/>
      <w:r w:rsidR="00ED3020">
        <w:rPr>
          <w:lang w:val="en-US"/>
        </w:rPr>
        <w:t xml:space="preserve">) </w:t>
      </w:r>
      <w:r w:rsidR="00ED3020" w:rsidRPr="00ED3020">
        <w:rPr>
          <w:lang w:val="en-US"/>
        </w:rPr>
        <w:t xml:space="preserve">the number of hours agreed </w:t>
      </w:r>
      <w:r w:rsidR="00ED3020">
        <w:rPr>
          <w:lang w:val="en-US"/>
        </w:rPr>
        <w:t xml:space="preserve">upon at hire; or (ii) </w:t>
      </w:r>
      <w:r w:rsidR="00ED3020" w:rsidRPr="00ED3020">
        <w:rPr>
          <w:lang w:val="en-US"/>
        </w:rPr>
        <w:t>the average hours per day the employee was scheduled to work over the entire term of employment</w:t>
      </w:r>
      <w:r w:rsidR="00ED3020">
        <w:rPr>
          <w:lang w:val="en-US"/>
        </w:rPr>
        <w:t>.</w:t>
      </w:r>
    </w:p>
    <w:p w14:paraId="723661FC" w14:textId="2B59FCEE" w:rsidR="00ED3020" w:rsidRDefault="00ED3020" w:rsidP="00ED3020">
      <w:pPr>
        <w:pStyle w:val="MediumGrid2-Accent11"/>
        <w:rPr>
          <w:lang w:val="en-US"/>
        </w:rPr>
      </w:pPr>
    </w:p>
    <w:p w14:paraId="3648FE05" w14:textId="096951DD" w:rsidR="00ED3020" w:rsidRDefault="00ED3020" w:rsidP="00ED3020">
      <w:pPr>
        <w:pStyle w:val="MediumGrid2-Accent11"/>
        <w:numPr>
          <w:ilvl w:val="0"/>
          <w:numId w:val="35"/>
        </w:numPr>
        <w:rPr>
          <w:lang w:val="en-US"/>
        </w:rPr>
      </w:pPr>
      <w:r>
        <w:rPr>
          <w:lang w:val="en-US"/>
        </w:rPr>
        <w:t>Paid leave as required under the FFCRA should be based on the employee’s regular rate of pay (as defined by FLSA) or federal, state or local minimum wage, whichever is highest. However, there are daily and aggregate maximums on the amount an employer is required to pay any employee; the maximum thresholds differ depending upon the type of leave and the qualifying reason for leave.</w:t>
      </w:r>
    </w:p>
    <w:p w14:paraId="3B958537" w14:textId="77777777" w:rsidR="00ED3020" w:rsidRDefault="00ED3020" w:rsidP="00ED3020">
      <w:pPr>
        <w:pStyle w:val="ListParagraph"/>
      </w:pPr>
    </w:p>
    <w:p w14:paraId="54F259AD" w14:textId="6C1D4C63" w:rsidR="00ED3020" w:rsidRDefault="00ED3020" w:rsidP="00ED3020">
      <w:pPr>
        <w:pStyle w:val="MediumGrid2-Accent11"/>
        <w:numPr>
          <w:ilvl w:val="0"/>
          <w:numId w:val="35"/>
        </w:numPr>
        <w:rPr>
          <w:lang w:val="en-US"/>
        </w:rPr>
      </w:pPr>
      <w:r>
        <w:rPr>
          <w:lang w:val="en-US"/>
        </w:rPr>
        <w:t>The Paid Sick Leave required under the FFCRA for 2 weeks (up to 80 hours) is available only once. An employee who may experience more than one qualifying reason is eligible for only up to 2 weeks of paid leave total under this provision.</w:t>
      </w:r>
    </w:p>
    <w:p w14:paraId="7067317D" w14:textId="77777777" w:rsidR="00ED3020" w:rsidRDefault="00ED3020" w:rsidP="00ED3020">
      <w:pPr>
        <w:pStyle w:val="ListParagraph"/>
      </w:pPr>
    </w:p>
    <w:p w14:paraId="4BDB6A9A" w14:textId="6EEB8849" w:rsidR="00ED3020" w:rsidRDefault="00ED3020" w:rsidP="00ED3020">
      <w:pPr>
        <w:pStyle w:val="MediumGrid2-Accent11"/>
        <w:numPr>
          <w:ilvl w:val="0"/>
          <w:numId w:val="35"/>
        </w:numPr>
        <w:rPr>
          <w:lang w:val="en-US"/>
        </w:rPr>
      </w:pPr>
      <w:r>
        <w:rPr>
          <w:lang w:val="en-US"/>
        </w:rPr>
        <w:t>An employee who requests leave to stay home with a child due to coronavirus-related school or daycare closures</w:t>
      </w:r>
      <w:r w:rsidR="001A6AA9">
        <w:rPr>
          <w:lang w:val="en-US"/>
        </w:rPr>
        <w:t xml:space="preserve"> may qualify for Paid Sick Leave AND Expanded FMLA for a total of up to 12 weeks of protected paid leave.</w:t>
      </w:r>
    </w:p>
    <w:p w14:paraId="7D5F2B5F" w14:textId="77777777" w:rsidR="001A6AA9" w:rsidRDefault="001A6AA9" w:rsidP="001A6AA9">
      <w:pPr>
        <w:pStyle w:val="ListParagraph"/>
      </w:pPr>
    </w:p>
    <w:p w14:paraId="345B0A68" w14:textId="3399CECA" w:rsidR="001A6AA9" w:rsidRDefault="001A6AA9" w:rsidP="001A6AA9">
      <w:pPr>
        <w:pStyle w:val="MediumGrid2-Accent11"/>
        <w:rPr>
          <w:lang w:val="en-US"/>
        </w:rPr>
      </w:pPr>
      <w:r>
        <w:rPr>
          <w:lang w:val="en-US"/>
        </w:rPr>
        <w:t>The DOL has promised additional details and guidance will be available in early April.</w:t>
      </w:r>
    </w:p>
    <w:p w14:paraId="749934E3" w14:textId="77777777" w:rsidR="001A6AA9" w:rsidRDefault="001A6AA9" w:rsidP="001A6AA9">
      <w:pPr>
        <w:pStyle w:val="MediumGrid2-Accent11"/>
        <w:rPr>
          <w:lang w:val="en-US"/>
        </w:rPr>
      </w:pPr>
    </w:p>
    <w:p w14:paraId="7C950EA1" w14:textId="68D826B3" w:rsidR="001A6AA9" w:rsidRPr="00235819" w:rsidRDefault="001A6AA9" w:rsidP="001A6AA9">
      <w:pPr>
        <w:pStyle w:val="MediumGrid2-Accent11"/>
        <w:rPr>
          <w:lang w:val="en-US"/>
        </w:rPr>
      </w:pPr>
      <w:r>
        <w:rPr>
          <w:lang w:val="en-US"/>
        </w:rPr>
        <w:t>DOL Guidance on COVID-19 and the Workplace</w:t>
      </w:r>
      <w:r w:rsidR="00235819">
        <w:rPr>
          <w:lang w:val="en-US"/>
        </w:rPr>
        <w:t xml:space="preserve"> can be found at</w:t>
      </w:r>
      <w:r>
        <w:rPr>
          <w:lang w:val="en-US"/>
        </w:rPr>
        <w:t xml:space="preserve"> </w:t>
      </w:r>
      <w:hyperlink r:id="rId12" w:history="1">
        <w:r>
          <w:rPr>
            <w:rStyle w:val="Hyperlink"/>
          </w:rPr>
          <w:t>https://www.dol.gov/agencies/whd/pandemic</w:t>
        </w:r>
      </w:hyperlink>
      <w:r w:rsidR="00235819">
        <w:rPr>
          <w:rStyle w:val="Hyperlink"/>
          <w:lang w:val="en-US"/>
        </w:rPr>
        <w:t>.</w:t>
      </w:r>
    </w:p>
    <w:p w14:paraId="340BDA1A" w14:textId="45BAED63" w:rsidR="00807B7A" w:rsidRDefault="00807B7A" w:rsidP="00807B7A">
      <w:pPr>
        <w:pStyle w:val="MediumGrid2-Accent11"/>
        <w:rPr>
          <w:lang w:val="en-US"/>
        </w:rPr>
      </w:pPr>
    </w:p>
    <w:p w14:paraId="44535F77" w14:textId="77777777" w:rsidR="001A6AA9" w:rsidRDefault="001A6AA9" w:rsidP="00807B7A">
      <w:pPr>
        <w:pStyle w:val="MediumGrid2-Accent11"/>
        <w:rPr>
          <w:b/>
          <w:bCs/>
          <w:lang w:val="en-US"/>
        </w:rPr>
      </w:pPr>
    </w:p>
    <w:p w14:paraId="15B69A80" w14:textId="77777777" w:rsidR="001A6AA9" w:rsidRDefault="001A6AA9" w:rsidP="00807B7A">
      <w:pPr>
        <w:pStyle w:val="MediumGrid2-Accent11"/>
        <w:rPr>
          <w:b/>
          <w:bCs/>
          <w:lang w:val="en-US"/>
        </w:rPr>
      </w:pPr>
    </w:p>
    <w:p w14:paraId="210ACCF6" w14:textId="77777777" w:rsidR="00235819" w:rsidRDefault="00235819" w:rsidP="00807B7A">
      <w:pPr>
        <w:pStyle w:val="MediumGrid2-Accent11"/>
        <w:rPr>
          <w:b/>
          <w:bCs/>
          <w:lang w:val="en-US"/>
        </w:rPr>
      </w:pPr>
    </w:p>
    <w:p w14:paraId="2F31D5EB" w14:textId="47519D42" w:rsidR="00807B7A" w:rsidRPr="00807B7A" w:rsidRDefault="00807B7A" w:rsidP="00807B7A">
      <w:pPr>
        <w:pStyle w:val="MediumGrid2-Accent11"/>
        <w:rPr>
          <w:b/>
          <w:bCs/>
          <w:lang w:val="en-US"/>
        </w:rPr>
      </w:pPr>
      <w:r w:rsidRPr="00807B7A">
        <w:rPr>
          <w:b/>
          <w:bCs/>
          <w:lang w:val="en-US"/>
        </w:rPr>
        <w:lastRenderedPageBreak/>
        <w:t>IRS Guidance</w:t>
      </w:r>
    </w:p>
    <w:p w14:paraId="7E639DEE" w14:textId="7C2DFEC0" w:rsidR="00D20E25" w:rsidRDefault="00807B7A" w:rsidP="00807B7A">
      <w:pPr>
        <w:pStyle w:val="MediumGrid2-Accent11"/>
        <w:rPr>
          <w:lang w:val="en-US"/>
        </w:rPr>
      </w:pPr>
      <w:r>
        <w:rPr>
          <w:lang w:val="en-US"/>
        </w:rPr>
        <w:t xml:space="preserve">Employers required to provide </w:t>
      </w:r>
      <w:r w:rsidR="00235819">
        <w:rPr>
          <w:lang w:val="en-US"/>
        </w:rPr>
        <w:t>Paid Sick Leave</w:t>
      </w:r>
      <w:r>
        <w:rPr>
          <w:lang w:val="en-US"/>
        </w:rPr>
        <w:t xml:space="preserve"> and Expanded </w:t>
      </w:r>
      <w:r w:rsidR="00235819">
        <w:rPr>
          <w:lang w:val="en-US"/>
        </w:rPr>
        <w:t>FMLA</w:t>
      </w:r>
      <w:r>
        <w:rPr>
          <w:lang w:val="en-US"/>
        </w:rPr>
        <w:t xml:space="preserve"> </w:t>
      </w:r>
      <w:r w:rsidR="002D2E6A">
        <w:rPr>
          <w:lang w:val="en-US"/>
        </w:rPr>
        <w:t xml:space="preserve">under the FFCRA </w:t>
      </w:r>
      <w:r>
        <w:rPr>
          <w:lang w:val="en-US"/>
        </w:rPr>
        <w:t xml:space="preserve">are eligible for refundable tax credits </w:t>
      </w:r>
      <w:r w:rsidR="002D2E6A">
        <w:rPr>
          <w:lang w:val="en-US"/>
        </w:rPr>
        <w:t>applied against</w:t>
      </w:r>
      <w:r w:rsidR="00804237">
        <w:rPr>
          <w:lang w:val="en-US"/>
        </w:rPr>
        <w:t xml:space="preserve"> </w:t>
      </w:r>
      <w:r w:rsidR="007773AA">
        <w:rPr>
          <w:lang w:val="en-US"/>
        </w:rPr>
        <w:t xml:space="preserve">the employer’s </w:t>
      </w:r>
      <w:r w:rsidR="00804237">
        <w:rPr>
          <w:lang w:val="en-US"/>
        </w:rPr>
        <w:t xml:space="preserve">quarterly payroll tax return (i.e. Form 941) </w:t>
      </w:r>
      <w:r>
        <w:rPr>
          <w:lang w:val="en-US"/>
        </w:rPr>
        <w:t xml:space="preserve">to offset such costs. </w:t>
      </w:r>
      <w:r w:rsidR="002D2E6A">
        <w:rPr>
          <w:lang w:val="en-US"/>
        </w:rPr>
        <w:t xml:space="preserve">The IRS indicates </w:t>
      </w:r>
      <w:r w:rsidRPr="00807B7A">
        <w:rPr>
          <w:lang w:val="en-US"/>
        </w:rPr>
        <w:t>employers</w:t>
      </w:r>
      <w:r w:rsidR="002D2E6A">
        <w:rPr>
          <w:lang w:val="en-US"/>
        </w:rPr>
        <w:t xml:space="preserve"> will be able</w:t>
      </w:r>
      <w:r w:rsidRPr="00807B7A">
        <w:rPr>
          <w:lang w:val="en-US"/>
        </w:rPr>
        <w:t xml:space="preserve"> </w:t>
      </w:r>
      <w:r w:rsidR="002D2E6A">
        <w:rPr>
          <w:lang w:val="en-US"/>
        </w:rPr>
        <w:t>to</w:t>
      </w:r>
      <w:r w:rsidRPr="00807B7A">
        <w:rPr>
          <w:lang w:val="en-US"/>
        </w:rPr>
        <w:t xml:space="preserve"> retain an amount of the payroll taxes equal to the amount of paid leave</w:t>
      </w:r>
      <w:r w:rsidR="002D2E6A">
        <w:rPr>
          <w:lang w:val="en-US"/>
        </w:rPr>
        <w:t>,</w:t>
      </w:r>
      <w:r w:rsidRPr="00807B7A">
        <w:rPr>
          <w:lang w:val="en-US"/>
        </w:rPr>
        <w:t xml:space="preserve"> plus related group health plans costs </w:t>
      </w:r>
      <w:r w:rsidR="002D2E6A">
        <w:rPr>
          <w:lang w:val="en-US"/>
        </w:rPr>
        <w:t>(</w:t>
      </w:r>
      <w:r w:rsidRPr="00807B7A">
        <w:rPr>
          <w:lang w:val="en-US"/>
        </w:rPr>
        <w:t>rather than deposit</w:t>
      </w:r>
      <w:r w:rsidR="002D2E6A">
        <w:rPr>
          <w:lang w:val="en-US"/>
        </w:rPr>
        <w:t>ing</w:t>
      </w:r>
      <w:r w:rsidRPr="00807B7A">
        <w:rPr>
          <w:lang w:val="en-US"/>
        </w:rPr>
        <w:t xml:space="preserve"> them with the IRS</w:t>
      </w:r>
      <w:r w:rsidR="002D2E6A">
        <w:rPr>
          <w:lang w:val="en-US"/>
        </w:rPr>
        <w:t xml:space="preserve">). </w:t>
      </w:r>
      <w:r w:rsidRPr="00807B7A">
        <w:rPr>
          <w:lang w:val="en-US"/>
        </w:rPr>
        <w:t>Payroll taxes available for retention include withheld federal income taxes, as well as employee and employer share of Social Security and Medicare taxes</w:t>
      </w:r>
      <w:r w:rsidR="00804237">
        <w:rPr>
          <w:lang w:val="en-US"/>
        </w:rPr>
        <w:t xml:space="preserve">. </w:t>
      </w:r>
      <w:r w:rsidRPr="00807B7A">
        <w:rPr>
          <w:lang w:val="en-US"/>
        </w:rPr>
        <w:t xml:space="preserve">If there are insufficient </w:t>
      </w:r>
      <w:r w:rsidR="002D2E6A">
        <w:rPr>
          <w:lang w:val="en-US"/>
        </w:rPr>
        <w:t xml:space="preserve">amounts available via </w:t>
      </w:r>
      <w:r w:rsidRPr="00807B7A">
        <w:rPr>
          <w:lang w:val="en-US"/>
        </w:rPr>
        <w:t>payroll</w:t>
      </w:r>
      <w:r w:rsidR="002D2E6A">
        <w:rPr>
          <w:lang w:val="en-US"/>
        </w:rPr>
        <w:t xml:space="preserve"> taxes to cover the employer’s expenses related to the paid leave requirements</w:t>
      </w:r>
      <w:r w:rsidRPr="00807B7A">
        <w:rPr>
          <w:lang w:val="en-US"/>
        </w:rPr>
        <w:t>, employers may file a request for an accelerated payment from the IRS</w:t>
      </w:r>
      <w:r w:rsidR="002D2E6A">
        <w:rPr>
          <w:lang w:val="en-US"/>
        </w:rPr>
        <w:t xml:space="preserve"> and </w:t>
      </w:r>
      <w:r w:rsidRPr="00807B7A">
        <w:rPr>
          <w:lang w:val="en-US"/>
        </w:rPr>
        <w:t>IRS expects to process</w:t>
      </w:r>
      <w:r w:rsidR="002D2E6A">
        <w:rPr>
          <w:lang w:val="en-US"/>
        </w:rPr>
        <w:t xml:space="preserve"> such</w:t>
      </w:r>
      <w:r w:rsidRPr="00807B7A">
        <w:rPr>
          <w:lang w:val="en-US"/>
        </w:rPr>
        <w:t xml:space="preserve"> requests in 2 weeks or less</w:t>
      </w:r>
      <w:r w:rsidR="002D2E6A">
        <w:rPr>
          <w:lang w:val="en-US"/>
        </w:rPr>
        <w:t>. T</w:t>
      </w:r>
      <w:r w:rsidR="00804237">
        <w:rPr>
          <w:lang w:val="en-US"/>
        </w:rPr>
        <w:t>he guidance provided to date is high level. The IRS has promised additional details in the next week.</w:t>
      </w:r>
    </w:p>
    <w:p w14:paraId="788D8114" w14:textId="679DE6CE" w:rsidR="00804237" w:rsidRDefault="00804237" w:rsidP="00807B7A">
      <w:pPr>
        <w:pStyle w:val="MediumGrid2-Accent11"/>
        <w:rPr>
          <w:lang w:val="en-US"/>
        </w:rPr>
      </w:pPr>
    </w:p>
    <w:p w14:paraId="2FAC677F" w14:textId="21F837D8" w:rsidR="00804237" w:rsidRDefault="00804237" w:rsidP="00807B7A">
      <w:pPr>
        <w:pStyle w:val="MediumGrid2-Accent11"/>
        <w:rPr>
          <w:lang w:val="en-US"/>
        </w:rPr>
      </w:pPr>
      <w:r>
        <w:rPr>
          <w:lang w:val="en-US"/>
        </w:rPr>
        <w:t>IRS Guidance on Refundable Tax Credits</w:t>
      </w:r>
      <w:r w:rsidR="007773AA">
        <w:rPr>
          <w:lang w:val="en-US"/>
        </w:rPr>
        <w:t xml:space="preserve"> can be found at</w:t>
      </w:r>
      <w:r>
        <w:rPr>
          <w:lang w:val="en-US"/>
        </w:rPr>
        <w:t xml:space="preserve"> </w:t>
      </w:r>
      <w:hyperlink r:id="rId13" w:history="1">
        <w:r>
          <w:rPr>
            <w:rStyle w:val="Hyperlink"/>
          </w:rPr>
          <w:t>https://www.irs.gov/newsroom/treasury-irs-and-labor-announce-plan-to-implement-coronavirus-related-paid-leave-for-workers-and-tax-credits-for-small-and-midsize-businesses-to-swiftly-recover-the-cost-of-providing-coronavirus</w:t>
        </w:r>
      </w:hyperlink>
      <w:r>
        <w:rPr>
          <w:lang w:val="en-US"/>
        </w:rPr>
        <w:t>.</w:t>
      </w:r>
    </w:p>
    <w:p w14:paraId="745A82B0" w14:textId="4F548157" w:rsidR="001A6AA9" w:rsidRDefault="001A6AA9" w:rsidP="00807B7A">
      <w:pPr>
        <w:pStyle w:val="MediumGrid2-Accent11"/>
        <w:rPr>
          <w:lang w:val="en-US"/>
        </w:rPr>
      </w:pPr>
    </w:p>
    <w:p w14:paraId="77F2B38E" w14:textId="77777777" w:rsidR="001A6AA9" w:rsidRPr="00804237" w:rsidRDefault="001A6AA9" w:rsidP="00807B7A">
      <w:pPr>
        <w:pStyle w:val="MediumGrid2-Accent11"/>
        <w:rPr>
          <w:lang w:val="en-US"/>
        </w:rPr>
      </w:pPr>
    </w:p>
    <w:p w14:paraId="4EAEACFE" w14:textId="77777777" w:rsidR="006E42C0" w:rsidRPr="00D20E25" w:rsidRDefault="006E42C0" w:rsidP="00D20E25">
      <w:pPr>
        <w:pStyle w:val="MediumGrid2-Accent11"/>
      </w:pPr>
    </w:p>
    <w:p w14:paraId="1E2F7E18" w14:textId="77777777" w:rsidR="008362F4" w:rsidRPr="00D20E25" w:rsidRDefault="0035725D" w:rsidP="00D20E25">
      <w:pPr>
        <w:pStyle w:val="MediumGrid2-Accent11"/>
        <w:rPr>
          <w:i/>
          <w:sz w:val="16"/>
          <w:szCs w:val="16"/>
        </w:rPr>
      </w:pPr>
      <w:bookmarkStart w:id="0" w:name="_GoBack"/>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bookmarkEnd w:id="0"/>
    </w:p>
    <w:sectPr w:rsidR="008362F4" w:rsidRPr="00D20E25" w:rsidSect="00D20E25">
      <w:footerReference w:type="default" r:id="rId14"/>
      <w:footerReference w:type="first" r:id="rId15"/>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EA82D" w14:textId="77777777" w:rsidR="0082082D" w:rsidRDefault="0082082D" w:rsidP="00D20E25">
      <w:r>
        <w:separator/>
      </w:r>
    </w:p>
  </w:endnote>
  <w:endnote w:type="continuationSeparator" w:id="0">
    <w:p w14:paraId="50A3010B" w14:textId="77777777" w:rsidR="0082082D" w:rsidRDefault="0082082D"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FBF5" w14:textId="77777777" w:rsidR="005C07B5" w:rsidRDefault="005C07B5" w:rsidP="00D20E25">
    <w:pPr>
      <w:pStyle w:val="Footer"/>
      <w:jc w:val="center"/>
    </w:pPr>
  </w:p>
  <w:p w14:paraId="4D8ACF81" w14:textId="69777BB4" w:rsidR="005C07B5" w:rsidRDefault="005C07B5" w:rsidP="00D20E25">
    <w:pPr>
      <w:pStyle w:val="Footer"/>
      <w:jc w:val="center"/>
      <w:rPr>
        <w:lang w:val="en-US"/>
      </w:rPr>
    </w:pPr>
    <w:r w:rsidRPr="006C7EC1">
      <w:t>© 20</w:t>
    </w:r>
    <w:r w:rsidR="0078418E">
      <w:rPr>
        <w:lang w:val="en-US"/>
      </w:rPr>
      <w:t>20</w:t>
    </w:r>
    <w:r w:rsidRPr="006C7EC1">
      <w:t xml:space="preserve"> </w:t>
    </w:r>
    <w:r>
      <w:t>Benefit Comply, LLC</w:t>
    </w:r>
  </w:p>
  <w:p w14:paraId="6147581C"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3533" w14:textId="3054CB5E" w:rsidR="005C07B5" w:rsidRDefault="005C07B5" w:rsidP="00D20E25">
    <w:pPr>
      <w:pStyle w:val="Footer"/>
      <w:jc w:val="center"/>
      <w:rPr>
        <w:lang w:val="en-US"/>
      </w:rPr>
    </w:pPr>
    <w:r>
      <w:t>© 20</w:t>
    </w:r>
    <w:r w:rsidR="0078418E">
      <w:rPr>
        <w:lang w:val="en-US"/>
      </w:rPr>
      <w:t>20</w:t>
    </w:r>
    <w:r w:rsidRPr="006C7EC1">
      <w:t xml:space="preserve"> </w:t>
    </w:r>
    <w:r>
      <w:t>Benefit Comply, LLC</w:t>
    </w:r>
  </w:p>
  <w:p w14:paraId="521AAA29"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C230E" w14:textId="77777777" w:rsidR="0082082D" w:rsidRDefault="0082082D" w:rsidP="00D20E25">
      <w:r>
        <w:separator/>
      </w:r>
    </w:p>
  </w:footnote>
  <w:footnote w:type="continuationSeparator" w:id="0">
    <w:p w14:paraId="62C46BE9" w14:textId="77777777" w:rsidR="0082082D" w:rsidRDefault="0082082D"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BC8359E"/>
    <w:multiLevelType w:val="hybridMultilevel"/>
    <w:tmpl w:val="528A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2"/>
  </w:num>
  <w:num w:numId="3">
    <w:abstractNumId w:val="21"/>
  </w:num>
  <w:num w:numId="4">
    <w:abstractNumId w:val="9"/>
  </w:num>
  <w:num w:numId="5">
    <w:abstractNumId w:val="25"/>
  </w:num>
  <w:num w:numId="6">
    <w:abstractNumId w:val="7"/>
  </w:num>
  <w:num w:numId="7">
    <w:abstractNumId w:val="13"/>
  </w:num>
  <w:num w:numId="8">
    <w:abstractNumId w:val="26"/>
  </w:num>
  <w:num w:numId="9">
    <w:abstractNumId w:val="16"/>
  </w:num>
  <w:num w:numId="10">
    <w:abstractNumId w:val="30"/>
  </w:num>
  <w:num w:numId="11">
    <w:abstractNumId w:val="1"/>
  </w:num>
  <w:num w:numId="12">
    <w:abstractNumId w:val="15"/>
  </w:num>
  <w:num w:numId="13">
    <w:abstractNumId w:val="20"/>
  </w:num>
  <w:num w:numId="14">
    <w:abstractNumId w:val="33"/>
  </w:num>
  <w:num w:numId="15">
    <w:abstractNumId w:val="23"/>
  </w:num>
  <w:num w:numId="16">
    <w:abstractNumId w:val="29"/>
  </w:num>
  <w:num w:numId="17">
    <w:abstractNumId w:val="10"/>
  </w:num>
  <w:num w:numId="18">
    <w:abstractNumId w:val="18"/>
  </w:num>
  <w:num w:numId="19">
    <w:abstractNumId w:val="24"/>
  </w:num>
  <w:num w:numId="20">
    <w:abstractNumId w:val="31"/>
  </w:num>
  <w:num w:numId="21">
    <w:abstractNumId w:val="17"/>
  </w:num>
  <w:num w:numId="22">
    <w:abstractNumId w:val="28"/>
  </w:num>
  <w:num w:numId="23">
    <w:abstractNumId w:val="34"/>
  </w:num>
  <w:num w:numId="24">
    <w:abstractNumId w:val="27"/>
  </w:num>
  <w:num w:numId="25">
    <w:abstractNumId w:val="14"/>
  </w:num>
  <w:num w:numId="26">
    <w:abstractNumId w:val="12"/>
  </w:num>
  <w:num w:numId="27">
    <w:abstractNumId w:val="32"/>
  </w:num>
  <w:num w:numId="28">
    <w:abstractNumId w:val="8"/>
  </w:num>
  <w:num w:numId="29">
    <w:abstractNumId w:val="2"/>
  </w:num>
  <w:num w:numId="30">
    <w:abstractNumId w:val="11"/>
  </w:num>
  <w:num w:numId="31">
    <w:abstractNumId w:val="0"/>
  </w:num>
  <w:num w:numId="32">
    <w:abstractNumId w:val="19"/>
  </w:num>
  <w:num w:numId="33">
    <w:abstractNumId w:val="5"/>
  </w:num>
  <w:num w:numId="34">
    <w:abstractNumId w:val="3"/>
  </w:num>
  <w:num w:numId="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80"/>
  <w:drawingGridVerticalSpacing w:val="109"/>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3657F"/>
    <w:rsid w:val="00041D34"/>
    <w:rsid w:val="00042D2A"/>
    <w:rsid w:val="00055D59"/>
    <w:rsid w:val="00056762"/>
    <w:rsid w:val="0006084A"/>
    <w:rsid w:val="0006208C"/>
    <w:rsid w:val="0006416F"/>
    <w:rsid w:val="00065F15"/>
    <w:rsid w:val="00071F3D"/>
    <w:rsid w:val="00076EB8"/>
    <w:rsid w:val="000867F5"/>
    <w:rsid w:val="00093BE1"/>
    <w:rsid w:val="00096B1E"/>
    <w:rsid w:val="000A697A"/>
    <w:rsid w:val="000A731D"/>
    <w:rsid w:val="000C41B5"/>
    <w:rsid w:val="000C5473"/>
    <w:rsid w:val="000E03AB"/>
    <w:rsid w:val="000E668C"/>
    <w:rsid w:val="000F11E2"/>
    <w:rsid w:val="0010150B"/>
    <w:rsid w:val="00102C3F"/>
    <w:rsid w:val="00103F85"/>
    <w:rsid w:val="00104680"/>
    <w:rsid w:val="00113F23"/>
    <w:rsid w:val="00137BDB"/>
    <w:rsid w:val="00140769"/>
    <w:rsid w:val="00142A3F"/>
    <w:rsid w:val="001432A3"/>
    <w:rsid w:val="00144A9C"/>
    <w:rsid w:val="00150473"/>
    <w:rsid w:val="00160335"/>
    <w:rsid w:val="001824D9"/>
    <w:rsid w:val="00187547"/>
    <w:rsid w:val="001912DE"/>
    <w:rsid w:val="0019308E"/>
    <w:rsid w:val="001A6AA9"/>
    <w:rsid w:val="001B1A88"/>
    <w:rsid w:val="001B212E"/>
    <w:rsid w:val="001C256F"/>
    <w:rsid w:val="001C70AE"/>
    <w:rsid w:val="001D58D8"/>
    <w:rsid w:val="001D745D"/>
    <w:rsid w:val="001E2972"/>
    <w:rsid w:val="001E622E"/>
    <w:rsid w:val="001F0404"/>
    <w:rsid w:val="001F20E5"/>
    <w:rsid w:val="00200664"/>
    <w:rsid w:val="00211FC6"/>
    <w:rsid w:val="00231306"/>
    <w:rsid w:val="00235819"/>
    <w:rsid w:val="00246370"/>
    <w:rsid w:val="00247077"/>
    <w:rsid w:val="00255A5D"/>
    <w:rsid w:val="00270D0F"/>
    <w:rsid w:val="00273D4E"/>
    <w:rsid w:val="00277CAA"/>
    <w:rsid w:val="0029167B"/>
    <w:rsid w:val="002A51D5"/>
    <w:rsid w:val="002C4ADB"/>
    <w:rsid w:val="002D2E6A"/>
    <w:rsid w:val="002D6E4B"/>
    <w:rsid w:val="002E3F16"/>
    <w:rsid w:val="002E41EF"/>
    <w:rsid w:val="002F1D78"/>
    <w:rsid w:val="002F2BFF"/>
    <w:rsid w:val="002F3FBC"/>
    <w:rsid w:val="002F5B6A"/>
    <w:rsid w:val="002F7CDF"/>
    <w:rsid w:val="00311883"/>
    <w:rsid w:val="00311D22"/>
    <w:rsid w:val="00314066"/>
    <w:rsid w:val="003231B2"/>
    <w:rsid w:val="00332855"/>
    <w:rsid w:val="003332F7"/>
    <w:rsid w:val="00337651"/>
    <w:rsid w:val="00341F9B"/>
    <w:rsid w:val="00342727"/>
    <w:rsid w:val="003536E9"/>
    <w:rsid w:val="0035725D"/>
    <w:rsid w:val="003606B3"/>
    <w:rsid w:val="00367D54"/>
    <w:rsid w:val="00373838"/>
    <w:rsid w:val="0037534B"/>
    <w:rsid w:val="00376CF8"/>
    <w:rsid w:val="00377A73"/>
    <w:rsid w:val="00383956"/>
    <w:rsid w:val="00386166"/>
    <w:rsid w:val="003902B6"/>
    <w:rsid w:val="003902B9"/>
    <w:rsid w:val="0039272A"/>
    <w:rsid w:val="00397F1D"/>
    <w:rsid w:val="003A15A0"/>
    <w:rsid w:val="003A5845"/>
    <w:rsid w:val="003A5F0F"/>
    <w:rsid w:val="003B0730"/>
    <w:rsid w:val="003B180D"/>
    <w:rsid w:val="003B7105"/>
    <w:rsid w:val="003D3ABE"/>
    <w:rsid w:val="003D5BB6"/>
    <w:rsid w:val="003E5815"/>
    <w:rsid w:val="0040100E"/>
    <w:rsid w:val="004019B7"/>
    <w:rsid w:val="00402CF5"/>
    <w:rsid w:val="00421453"/>
    <w:rsid w:val="00424799"/>
    <w:rsid w:val="00442266"/>
    <w:rsid w:val="00453816"/>
    <w:rsid w:val="00464CBE"/>
    <w:rsid w:val="00467218"/>
    <w:rsid w:val="00467FDA"/>
    <w:rsid w:val="004827D1"/>
    <w:rsid w:val="004870C3"/>
    <w:rsid w:val="00487B4C"/>
    <w:rsid w:val="004A39D7"/>
    <w:rsid w:val="004B2781"/>
    <w:rsid w:val="004B2E8E"/>
    <w:rsid w:val="004B3E30"/>
    <w:rsid w:val="004B4147"/>
    <w:rsid w:val="004B6441"/>
    <w:rsid w:val="004C685A"/>
    <w:rsid w:val="004E4565"/>
    <w:rsid w:val="004F0122"/>
    <w:rsid w:val="004F38E5"/>
    <w:rsid w:val="004F4484"/>
    <w:rsid w:val="00521168"/>
    <w:rsid w:val="00521F45"/>
    <w:rsid w:val="0052609C"/>
    <w:rsid w:val="00532F84"/>
    <w:rsid w:val="005378A2"/>
    <w:rsid w:val="00540CCF"/>
    <w:rsid w:val="00554B62"/>
    <w:rsid w:val="00554D66"/>
    <w:rsid w:val="0055764A"/>
    <w:rsid w:val="005660E9"/>
    <w:rsid w:val="005718C3"/>
    <w:rsid w:val="00581F18"/>
    <w:rsid w:val="00586571"/>
    <w:rsid w:val="0058733A"/>
    <w:rsid w:val="005926DA"/>
    <w:rsid w:val="00595A34"/>
    <w:rsid w:val="005B0103"/>
    <w:rsid w:val="005C07B5"/>
    <w:rsid w:val="005C2382"/>
    <w:rsid w:val="005D2525"/>
    <w:rsid w:val="005E4301"/>
    <w:rsid w:val="005E74DC"/>
    <w:rsid w:val="005F1993"/>
    <w:rsid w:val="005F2269"/>
    <w:rsid w:val="005F4D3F"/>
    <w:rsid w:val="005F6038"/>
    <w:rsid w:val="00600FC4"/>
    <w:rsid w:val="006034D7"/>
    <w:rsid w:val="00605355"/>
    <w:rsid w:val="006102F4"/>
    <w:rsid w:val="006149F2"/>
    <w:rsid w:val="006158BC"/>
    <w:rsid w:val="00616FD0"/>
    <w:rsid w:val="00633D0E"/>
    <w:rsid w:val="006466D7"/>
    <w:rsid w:val="006577E9"/>
    <w:rsid w:val="006717AA"/>
    <w:rsid w:val="00675439"/>
    <w:rsid w:val="00683EE3"/>
    <w:rsid w:val="00685C8D"/>
    <w:rsid w:val="00686AFD"/>
    <w:rsid w:val="006924DC"/>
    <w:rsid w:val="006A61F3"/>
    <w:rsid w:val="006B1545"/>
    <w:rsid w:val="006B23FC"/>
    <w:rsid w:val="006B28BC"/>
    <w:rsid w:val="006B35C9"/>
    <w:rsid w:val="006C3EE1"/>
    <w:rsid w:val="006C7B72"/>
    <w:rsid w:val="006C7EC1"/>
    <w:rsid w:val="006D5631"/>
    <w:rsid w:val="006E1247"/>
    <w:rsid w:val="006E42C0"/>
    <w:rsid w:val="00713909"/>
    <w:rsid w:val="00736A9B"/>
    <w:rsid w:val="007508F7"/>
    <w:rsid w:val="00764D79"/>
    <w:rsid w:val="007709F7"/>
    <w:rsid w:val="00776816"/>
    <w:rsid w:val="007773AA"/>
    <w:rsid w:val="00781D99"/>
    <w:rsid w:val="007821CE"/>
    <w:rsid w:val="0078418E"/>
    <w:rsid w:val="007908B7"/>
    <w:rsid w:val="007A5C28"/>
    <w:rsid w:val="007A5F8B"/>
    <w:rsid w:val="007B1E18"/>
    <w:rsid w:val="007B4885"/>
    <w:rsid w:val="007C3D13"/>
    <w:rsid w:val="007C4419"/>
    <w:rsid w:val="007C77AA"/>
    <w:rsid w:val="007C7C7C"/>
    <w:rsid w:val="007D3E4D"/>
    <w:rsid w:val="007E18DE"/>
    <w:rsid w:val="007E193A"/>
    <w:rsid w:val="007E2565"/>
    <w:rsid w:val="007E377B"/>
    <w:rsid w:val="007E53F1"/>
    <w:rsid w:val="007F34B4"/>
    <w:rsid w:val="008020F4"/>
    <w:rsid w:val="0080349F"/>
    <w:rsid w:val="00804237"/>
    <w:rsid w:val="008052A3"/>
    <w:rsid w:val="00807B7A"/>
    <w:rsid w:val="0082082D"/>
    <w:rsid w:val="0083063B"/>
    <w:rsid w:val="008351DA"/>
    <w:rsid w:val="008362F4"/>
    <w:rsid w:val="00840509"/>
    <w:rsid w:val="008477BE"/>
    <w:rsid w:val="008557A4"/>
    <w:rsid w:val="008615C4"/>
    <w:rsid w:val="0086304F"/>
    <w:rsid w:val="00866B99"/>
    <w:rsid w:val="00897617"/>
    <w:rsid w:val="008A5DF8"/>
    <w:rsid w:val="008A65DA"/>
    <w:rsid w:val="008C712B"/>
    <w:rsid w:val="008D0598"/>
    <w:rsid w:val="008D3E7A"/>
    <w:rsid w:val="008D5BAD"/>
    <w:rsid w:val="008E2AFE"/>
    <w:rsid w:val="008E2D74"/>
    <w:rsid w:val="008E4117"/>
    <w:rsid w:val="008F0F5D"/>
    <w:rsid w:val="008F6B65"/>
    <w:rsid w:val="00922438"/>
    <w:rsid w:val="009312C4"/>
    <w:rsid w:val="00935D00"/>
    <w:rsid w:val="00951D03"/>
    <w:rsid w:val="009536DD"/>
    <w:rsid w:val="00953E85"/>
    <w:rsid w:val="009A4AD6"/>
    <w:rsid w:val="009B5ABE"/>
    <w:rsid w:val="009C3F26"/>
    <w:rsid w:val="009C5E1D"/>
    <w:rsid w:val="009D2536"/>
    <w:rsid w:val="009D30FA"/>
    <w:rsid w:val="009D6B8F"/>
    <w:rsid w:val="009D73B3"/>
    <w:rsid w:val="009E2006"/>
    <w:rsid w:val="009E21BA"/>
    <w:rsid w:val="009E43E3"/>
    <w:rsid w:val="009F0EFE"/>
    <w:rsid w:val="009F1035"/>
    <w:rsid w:val="009F112E"/>
    <w:rsid w:val="00A10143"/>
    <w:rsid w:val="00A139C1"/>
    <w:rsid w:val="00A21DC4"/>
    <w:rsid w:val="00A35CFA"/>
    <w:rsid w:val="00A45E46"/>
    <w:rsid w:val="00A50245"/>
    <w:rsid w:val="00A51D54"/>
    <w:rsid w:val="00A62B5A"/>
    <w:rsid w:val="00A65FD1"/>
    <w:rsid w:val="00A671B6"/>
    <w:rsid w:val="00A94DC8"/>
    <w:rsid w:val="00A9585D"/>
    <w:rsid w:val="00AA3E90"/>
    <w:rsid w:val="00AA6A57"/>
    <w:rsid w:val="00AB0F84"/>
    <w:rsid w:val="00AB1C85"/>
    <w:rsid w:val="00AB2DCF"/>
    <w:rsid w:val="00AC60D1"/>
    <w:rsid w:val="00AD14A0"/>
    <w:rsid w:val="00AD5E20"/>
    <w:rsid w:val="00AE1425"/>
    <w:rsid w:val="00AE2B47"/>
    <w:rsid w:val="00AE33B8"/>
    <w:rsid w:val="00AF0B9D"/>
    <w:rsid w:val="00B14799"/>
    <w:rsid w:val="00B15106"/>
    <w:rsid w:val="00B16218"/>
    <w:rsid w:val="00B3020C"/>
    <w:rsid w:val="00B347E4"/>
    <w:rsid w:val="00B51719"/>
    <w:rsid w:val="00B554D2"/>
    <w:rsid w:val="00B55BBA"/>
    <w:rsid w:val="00B57B5E"/>
    <w:rsid w:val="00B6090B"/>
    <w:rsid w:val="00B66B60"/>
    <w:rsid w:val="00B77E7B"/>
    <w:rsid w:val="00B803FC"/>
    <w:rsid w:val="00B8463D"/>
    <w:rsid w:val="00B85CE3"/>
    <w:rsid w:val="00B90848"/>
    <w:rsid w:val="00B9448D"/>
    <w:rsid w:val="00B96BF7"/>
    <w:rsid w:val="00BA6FBA"/>
    <w:rsid w:val="00BB01DD"/>
    <w:rsid w:val="00BC1E4F"/>
    <w:rsid w:val="00BC5BB5"/>
    <w:rsid w:val="00BD04F4"/>
    <w:rsid w:val="00BD2EC1"/>
    <w:rsid w:val="00BE0984"/>
    <w:rsid w:val="00BE5FA7"/>
    <w:rsid w:val="00BF49EF"/>
    <w:rsid w:val="00C14297"/>
    <w:rsid w:val="00C24151"/>
    <w:rsid w:val="00C24CC8"/>
    <w:rsid w:val="00C37884"/>
    <w:rsid w:val="00C60F20"/>
    <w:rsid w:val="00C70F5A"/>
    <w:rsid w:val="00C87D79"/>
    <w:rsid w:val="00CB2087"/>
    <w:rsid w:val="00CB7F8B"/>
    <w:rsid w:val="00CD3AB1"/>
    <w:rsid w:val="00CD6579"/>
    <w:rsid w:val="00CE15AE"/>
    <w:rsid w:val="00CE2D96"/>
    <w:rsid w:val="00D00064"/>
    <w:rsid w:val="00D0013D"/>
    <w:rsid w:val="00D12D97"/>
    <w:rsid w:val="00D12E64"/>
    <w:rsid w:val="00D209A7"/>
    <w:rsid w:val="00D20E25"/>
    <w:rsid w:val="00D2204C"/>
    <w:rsid w:val="00D31672"/>
    <w:rsid w:val="00D44E36"/>
    <w:rsid w:val="00D51832"/>
    <w:rsid w:val="00D636DB"/>
    <w:rsid w:val="00D76D80"/>
    <w:rsid w:val="00D84DDC"/>
    <w:rsid w:val="00D87ED1"/>
    <w:rsid w:val="00D95C74"/>
    <w:rsid w:val="00D967F0"/>
    <w:rsid w:val="00D975E7"/>
    <w:rsid w:val="00DA1860"/>
    <w:rsid w:val="00DA5084"/>
    <w:rsid w:val="00DA5878"/>
    <w:rsid w:val="00DA6314"/>
    <w:rsid w:val="00DB1126"/>
    <w:rsid w:val="00DB46C3"/>
    <w:rsid w:val="00DB553D"/>
    <w:rsid w:val="00DC715C"/>
    <w:rsid w:val="00DD1020"/>
    <w:rsid w:val="00DD1F73"/>
    <w:rsid w:val="00DE2E6F"/>
    <w:rsid w:val="00DE428B"/>
    <w:rsid w:val="00DF24C0"/>
    <w:rsid w:val="00DF5014"/>
    <w:rsid w:val="00DF5D23"/>
    <w:rsid w:val="00E0273B"/>
    <w:rsid w:val="00E03088"/>
    <w:rsid w:val="00E10762"/>
    <w:rsid w:val="00E17B5E"/>
    <w:rsid w:val="00E269D4"/>
    <w:rsid w:val="00E37B09"/>
    <w:rsid w:val="00E44F0B"/>
    <w:rsid w:val="00E46F87"/>
    <w:rsid w:val="00E53468"/>
    <w:rsid w:val="00E53CBA"/>
    <w:rsid w:val="00E76581"/>
    <w:rsid w:val="00E773C4"/>
    <w:rsid w:val="00E85FF7"/>
    <w:rsid w:val="00EA7801"/>
    <w:rsid w:val="00EB2B80"/>
    <w:rsid w:val="00EB51B4"/>
    <w:rsid w:val="00EB6293"/>
    <w:rsid w:val="00EB76AE"/>
    <w:rsid w:val="00ED0E7A"/>
    <w:rsid w:val="00ED3020"/>
    <w:rsid w:val="00EF1C04"/>
    <w:rsid w:val="00EF7919"/>
    <w:rsid w:val="00F05E10"/>
    <w:rsid w:val="00F06079"/>
    <w:rsid w:val="00F33F3C"/>
    <w:rsid w:val="00F4702D"/>
    <w:rsid w:val="00F50A82"/>
    <w:rsid w:val="00F51BB5"/>
    <w:rsid w:val="00F51DF1"/>
    <w:rsid w:val="00F535E7"/>
    <w:rsid w:val="00F55CEF"/>
    <w:rsid w:val="00F562CC"/>
    <w:rsid w:val="00F617E4"/>
    <w:rsid w:val="00F75275"/>
    <w:rsid w:val="00F80D9C"/>
    <w:rsid w:val="00F83367"/>
    <w:rsid w:val="00F877B8"/>
    <w:rsid w:val="00F91499"/>
    <w:rsid w:val="00F949F2"/>
    <w:rsid w:val="00F96597"/>
    <w:rsid w:val="00FA0739"/>
    <w:rsid w:val="00FA2F25"/>
    <w:rsid w:val="00FA4C44"/>
    <w:rsid w:val="00FB0360"/>
    <w:rsid w:val="00FB1408"/>
    <w:rsid w:val="00FB6812"/>
    <w:rsid w:val="00FD0F26"/>
    <w:rsid w:val="00FD20BF"/>
    <w:rsid w:val="00FE5F9B"/>
    <w:rsid w:val="00FE7E7C"/>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0C5BDED"/>
  <w15:chartTrackingRefBased/>
  <w15:docId w15:val="{C6DA1BA3-FA5F-427C-8F70-382B7F8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styleId="UnresolvedMention">
    <w:name w:val="Unresolved Mention"/>
    <w:uiPriority w:val="47"/>
    <w:rsid w:val="00D87ED1"/>
    <w:rPr>
      <w:color w:val="808080"/>
      <w:shd w:val="clear" w:color="auto" w:fill="E6E6E6"/>
    </w:rPr>
  </w:style>
  <w:style w:type="paragraph" w:styleId="ListParagraph">
    <w:name w:val="List Paragraph"/>
    <w:basedOn w:val="Normal"/>
    <w:uiPriority w:val="63"/>
    <w:qFormat/>
    <w:rsid w:val="00ED30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agencies/whd/pandem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3.xml><?xml version="1.0" encoding="utf-8"?>
<ds:datastoreItem xmlns:ds="http://schemas.openxmlformats.org/officeDocument/2006/customXml" ds:itemID="{6D0F34EE-6ED5-4532-AE9B-AA762477A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3B6F37-1606-490F-915B-7136CE54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Sarah Grcevich</cp:lastModifiedBy>
  <cp:revision>2</cp:revision>
  <cp:lastPrinted>2018-01-08T16:59:00Z</cp:lastPrinted>
  <dcterms:created xsi:type="dcterms:W3CDTF">2020-03-25T15:27:00Z</dcterms:created>
  <dcterms:modified xsi:type="dcterms:W3CDTF">2020-03-25T15:27:00Z</dcterms:modified>
</cp:coreProperties>
</file>