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CF1B" w14:textId="50369D8E" w:rsidR="00C62225" w:rsidRPr="00326A75" w:rsidRDefault="00C62225" w:rsidP="00AD44D9">
      <w:pPr>
        <w:pStyle w:val="Heading1"/>
        <w:rPr>
          <w:sz w:val="20"/>
          <w:szCs w:val="20"/>
        </w:rPr>
      </w:pPr>
      <w:bookmarkStart w:id="0" w:name="_Toc302216887"/>
    </w:p>
    <w:tbl>
      <w:tblPr>
        <w:tblW w:w="5000" w:type="pct"/>
        <w:tblCellMar>
          <w:left w:w="0" w:type="dxa"/>
          <w:right w:w="0" w:type="dxa"/>
        </w:tblCellMar>
        <w:tblLook w:val="04A0" w:firstRow="1" w:lastRow="0" w:firstColumn="1" w:lastColumn="0" w:noHBand="0" w:noVBand="1"/>
      </w:tblPr>
      <w:tblGrid>
        <w:gridCol w:w="6437"/>
        <w:gridCol w:w="2923"/>
      </w:tblGrid>
      <w:tr w:rsidR="009A2C1C" w:rsidRPr="00326A75" w14:paraId="64C5D50B" w14:textId="77777777" w:rsidTr="005A10A7">
        <w:trPr>
          <w:trHeight w:val="4032"/>
        </w:trPr>
        <w:tc>
          <w:tcPr>
            <w:tcW w:w="6178" w:type="dxa"/>
          </w:tcPr>
          <w:p w14:paraId="74C58346" w14:textId="1D6E7F4C" w:rsidR="00581331" w:rsidRDefault="005A10A7" w:rsidP="00660B36">
            <w:pPr>
              <w:pStyle w:val="TOC1"/>
            </w:pPr>
            <w:r w:rsidRPr="00660B36">
              <w:rPr>
                <w:noProof/>
              </w:rPr>
              <mc:AlternateContent>
                <mc:Choice Requires="wps">
                  <w:drawing>
                    <wp:anchor distT="0" distB="0" distL="114300" distR="114300" simplePos="0" relativeHeight="251694080" behindDoc="0" locked="0" layoutInCell="1" allowOverlap="1" wp14:anchorId="6AEE4CF9" wp14:editId="7A70E51D">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" filled="f" fillcolor="#fffffe" stroked="f" strokecolor="#212120" insetpen="t">
                      <v:textbox inset="2.88pt,2.88pt,2.88pt,2.88pt">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660B36">
              <w:t>In this issue</w:t>
            </w:r>
            <w:r w:rsidR="00B77AC2" w:rsidRPr="00326A75">
              <w:rPr>
                <w:caps/>
              </w:rPr>
              <w:fldChar w:fldCharType="begin"/>
            </w:r>
            <w:r w:rsidR="00B77AC2" w:rsidRPr="00326A75">
              <w:instrText xml:space="preserve"> TOC \o "1-2" \h \z \u </w:instrText>
            </w:r>
            <w:r w:rsidR="00B77AC2" w:rsidRPr="00326A75">
              <w:rPr>
                <w:caps/>
              </w:rPr>
              <w:fldChar w:fldCharType="separate"/>
            </w:r>
          </w:p>
          <w:p w14:paraId="2CDE1E69" w14:textId="21E3B963" w:rsidR="00581331" w:rsidRPr="00581331" w:rsidRDefault="00581331">
            <w:pPr>
              <w:pStyle w:val="TOC1"/>
              <w:tabs>
                <w:tab w:val="right" w:leader="dot" w:pos="9350"/>
              </w:tabs>
              <w:rPr>
                <w:b w:val="0"/>
                <w:bCs w:val="0"/>
                <w:noProof/>
                <w:sz w:val="20"/>
                <w:szCs w:val="20"/>
                <w:lang w:eastAsia="en-US"/>
              </w:rPr>
            </w:pPr>
            <w:r w:rsidRPr="00326A75">
              <w:rPr>
                <w:noProof/>
              </w:rPr>
              <mc:AlternateContent>
                <mc:Choice Requires="wps">
                  <w:drawing>
                    <wp:anchor distT="0" distB="0" distL="114300" distR="114300" simplePos="0" relativeHeight="251695104" behindDoc="0" locked="0" layoutInCell="1" allowOverlap="1" wp14:anchorId="0694F9D8" wp14:editId="6186D75E">
                      <wp:simplePos x="0" y="0"/>
                      <wp:positionH relativeFrom="margin">
                        <wp:posOffset>2686050</wp:posOffset>
                      </wp:positionH>
                      <wp:positionV relativeFrom="paragraph">
                        <wp:posOffset>239780</wp:posOffset>
                      </wp:positionV>
                      <wp:extent cx="3323590" cy="13716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4F9D8" id="Text Box 60" o:spid="_x0000_s1027" type="#_x0000_t202" style="position:absolute;margin-left:211.5pt;margin-top:18.9pt;width:261.7pt;height:1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" filled="f" fillcolor="#fffffe" stroked="f" strokecolor="#212120" insetpen="t">
                      <v:textbox inset="2.88pt,2.88pt,2.88pt,2.88pt">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v:textbox>
                      <w10:wrap anchorx="margin"/>
                    </v:shape>
                  </w:pict>
                </mc:Fallback>
              </mc:AlternateContent>
            </w:r>
            <w:hyperlink w:anchor="_Toc37241660" w:history="1">
              <w:r w:rsidRPr="00581331">
                <w:rPr>
                  <w:rStyle w:val="Hyperlink"/>
                  <w:b w:val="0"/>
                  <w:bCs w:val="0"/>
                  <w:noProof/>
                  <w:sz w:val="20"/>
                  <w:szCs w:val="20"/>
                </w:rPr>
                <w:t>COVID-19 is the News of the Day</w:t>
              </w:r>
              <w:r w:rsidRPr="00581331">
                <w:rPr>
                  <w:b w:val="0"/>
                  <w:bCs w:val="0"/>
                  <w:noProof/>
                  <w:webHidden/>
                  <w:sz w:val="20"/>
                  <w:szCs w:val="20"/>
                </w:rPr>
                <w:tab/>
              </w:r>
              <w:r w:rsidRPr="00581331">
                <w:rPr>
                  <w:b w:val="0"/>
                  <w:bCs w:val="0"/>
                  <w:noProof/>
                  <w:webHidden/>
                  <w:sz w:val="20"/>
                  <w:szCs w:val="20"/>
                </w:rPr>
                <w:fldChar w:fldCharType="begin"/>
              </w:r>
              <w:r w:rsidRPr="00581331">
                <w:rPr>
                  <w:b w:val="0"/>
                  <w:bCs w:val="0"/>
                  <w:noProof/>
                  <w:webHidden/>
                  <w:sz w:val="20"/>
                  <w:szCs w:val="20"/>
                </w:rPr>
                <w:instrText xml:space="preserve"> PAGEREF _Toc37241660 \h </w:instrText>
              </w:r>
              <w:r w:rsidRPr="00581331">
                <w:rPr>
                  <w:b w:val="0"/>
                  <w:bCs w:val="0"/>
                  <w:noProof/>
                  <w:webHidden/>
                  <w:sz w:val="20"/>
                  <w:szCs w:val="20"/>
                </w:rPr>
              </w:r>
              <w:r w:rsidRPr="00581331">
                <w:rPr>
                  <w:b w:val="0"/>
                  <w:bCs w:val="0"/>
                  <w:noProof/>
                  <w:webHidden/>
                  <w:sz w:val="20"/>
                  <w:szCs w:val="20"/>
                </w:rPr>
                <w:fldChar w:fldCharType="separate"/>
              </w:r>
              <w:r w:rsidR="00215574">
                <w:rPr>
                  <w:b w:val="0"/>
                  <w:bCs w:val="0"/>
                  <w:noProof/>
                  <w:webHidden/>
                  <w:sz w:val="20"/>
                  <w:szCs w:val="20"/>
                </w:rPr>
                <w:t>1</w:t>
              </w:r>
              <w:r w:rsidRPr="00581331">
                <w:rPr>
                  <w:b w:val="0"/>
                  <w:bCs w:val="0"/>
                  <w:noProof/>
                  <w:webHidden/>
                  <w:sz w:val="20"/>
                  <w:szCs w:val="20"/>
                </w:rPr>
                <w:fldChar w:fldCharType="end"/>
              </w:r>
            </w:hyperlink>
          </w:p>
          <w:p w14:paraId="60416F78" w14:textId="4D0884FB" w:rsidR="00581331" w:rsidRPr="00581331" w:rsidRDefault="00581331">
            <w:pPr>
              <w:pStyle w:val="TOC1"/>
              <w:tabs>
                <w:tab w:val="right" w:leader="dot" w:pos="9350"/>
              </w:tabs>
              <w:rPr>
                <w:b w:val="0"/>
                <w:bCs w:val="0"/>
                <w:noProof/>
                <w:sz w:val="20"/>
                <w:szCs w:val="20"/>
                <w:lang w:eastAsia="en-US"/>
              </w:rPr>
            </w:pPr>
            <w:hyperlink w:anchor="_Toc37241661" w:history="1">
              <w:r w:rsidRPr="00581331">
                <w:rPr>
                  <w:rStyle w:val="Hyperlink"/>
                  <w:b w:val="0"/>
                  <w:bCs w:val="0"/>
                  <w:noProof/>
                  <w:sz w:val="20"/>
                  <w:szCs w:val="20"/>
                </w:rPr>
                <w:t>In Other News…</w:t>
              </w:r>
              <w:r w:rsidRPr="00581331">
                <w:rPr>
                  <w:b w:val="0"/>
                  <w:bCs w:val="0"/>
                  <w:noProof/>
                  <w:webHidden/>
                  <w:sz w:val="20"/>
                  <w:szCs w:val="20"/>
                </w:rPr>
                <w:tab/>
              </w:r>
              <w:r w:rsidRPr="00581331">
                <w:rPr>
                  <w:b w:val="0"/>
                  <w:bCs w:val="0"/>
                  <w:noProof/>
                  <w:webHidden/>
                  <w:sz w:val="20"/>
                  <w:szCs w:val="20"/>
                </w:rPr>
                <w:fldChar w:fldCharType="begin"/>
              </w:r>
              <w:r w:rsidRPr="00581331">
                <w:rPr>
                  <w:b w:val="0"/>
                  <w:bCs w:val="0"/>
                  <w:noProof/>
                  <w:webHidden/>
                  <w:sz w:val="20"/>
                  <w:szCs w:val="20"/>
                </w:rPr>
                <w:instrText xml:space="preserve"> PAGEREF _Toc37241661 \h </w:instrText>
              </w:r>
              <w:r w:rsidRPr="00581331">
                <w:rPr>
                  <w:b w:val="0"/>
                  <w:bCs w:val="0"/>
                  <w:noProof/>
                  <w:webHidden/>
                  <w:sz w:val="20"/>
                  <w:szCs w:val="20"/>
                </w:rPr>
              </w:r>
              <w:r w:rsidRPr="00581331">
                <w:rPr>
                  <w:b w:val="0"/>
                  <w:bCs w:val="0"/>
                  <w:noProof/>
                  <w:webHidden/>
                  <w:sz w:val="20"/>
                  <w:szCs w:val="20"/>
                </w:rPr>
                <w:fldChar w:fldCharType="separate"/>
              </w:r>
              <w:r w:rsidR="00215574">
                <w:rPr>
                  <w:b w:val="0"/>
                  <w:bCs w:val="0"/>
                  <w:noProof/>
                  <w:webHidden/>
                  <w:sz w:val="20"/>
                  <w:szCs w:val="20"/>
                </w:rPr>
                <w:t>2</w:t>
              </w:r>
              <w:r w:rsidRPr="00581331">
                <w:rPr>
                  <w:b w:val="0"/>
                  <w:bCs w:val="0"/>
                  <w:noProof/>
                  <w:webHidden/>
                  <w:sz w:val="20"/>
                  <w:szCs w:val="20"/>
                </w:rPr>
                <w:fldChar w:fldCharType="end"/>
              </w:r>
            </w:hyperlink>
          </w:p>
          <w:p w14:paraId="36578A10" w14:textId="3BF12E30" w:rsidR="00581331" w:rsidRPr="00581331" w:rsidRDefault="00581331">
            <w:pPr>
              <w:pStyle w:val="TOC1"/>
              <w:tabs>
                <w:tab w:val="right" w:leader="dot" w:pos="9350"/>
              </w:tabs>
              <w:rPr>
                <w:b w:val="0"/>
                <w:bCs w:val="0"/>
                <w:noProof/>
                <w:sz w:val="20"/>
                <w:szCs w:val="20"/>
                <w:lang w:eastAsia="en-US"/>
              </w:rPr>
            </w:pPr>
            <w:hyperlink w:anchor="_Toc37241667" w:history="1">
              <w:r w:rsidRPr="00581331">
                <w:rPr>
                  <w:rStyle w:val="Hyperlink"/>
                  <w:b w:val="0"/>
                  <w:bCs w:val="0"/>
                  <w:noProof/>
                  <w:sz w:val="20"/>
                  <w:szCs w:val="20"/>
                </w:rPr>
                <w:t>Quarterly Q&amp;A</w:t>
              </w:r>
              <w:r w:rsidRPr="00581331">
                <w:rPr>
                  <w:b w:val="0"/>
                  <w:bCs w:val="0"/>
                  <w:noProof/>
                  <w:webHidden/>
                  <w:sz w:val="20"/>
                  <w:szCs w:val="20"/>
                </w:rPr>
                <w:tab/>
              </w:r>
              <w:r w:rsidRPr="00581331">
                <w:rPr>
                  <w:b w:val="0"/>
                  <w:bCs w:val="0"/>
                  <w:noProof/>
                  <w:webHidden/>
                  <w:sz w:val="20"/>
                  <w:szCs w:val="20"/>
                </w:rPr>
                <w:fldChar w:fldCharType="begin"/>
              </w:r>
              <w:r w:rsidRPr="00581331">
                <w:rPr>
                  <w:b w:val="0"/>
                  <w:bCs w:val="0"/>
                  <w:noProof/>
                  <w:webHidden/>
                  <w:sz w:val="20"/>
                  <w:szCs w:val="20"/>
                </w:rPr>
                <w:instrText xml:space="preserve"> PAGEREF _Toc37241667 \h </w:instrText>
              </w:r>
              <w:r w:rsidRPr="00581331">
                <w:rPr>
                  <w:b w:val="0"/>
                  <w:bCs w:val="0"/>
                  <w:noProof/>
                  <w:webHidden/>
                  <w:sz w:val="20"/>
                  <w:szCs w:val="20"/>
                </w:rPr>
              </w:r>
              <w:r w:rsidRPr="00581331">
                <w:rPr>
                  <w:b w:val="0"/>
                  <w:bCs w:val="0"/>
                  <w:noProof/>
                  <w:webHidden/>
                  <w:sz w:val="20"/>
                  <w:szCs w:val="20"/>
                </w:rPr>
                <w:fldChar w:fldCharType="separate"/>
              </w:r>
              <w:r w:rsidR="00215574">
                <w:rPr>
                  <w:b w:val="0"/>
                  <w:bCs w:val="0"/>
                  <w:noProof/>
                  <w:webHidden/>
                  <w:sz w:val="20"/>
                  <w:szCs w:val="20"/>
                </w:rPr>
                <w:t>4</w:t>
              </w:r>
              <w:r w:rsidRPr="00581331">
                <w:rPr>
                  <w:b w:val="0"/>
                  <w:bCs w:val="0"/>
                  <w:noProof/>
                  <w:webHidden/>
                  <w:sz w:val="20"/>
                  <w:szCs w:val="20"/>
                </w:rPr>
                <w:fldChar w:fldCharType="end"/>
              </w:r>
            </w:hyperlink>
          </w:p>
          <w:p w14:paraId="1CC58F13" w14:textId="0038E417" w:rsidR="00B77AC2" w:rsidRPr="00326A75" w:rsidRDefault="00B77AC2" w:rsidP="009A2C1C">
            <w:pPr>
              <w:ind w:right="3996"/>
              <w:rPr>
                <w:rFonts w:ascii="Arial" w:hAnsi="Arial" w:cs="Arial"/>
                <w:sz w:val="20"/>
                <w:szCs w:val="20"/>
              </w:rPr>
            </w:pPr>
            <w:r w:rsidRPr="00326A75">
              <w:rPr>
                <w:rFonts w:ascii="Arial" w:hAnsi="Arial" w:cs="Arial"/>
                <w:sz w:val="20"/>
                <w:szCs w:val="20"/>
              </w:rPr>
              <w:fldChar w:fldCharType="end"/>
            </w:r>
          </w:p>
        </w:tc>
        <w:tc>
          <w:tcPr>
            <w:tcW w:w="3182" w:type="dxa"/>
          </w:tcPr>
          <w:p w14:paraId="620E970E" w14:textId="53ABEFFF" w:rsidR="00B77AC2" w:rsidRPr="00326A75" w:rsidRDefault="00B77AC2" w:rsidP="009A2C1C">
            <w:pPr>
              <w:pStyle w:val="IssueInfo"/>
              <w:ind w:right="3996"/>
              <w:rPr>
                <w:rFonts w:ascii="Arial" w:hAnsi="Arial" w:cs="Arial"/>
                <w:sz w:val="20"/>
                <w:szCs w:val="20"/>
              </w:rPr>
            </w:pPr>
            <w:r w:rsidRPr="00326A75">
              <w:rPr>
                <w:rFonts w:ascii="Arial" w:hAnsi="Arial" w:cs="Arial"/>
                <w:color w:val="FFFFFF" w:themeColor="background1"/>
                <w:sz w:val="20"/>
                <w:szCs w:val="20"/>
              </w:rPr>
              <w:sym w:font="Wingdings" w:char="F0A1"/>
            </w:r>
          </w:p>
        </w:tc>
      </w:tr>
    </w:tbl>
    <w:p w14:paraId="229FF456" w14:textId="77777777" w:rsidR="00581331" w:rsidRDefault="00581331" w:rsidP="00581331">
      <w:pPr>
        <w:pStyle w:val="Heading1"/>
        <w:rPr>
          <w:sz w:val="36"/>
          <w:szCs w:val="36"/>
        </w:rPr>
      </w:pPr>
      <w:bookmarkStart w:id="1" w:name="_Toc37241660"/>
      <w:bookmarkEnd w:id="0"/>
    </w:p>
    <w:p w14:paraId="0407E10A" w14:textId="02055BD0" w:rsidR="0020660C" w:rsidRPr="007F4CD4" w:rsidRDefault="00367FF9" w:rsidP="00581331">
      <w:pPr>
        <w:pStyle w:val="Heading1"/>
        <w:rPr>
          <w:sz w:val="52"/>
          <w:szCs w:val="52"/>
        </w:rPr>
        <w:sectPr w:rsidR="0020660C" w:rsidRPr="007F4CD4" w:rsidSect="002B4808">
          <w:footerReference w:type="default" r:id="rId10"/>
          <w:type w:val="continuous"/>
          <w:pgSz w:w="12240" w:h="15840" w:code="1"/>
          <w:pgMar w:top="1080" w:right="1440" w:bottom="1080" w:left="1440" w:header="720" w:footer="720" w:gutter="0"/>
          <w:cols w:space="720"/>
          <w:docGrid w:linePitch="360"/>
        </w:sectPr>
      </w:pPr>
      <w:r w:rsidRPr="007F4CD4">
        <w:rPr>
          <w:sz w:val="52"/>
          <w:szCs w:val="52"/>
        </w:rPr>
        <w:t>COVID-19 is the News of the Day</w:t>
      </w:r>
      <w:bookmarkEnd w:id="1"/>
    </w:p>
    <w:p w14:paraId="046125A0" w14:textId="77777777" w:rsidR="007F4CD4" w:rsidRDefault="007F4CD4" w:rsidP="00367FF9">
      <w:pPr>
        <w:spacing w:before="100" w:beforeAutospacing="1" w:after="100" w:afterAutospacing="1"/>
        <w:rPr>
          <w:rFonts w:ascii="Arial" w:eastAsia="Times New Roman" w:hAnsi="Arial" w:cs="Arial"/>
          <w:sz w:val="20"/>
          <w:szCs w:val="20"/>
          <w:lang w:eastAsia="en-US"/>
        </w:rPr>
      </w:pPr>
    </w:p>
    <w:p w14:paraId="7530C07E" w14:textId="0CA72C74" w:rsidR="00367FF9" w:rsidRPr="00367FF9" w:rsidRDefault="00367FF9" w:rsidP="00367FF9">
      <w:pPr>
        <w:spacing w:before="100" w:beforeAutospacing="1" w:after="100" w:afterAutospacing="1"/>
        <w:rPr>
          <w:rFonts w:ascii="Arial" w:eastAsia="Times New Roman" w:hAnsi="Arial" w:cs="Arial"/>
          <w:sz w:val="20"/>
          <w:szCs w:val="20"/>
          <w:lang w:eastAsia="en-US"/>
        </w:rPr>
      </w:pPr>
      <w:r w:rsidRPr="00367FF9">
        <w:rPr>
          <w:rFonts w:ascii="Arial" w:eastAsia="Times New Roman" w:hAnsi="Arial" w:cs="Arial"/>
          <w:sz w:val="20"/>
          <w:szCs w:val="20"/>
          <w:lang w:eastAsia="en-US"/>
        </w:rPr>
        <w:t xml:space="preserve">We are all facing unique and unprecedented challenges as the COVID-19 virus wreaks havoc on the health of people, and the economies of countries, worldwide. </w:t>
      </w:r>
    </w:p>
    <w:p w14:paraId="6A558F3E" w14:textId="70E366B5" w:rsidR="00367FF9" w:rsidRPr="00367FF9" w:rsidRDefault="00367FF9" w:rsidP="00367FF9">
      <w:pPr>
        <w:spacing w:before="100" w:beforeAutospacing="1" w:after="100" w:afterAutospacing="1"/>
        <w:rPr>
          <w:rFonts w:ascii="Arial" w:eastAsia="Times New Roman" w:hAnsi="Arial" w:cs="Arial"/>
          <w:sz w:val="20"/>
          <w:szCs w:val="20"/>
          <w:lang w:eastAsia="en-US"/>
        </w:rPr>
      </w:pPr>
      <w:r w:rsidRPr="00367FF9">
        <w:rPr>
          <w:rFonts w:ascii="Arial" w:eastAsia="Times New Roman" w:hAnsi="Arial" w:cs="Arial"/>
          <w:sz w:val="20"/>
          <w:szCs w:val="20"/>
          <w:lang w:eastAsia="en-US"/>
        </w:rPr>
        <w:t>There may never have been a time when employer provided benefits were more important than they are today. Along with financial worries, the ability to access, and afford, quality health care will be one of the biggest concerns</w:t>
      </w:r>
      <w:r w:rsidR="00AE4C42" w:rsidRPr="00547DAC">
        <w:rPr>
          <w:rFonts w:ascii="Arial" w:eastAsia="Times New Roman" w:hAnsi="Arial" w:cs="Arial"/>
          <w:sz w:val="20"/>
          <w:szCs w:val="20"/>
          <w:lang w:eastAsia="en-US"/>
        </w:rPr>
        <w:t xml:space="preserve"> that</w:t>
      </w:r>
      <w:r w:rsidRPr="00367FF9">
        <w:rPr>
          <w:rFonts w:ascii="Arial" w:eastAsia="Times New Roman" w:hAnsi="Arial" w:cs="Arial"/>
          <w:sz w:val="20"/>
          <w:szCs w:val="20"/>
          <w:lang w:eastAsia="en-US"/>
        </w:rPr>
        <w:t xml:space="preserve"> employees have as the pandemic unfolds. How employers deal with their employees’ concerns during these difficult times will have a lasting impact on the future success of the business.</w:t>
      </w:r>
    </w:p>
    <w:p w14:paraId="5B033A0B" w14:textId="60509AB3" w:rsidR="00547DAC" w:rsidRDefault="00547DAC" w:rsidP="00367FF9">
      <w:pPr>
        <w:spacing w:before="100" w:beforeAutospacing="1" w:after="100" w:afterAutospacing="1"/>
        <w:rPr>
          <w:rFonts w:ascii="Arial" w:hAnsi="Arial" w:cs="Arial"/>
          <w:b/>
          <w:bCs/>
          <w:sz w:val="20"/>
          <w:szCs w:val="20"/>
          <w:shd w:val="clear" w:color="auto" w:fill="FFFFFF"/>
        </w:rPr>
      </w:pPr>
      <w:r w:rsidRPr="00547DAC">
        <w:rPr>
          <w:rFonts w:ascii="Arial" w:hAnsi="Arial" w:cs="Arial"/>
          <w:sz w:val="20"/>
          <w:szCs w:val="20"/>
          <w:shd w:val="clear" w:color="auto" w:fill="FFFFFF"/>
        </w:rPr>
        <w:t>On March 17, 2020, Benefit Comply established a COVID-19 </w:t>
      </w:r>
      <w:r w:rsidRPr="00F96679">
        <w:rPr>
          <w:rFonts w:ascii="Arial" w:hAnsi="Arial" w:cs="Arial"/>
          <w:sz w:val="20"/>
          <w:szCs w:val="20"/>
          <w:bdr w:val="none" w:sz="0" w:space="0" w:color="auto" w:frame="1"/>
          <w:shd w:val="clear" w:color="auto" w:fill="FFFFFF"/>
        </w:rPr>
        <w:t>resource page</w:t>
      </w:r>
      <w:r w:rsidRPr="00547DAC">
        <w:rPr>
          <w:rFonts w:ascii="Arial" w:hAnsi="Arial" w:cs="Arial"/>
          <w:sz w:val="20"/>
          <w:szCs w:val="20"/>
          <w:shd w:val="clear" w:color="auto" w:fill="FFFFFF"/>
        </w:rPr>
        <w:t> in partnership with Guardian HR. Benefit Comply has provided employee benefit health and welfare plan compliance guidance to employers and the insurance industry for over 10 years. We have created this page to collect and share information and guidance related to the impact of the COVID-19 pandemic on employer-sponsored benefit plans. Guardian HR, our HR compliance partner, is also contributing valuable tools, content, and insight on COVID-19 related HR and employment law matters. </w:t>
      </w:r>
      <w:r w:rsidRPr="00162742">
        <w:rPr>
          <w:rFonts w:ascii="Arial" w:hAnsi="Arial" w:cs="Arial"/>
          <w:b/>
          <w:bCs/>
          <w:sz w:val="20"/>
          <w:szCs w:val="20"/>
          <w:shd w:val="clear" w:color="auto" w:fill="FFFFFF"/>
        </w:rPr>
        <w:t>We</w:t>
      </w:r>
      <w:r w:rsidR="00FB44D6" w:rsidRPr="00162742">
        <w:rPr>
          <w:rFonts w:ascii="Arial" w:hAnsi="Arial" w:cs="Arial"/>
          <w:b/>
          <w:bCs/>
          <w:sz w:val="20"/>
          <w:szCs w:val="20"/>
          <w:shd w:val="clear" w:color="auto" w:fill="FFFFFF"/>
        </w:rPr>
        <w:t xml:space="preserve"> have already added a number of COVID-19 </w:t>
      </w:r>
      <w:r w:rsidR="00162742" w:rsidRPr="00162742">
        <w:rPr>
          <w:rFonts w:ascii="Arial" w:hAnsi="Arial" w:cs="Arial"/>
          <w:b/>
          <w:bCs/>
          <w:sz w:val="20"/>
          <w:szCs w:val="20"/>
          <w:shd w:val="clear" w:color="auto" w:fill="FFFFFF"/>
        </w:rPr>
        <w:t xml:space="preserve">related issue briefs, alerts and FAQs and will continue to </w:t>
      </w:r>
      <w:r w:rsidRPr="00162742">
        <w:rPr>
          <w:rFonts w:ascii="Arial" w:hAnsi="Arial" w:cs="Arial"/>
          <w:b/>
          <w:bCs/>
          <w:sz w:val="20"/>
          <w:szCs w:val="20"/>
          <w:shd w:val="clear" w:color="auto" w:fill="FFFFFF"/>
        </w:rPr>
        <w:t>regularly update this information as the situation evolves.</w:t>
      </w:r>
    </w:p>
    <w:p w14:paraId="00938247" w14:textId="327015FA" w:rsidR="00AE4C42" w:rsidRPr="00547DAC" w:rsidRDefault="00AE4C42" w:rsidP="00AE4C42">
      <w:pPr>
        <w:spacing w:before="100" w:beforeAutospacing="1" w:after="100" w:afterAutospacing="1"/>
        <w:rPr>
          <w:rFonts w:ascii="Arial" w:eastAsia="Times New Roman" w:hAnsi="Arial" w:cs="Arial"/>
          <w:sz w:val="20"/>
          <w:szCs w:val="20"/>
          <w:lang w:eastAsia="en-US"/>
        </w:rPr>
      </w:pPr>
      <w:r w:rsidRPr="00547DAC">
        <w:rPr>
          <w:rFonts w:ascii="Arial" w:eastAsia="Times New Roman" w:hAnsi="Arial" w:cs="Arial"/>
          <w:sz w:val="20"/>
          <w:szCs w:val="20"/>
          <w:lang w:eastAsia="en-US"/>
        </w:rPr>
        <w:t>If you have not already, we encourage you to visit our site for resources that will help you navigate these complex and unprecedented issues.</w:t>
      </w:r>
      <w:r w:rsidR="00424FAB" w:rsidRPr="00547DAC">
        <w:rPr>
          <w:rFonts w:ascii="Arial" w:eastAsia="Times New Roman" w:hAnsi="Arial" w:cs="Arial"/>
          <w:sz w:val="20"/>
          <w:szCs w:val="20"/>
          <w:lang w:eastAsia="en-US"/>
        </w:rPr>
        <w:t xml:space="preserve"> </w:t>
      </w:r>
    </w:p>
    <w:p w14:paraId="57943041" w14:textId="77777777" w:rsidR="0031707C" w:rsidRPr="00F96679" w:rsidRDefault="0031707C" w:rsidP="0031707C">
      <w:pPr>
        <w:spacing w:before="100" w:beforeAutospacing="1" w:after="100" w:afterAutospacing="1"/>
        <w:rPr>
          <w:rFonts w:ascii="Arial" w:hAnsi="Arial" w:cs="Arial"/>
          <w:sz w:val="20"/>
          <w:szCs w:val="20"/>
          <w:shd w:val="clear" w:color="auto" w:fill="FFFFFF"/>
        </w:rPr>
      </w:pPr>
      <w:r w:rsidRPr="00F96679">
        <w:rPr>
          <w:rFonts w:ascii="Arial" w:hAnsi="Arial" w:cs="Arial"/>
          <w:sz w:val="20"/>
          <w:szCs w:val="20"/>
          <w:shd w:val="clear" w:color="auto" w:fill="FFFFFF"/>
        </w:rPr>
        <w:t xml:space="preserve">You may access our resource page here: </w:t>
      </w:r>
      <w:hyperlink r:id="rId11" w:history="1">
        <w:r w:rsidRPr="00F96679">
          <w:rPr>
            <w:rStyle w:val="Hyperlink"/>
            <w:rFonts w:ascii="Arial" w:hAnsi="Arial" w:cs="Arial"/>
            <w:sz w:val="20"/>
            <w:szCs w:val="20"/>
            <w:shd w:val="clear" w:color="auto" w:fill="FFFFFF"/>
          </w:rPr>
          <w:t>https://benefitcomply.com/coronavirus/</w:t>
        </w:r>
      </w:hyperlink>
    </w:p>
    <w:p w14:paraId="7FDF6B9F" w14:textId="0B297D4E" w:rsidR="00C65FEF" w:rsidRPr="00326A75" w:rsidRDefault="00C65FEF" w:rsidP="00C65FEF">
      <w:pPr>
        <w:shd w:val="clear" w:color="auto" w:fill="FFFFFF"/>
        <w:spacing w:after="360" w:line="360" w:lineRule="auto"/>
        <w:jc w:val="both"/>
        <w:textAlignment w:val="baseline"/>
        <w:rPr>
          <w:rFonts w:ascii="Arial" w:eastAsia="Times New Roman" w:hAnsi="Arial" w:cs="Arial"/>
          <w:color w:val="000000" w:themeColor="text1"/>
          <w:sz w:val="20"/>
          <w:szCs w:val="20"/>
        </w:rPr>
      </w:pPr>
    </w:p>
    <w:p w14:paraId="51B8C65E" w14:textId="77777777" w:rsidR="00367FF9" w:rsidRPr="00326A75" w:rsidRDefault="00367FF9" w:rsidP="00C65FEF">
      <w:pPr>
        <w:shd w:val="clear" w:color="auto" w:fill="FFFFFF"/>
        <w:spacing w:after="360" w:line="360" w:lineRule="auto"/>
        <w:jc w:val="both"/>
        <w:textAlignment w:val="baseline"/>
        <w:rPr>
          <w:rFonts w:ascii="Arial" w:eastAsia="Times New Roman" w:hAnsi="Arial" w:cs="Arial"/>
          <w:color w:val="000000" w:themeColor="text1"/>
          <w:sz w:val="20"/>
          <w:szCs w:val="20"/>
        </w:rPr>
      </w:pPr>
    </w:p>
    <w:p w14:paraId="76D60277" w14:textId="55714FDF" w:rsidR="00367FF9" w:rsidRDefault="00367FF9" w:rsidP="00C65FEF">
      <w:pPr>
        <w:shd w:val="clear" w:color="auto" w:fill="FFFFFF"/>
        <w:spacing w:after="360" w:line="360" w:lineRule="auto"/>
        <w:jc w:val="both"/>
        <w:textAlignment w:val="baseline"/>
        <w:rPr>
          <w:rFonts w:ascii="Arial" w:eastAsia="Times New Roman" w:hAnsi="Arial" w:cs="Arial"/>
          <w:color w:val="000000" w:themeColor="text1"/>
          <w:sz w:val="20"/>
          <w:szCs w:val="20"/>
        </w:rPr>
      </w:pPr>
    </w:p>
    <w:p w14:paraId="495B0E12" w14:textId="72EDAA78" w:rsidR="004120F7" w:rsidRPr="00581331" w:rsidRDefault="00D65FCB" w:rsidP="00581331">
      <w:pPr>
        <w:pStyle w:val="Heading1"/>
        <w:rPr>
          <w:sz w:val="36"/>
          <w:szCs w:val="36"/>
        </w:rPr>
      </w:pPr>
      <w:bookmarkStart w:id="2" w:name="_Toc37241661"/>
      <w:r w:rsidRPr="00581331">
        <w:rPr>
          <w:sz w:val="36"/>
          <w:szCs w:val="36"/>
        </w:rPr>
        <w:lastRenderedPageBreak/>
        <w:t>In Other News…</w:t>
      </w:r>
      <w:bookmarkEnd w:id="2"/>
    </w:p>
    <w:bookmarkStart w:id="3" w:name="_Toc27560137"/>
    <w:bookmarkStart w:id="4" w:name="_Toc37241662"/>
    <w:p w14:paraId="0D2107E5" w14:textId="5DE422C8" w:rsidR="000F4E7A" w:rsidRDefault="00BA32D5" w:rsidP="0082150F">
      <w:pPr>
        <w:pStyle w:val="Heading2"/>
        <w:numPr>
          <w:ilvl w:val="0"/>
          <w:numId w:val="0"/>
        </w:numPr>
        <w:spacing w:line="276" w:lineRule="auto"/>
        <w:rPr>
          <w:i/>
          <w:iCs/>
        </w:rPr>
      </w:pPr>
      <w:r w:rsidRPr="00593C4D">
        <w:rPr>
          <w:noProof/>
        </w:rPr>
        <mc:AlternateContent>
          <mc:Choice Requires="wps">
            <w:drawing>
              <wp:anchor distT="0" distB="0" distL="114300" distR="114300" simplePos="0" relativeHeight="251697152" behindDoc="0" locked="0" layoutInCell="1" allowOverlap="1" wp14:anchorId="14F2463B" wp14:editId="290F68CE">
                <wp:simplePos x="0" y="0"/>
                <wp:positionH relativeFrom="column">
                  <wp:posOffset>3582035</wp:posOffset>
                </wp:positionH>
                <wp:positionV relativeFrom="paragraph">
                  <wp:posOffset>227965</wp:posOffset>
                </wp:positionV>
                <wp:extent cx="3008630" cy="799211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7992110"/>
                        </a:xfrm>
                        <a:prstGeom prst="rect">
                          <a:avLst/>
                        </a:prstGeom>
                        <a:solidFill>
                          <a:schemeClr val="accent4">
                            <a:lumMod val="20000"/>
                            <a:lumOff val="80000"/>
                          </a:schemeClr>
                        </a:solidFill>
                        <a:ln w="6350">
                          <a:noFill/>
                        </a:ln>
                      </wps:spPr>
                      <wps:txb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5D0AD7EB" w14:textId="5FFC5BB4" w:rsidR="00BA32D5" w:rsidRPr="00F1367B" w:rsidRDefault="00A215D9" w:rsidP="00A215D9">
                            <w:pPr>
                              <w:pStyle w:val="ListParagraph"/>
                              <w:numPr>
                                <w:ilvl w:val="0"/>
                                <w:numId w:val="33"/>
                              </w:numPr>
                              <w:spacing w:line="360" w:lineRule="auto"/>
                              <w:rPr>
                                <w:rFonts w:ascii="Arial" w:eastAsia="Times New Roman" w:hAnsi="Arial" w:cs="Arial"/>
                                <w:color w:val="000000" w:themeColor="text1"/>
                                <w:sz w:val="18"/>
                                <w:szCs w:val="18"/>
                                <w:lang w:eastAsia="en-US"/>
                              </w:rPr>
                            </w:pPr>
                            <w:r w:rsidRPr="00F1367B">
                              <w:rPr>
                                <w:rFonts w:ascii="Arial" w:eastAsia="Times New Roman" w:hAnsi="Arial" w:cs="Arial"/>
                                <w:color w:val="000000" w:themeColor="text1"/>
                                <w:sz w:val="18"/>
                                <w:szCs w:val="18"/>
                                <w:lang w:eastAsia="en-US"/>
                              </w:rPr>
                              <w:t>On January 17</w:t>
                            </w:r>
                            <w:r w:rsidRPr="00F1367B">
                              <w:rPr>
                                <w:rFonts w:ascii="Arial" w:eastAsia="Times New Roman" w:hAnsi="Arial" w:cs="Arial"/>
                                <w:color w:val="000000" w:themeColor="text1"/>
                                <w:sz w:val="18"/>
                                <w:szCs w:val="18"/>
                                <w:vertAlign w:val="superscript"/>
                                <w:lang w:eastAsia="en-US"/>
                              </w:rPr>
                              <w:t>th</w:t>
                            </w:r>
                            <w:r w:rsidRPr="00F1367B">
                              <w:rPr>
                                <w:rFonts w:ascii="Arial" w:eastAsia="Times New Roman" w:hAnsi="Arial" w:cs="Arial"/>
                                <w:color w:val="000000" w:themeColor="text1"/>
                                <w:sz w:val="18"/>
                                <w:szCs w:val="18"/>
                                <w:lang w:eastAsia="en-US"/>
                              </w:rPr>
                              <w:t>, the Supreme Court agreed to hear an appeal related to the contraceptive mandates filed by the Little Sisters of the Poor and the Trump Administration. Specifically, the appeal is requesting a ruling stating “that the executive branch has the authority to interpret the Religious Freedom Restoration Act (RFRA) and exempt religious objectors from generally applicable legal obligations if those regulations pose a potential RFRA violation.” Click </w:t>
                            </w:r>
                            <w:hyperlink r:id="rId12" w:history="1">
                              <w:r w:rsidRPr="00F1367B">
                                <w:rPr>
                                  <w:rStyle w:val="Hyperlink"/>
                                  <w:rFonts w:ascii="Arial" w:eastAsia="Times New Roman" w:hAnsi="Arial" w:cs="Arial"/>
                                  <w:sz w:val="18"/>
                                  <w:szCs w:val="18"/>
                                  <w:lang w:eastAsia="en-US"/>
                                </w:rPr>
                                <w:t>here</w:t>
                              </w:r>
                            </w:hyperlink>
                            <w:r w:rsidRPr="00F1367B">
                              <w:rPr>
                                <w:rFonts w:ascii="Arial" w:eastAsia="Times New Roman" w:hAnsi="Arial" w:cs="Arial"/>
                                <w:color w:val="000000" w:themeColor="text1"/>
                                <w:sz w:val="18"/>
                                <w:szCs w:val="18"/>
                                <w:lang w:eastAsia="en-US"/>
                              </w:rPr>
                              <w:t> for additional information.</w:t>
                            </w:r>
                          </w:p>
                          <w:p w14:paraId="6F56F329" w14:textId="77777777" w:rsidR="00DE49AD" w:rsidRPr="00F1367B" w:rsidRDefault="00DE49AD" w:rsidP="00DE49AD">
                            <w:pPr>
                              <w:pStyle w:val="ListParagraph"/>
                              <w:spacing w:line="360" w:lineRule="auto"/>
                              <w:rPr>
                                <w:rFonts w:ascii="Arial" w:eastAsia="Times New Roman" w:hAnsi="Arial" w:cs="Arial"/>
                                <w:color w:val="000000" w:themeColor="text1"/>
                                <w:sz w:val="18"/>
                                <w:szCs w:val="18"/>
                                <w:lang w:eastAsia="en-US"/>
                              </w:rPr>
                            </w:pPr>
                          </w:p>
                          <w:p w14:paraId="0FD86329" w14:textId="3EA01476" w:rsidR="007845E3" w:rsidRPr="00F1367B" w:rsidRDefault="00DE49AD" w:rsidP="00F1367B">
                            <w:pPr>
                              <w:pStyle w:val="ListParagraph"/>
                              <w:numPr>
                                <w:ilvl w:val="0"/>
                                <w:numId w:val="33"/>
                              </w:numPr>
                              <w:spacing w:after="0" w:line="360" w:lineRule="auto"/>
                              <w:rPr>
                                <w:rFonts w:ascii="Arial" w:eastAsia="Times New Roman" w:hAnsi="Arial" w:cs="Arial"/>
                                <w:color w:val="000000" w:themeColor="text1"/>
                                <w:sz w:val="18"/>
                                <w:szCs w:val="18"/>
                                <w:lang w:eastAsia="en-US"/>
                              </w:rPr>
                            </w:pPr>
                            <w:r w:rsidRPr="00F1367B">
                              <w:rPr>
                                <w:rFonts w:ascii="Arial" w:eastAsia="Times New Roman" w:hAnsi="Arial" w:cs="Arial"/>
                                <w:color w:val="000000" w:themeColor="text1"/>
                                <w:sz w:val="18"/>
                                <w:szCs w:val="18"/>
                                <w:lang w:eastAsia="en-US"/>
                              </w:rPr>
                              <w:t>On February 3, </w:t>
                            </w:r>
                            <w:hyperlink r:id="rId13" w:history="1">
                              <w:r w:rsidRPr="00F1367B">
                                <w:rPr>
                                  <w:rStyle w:val="Hyperlink"/>
                                  <w:rFonts w:ascii="Arial" w:eastAsia="Times New Roman" w:hAnsi="Arial" w:cs="Arial"/>
                                  <w:sz w:val="18"/>
                                  <w:szCs w:val="18"/>
                                  <w:lang w:eastAsia="en-US"/>
                                </w:rPr>
                                <w:t>FAQS About Affordable Care Act Implementation Part 41</w:t>
                              </w:r>
                            </w:hyperlink>
                            <w:r w:rsidRPr="00F1367B">
                              <w:rPr>
                                <w:rFonts w:ascii="Arial" w:eastAsia="Times New Roman" w:hAnsi="Arial" w:cs="Arial"/>
                                <w:color w:val="000000" w:themeColor="text1"/>
                                <w:sz w:val="18"/>
                                <w:szCs w:val="18"/>
                                <w:lang w:eastAsia="en-US"/>
                              </w:rPr>
                              <w:t> was released by the Departments (Health and Human Services, Department of Labor, and the Treasury). The new FAQ specifically addresses recent updates to the SBC template, instructions, and calculator.</w:t>
                            </w:r>
                          </w:p>
                          <w:p w14:paraId="6DFCA1CF" w14:textId="77777777" w:rsidR="007845E3" w:rsidRPr="00F1367B" w:rsidRDefault="007845E3" w:rsidP="007845E3">
                            <w:pPr>
                              <w:pStyle w:val="ListParagraph"/>
                              <w:spacing w:line="360" w:lineRule="auto"/>
                              <w:rPr>
                                <w:rFonts w:ascii="Arial" w:eastAsia="Times New Roman" w:hAnsi="Arial" w:cs="Arial"/>
                                <w:color w:val="000000" w:themeColor="text1"/>
                                <w:sz w:val="18"/>
                                <w:szCs w:val="18"/>
                                <w:lang w:eastAsia="en-US"/>
                              </w:rPr>
                            </w:pPr>
                          </w:p>
                          <w:p w14:paraId="4F7E0781" w14:textId="371FC410" w:rsidR="00005732" w:rsidRPr="00F1367B" w:rsidRDefault="007845E3" w:rsidP="007845E3">
                            <w:pPr>
                              <w:pStyle w:val="ListParagraph"/>
                              <w:numPr>
                                <w:ilvl w:val="0"/>
                                <w:numId w:val="33"/>
                              </w:numPr>
                              <w:spacing w:after="0"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The IRS recently released a </w:t>
                            </w:r>
                            <w:hyperlink r:id="rId14" w:history="1">
                              <w:r w:rsidRPr="00F1367B">
                                <w:rPr>
                                  <w:rStyle w:val="Hyperlink"/>
                                  <w:rFonts w:ascii="Arial" w:eastAsia="Times New Roman" w:hAnsi="Arial" w:cs="Arial"/>
                                  <w:sz w:val="18"/>
                                  <w:szCs w:val="18"/>
                                </w:rPr>
                                <w:t>private letter ruling</w:t>
                              </w:r>
                            </w:hyperlink>
                            <w:r w:rsidRPr="00F1367B">
                              <w:rPr>
                                <w:rFonts w:ascii="Arial" w:eastAsia="Times New Roman" w:hAnsi="Arial" w:cs="Arial"/>
                                <w:color w:val="000000" w:themeColor="text1"/>
                                <w:sz w:val="18"/>
                                <w:szCs w:val="18"/>
                              </w:rPr>
                              <w:t> confirming that dependent care assistance accounts are subject to the irrevocability requirement under Section 125 of the tax code. The ruling further confirmed that while an employer is allowed to permit an employee to make changes to their elections midyear if they experience one of a number of permitted events, the employer is not required to permit midyear election changes due to these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463B" id="Text Box 1" o:spid="_x0000_s1028" type="#_x0000_t202" style="position:absolute;margin-left:282.05pt;margin-top:17.95pt;width:236.9pt;height:62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" fillcolor="#dfeef2 [663]" stroked="f" strokeweight=".5pt">
                <v:textbo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5D0AD7EB" w14:textId="5FFC5BB4" w:rsidR="00BA32D5" w:rsidRPr="00F1367B" w:rsidRDefault="00A215D9" w:rsidP="00A215D9">
                      <w:pPr>
                        <w:pStyle w:val="ListParagraph"/>
                        <w:numPr>
                          <w:ilvl w:val="0"/>
                          <w:numId w:val="33"/>
                        </w:numPr>
                        <w:spacing w:line="360" w:lineRule="auto"/>
                        <w:rPr>
                          <w:rFonts w:ascii="Arial" w:eastAsia="Times New Roman" w:hAnsi="Arial" w:cs="Arial"/>
                          <w:color w:val="000000" w:themeColor="text1"/>
                          <w:sz w:val="18"/>
                          <w:szCs w:val="18"/>
                          <w:lang w:eastAsia="en-US"/>
                        </w:rPr>
                      </w:pPr>
                      <w:r w:rsidRPr="00F1367B">
                        <w:rPr>
                          <w:rFonts w:ascii="Arial" w:eastAsia="Times New Roman" w:hAnsi="Arial" w:cs="Arial"/>
                          <w:color w:val="000000" w:themeColor="text1"/>
                          <w:sz w:val="18"/>
                          <w:szCs w:val="18"/>
                          <w:lang w:eastAsia="en-US"/>
                        </w:rPr>
                        <w:t>On January 17</w:t>
                      </w:r>
                      <w:r w:rsidRPr="00F1367B">
                        <w:rPr>
                          <w:rFonts w:ascii="Arial" w:eastAsia="Times New Roman" w:hAnsi="Arial" w:cs="Arial"/>
                          <w:color w:val="000000" w:themeColor="text1"/>
                          <w:sz w:val="18"/>
                          <w:szCs w:val="18"/>
                          <w:vertAlign w:val="superscript"/>
                          <w:lang w:eastAsia="en-US"/>
                        </w:rPr>
                        <w:t>th</w:t>
                      </w:r>
                      <w:r w:rsidRPr="00F1367B">
                        <w:rPr>
                          <w:rFonts w:ascii="Arial" w:eastAsia="Times New Roman" w:hAnsi="Arial" w:cs="Arial"/>
                          <w:color w:val="000000" w:themeColor="text1"/>
                          <w:sz w:val="18"/>
                          <w:szCs w:val="18"/>
                          <w:lang w:eastAsia="en-US"/>
                        </w:rPr>
                        <w:t>, the Supreme Court agreed to hear an appeal related to the contraceptive mandates filed by the Little Sisters of the Poor and the Trump Administration. Specifically, the appeal is requesting a ruling stating “that the executive branch has the authority to interpret the Religious Freedom Restoration Act (RFRA) and exempt religious objectors from generally applicable legal obligations if those regulations pose a potential RFRA violation.” Click </w:t>
                      </w:r>
                      <w:hyperlink r:id="rId15" w:history="1">
                        <w:r w:rsidRPr="00F1367B">
                          <w:rPr>
                            <w:rStyle w:val="Hyperlink"/>
                            <w:rFonts w:ascii="Arial" w:eastAsia="Times New Roman" w:hAnsi="Arial" w:cs="Arial"/>
                            <w:sz w:val="18"/>
                            <w:szCs w:val="18"/>
                            <w:lang w:eastAsia="en-US"/>
                          </w:rPr>
                          <w:t>here</w:t>
                        </w:r>
                      </w:hyperlink>
                      <w:r w:rsidRPr="00F1367B">
                        <w:rPr>
                          <w:rFonts w:ascii="Arial" w:eastAsia="Times New Roman" w:hAnsi="Arial" w:cs="Arial"/>
                          <w:color w:val="000000" w:themeColor="text1"/>
                          <w:sz w:val="18"/>
                          <w:szCs w:val="18"/>
                          <w:lang w:eastAsia="en-US"/>
                        </w:rPr>
                        <w:t> for additional information.</w:t>
                      </w:r>
                    </w:p>
                    <w:p w14:paraId="6F56F329" w14:textId="77777777" w:rsidR="00DE49AD" w:rsidRPr="00F1367B" w:rsidRDefault="00DE49AD" w:rsidP="00DE49AD">
                      <w:pPr>
                        <w:pStyle w:val="ListParagraph"/>
                        <w:spacing w:line="360" w:lineRule="auto"/>
                        <w:rPr>
                          <w:rFonts w:ascii="Arial" w:eastAsia="Times New Roman" w:hAnsi="Arial" w:cs="Arial"/>
                          <w:color w:val="000000" w:themeColor="text1"/>
                          <w:sz w:val="18"/>
                          <w:szCs w:val="18"/>
                          <w:lang w:eastAsia="en-US"/>
                        </w:rPr>
                      </w:pPr>
                    </w:p>
                    <w:p w14:paraId="0FD86329" w14:textId="3EA01476" w:rsidR="007845E3" w:rsidRPr="00F1367B" w:rsidRDefault="00DE49AD" w:rsidP="00F1367B">
                      <w:pPr>
                        <w:pStyle w:val="ListParagraph"/>
                        <w:numPr>
                          <w:ilvl w:val="0"/>
                          <w:numId w:val="33"/>
                        </w:numPr>
                        <w:spacing w:after="0" w:line="360" w:lineRule="auto"/>
                        <w:rPr>
                          <w:rFonts w:ascii="Arial" w:eastAsia="Times New Roman" w:hAnsi="Arial" w:cs="Arial"/>
                          <w:color w:val="000000" w:themeColor="text1"/>
                          <w:sz w:val="18"/>
                          <w:szCs w:val="18"/>
                          <w:lang w:eastAsia="en-US"/>
                        </w:rPr>
                      </w:pPr>
                      <w:r w:rsidRPr="00F1367B">
                        <w:rPr>
                          <w:rFonts w:ascii="Arial" w:eastAsia="Times New Roman" w:hAnsi="Arial" w:cs="Arial"/>
                          <w:color w:val="000000" w:themeColor="text1"/>
                          <w:sz w:val="18"/>
                          <w:szCs w:val="18"/>
                          <w:lang w:eastAsia="en-US"/>
                        </w:rPr>
                        <w:t>On February 3, </w:t>
                      </w:r>
                      <w:hyperlink r:id="rId16" w:history="1">
                        <w:r w:rsidRPr="00F1367B">
                          <w:rPr>
                            <w:rStyle w:val="Hyperlink"/>
                            <w:rFonts w:ascii="Arial" w:eastAsia="Times New Roman" w:hAnsi="Arial" w:cs="Arial"/>
                            <w:sz w:val="18"/>
                            <w:szCs w:val="18"/>
                            <w:lang w:eastAsia="en-US"/>
                          </w:rPr>
                          <w:t>FAQS About Affordable Care Act Implementation Part 41</w:t>
                        </w:r>
                      </w:hyperlink>
                      <w:r w:rsidRPr="00F1367B">
                        <w:rPr>
                          <w:rFonts w:ascii="Arial" w:eastAsia="Times New Roman" w:hAnsi="Arial" w:cs="Arial"/>
                          <w:color w:val="000000" w:themeColor="text1"/>
                          <w:sz w:val="18"/>
                          <w:szCs w:val="18"/>
                          <w:lang w:eastAsia="en-US"/>
                        </w:rPr>
                        <w:t> was released by the Departments (Health and Human Services, Department of Labor, and the Treasury). The new FAQ specifically addresses recent updates to the SBC template, instructions, and calculator.</w:t>
                      </w:r>
                    </w:p>
                    <w:p w14:paraId="6DFCA1CF" w14:textId="77777777" w:rsidR="007845E3" w:rsidRPr="00F1367B" w:rsidRDefault="007845E3" w:rsidP="007845E3">
                      <w:pPr>
                        <w:pStyle w:val="ListParagraph"/>
                        <w:spacing w:line="360" w:lineRule="auto"/>
                        <w:rPr>
                          <w:rFonts w:ascii="Arial" w:eastAsia="Times New Roman" w:hAnsi="Arial" w:cs="Arial"/>
                          <w:color w:val="000000" w:themeColor="text1"/>
                          <w:sz w:val="18"/>
                          <w:szCs w:val="18"/>
                          <w:lang w:eastAsia="en-US"/>
                        </w:rPr>
                      </w:pPr>
                    </w:p>
                    <w:p w14:paraId="4F7E0781" w14:textId="371FC410" w:rsidR="00005732" w:rsidRPr="00F1367B" w:rsidRDefault="007845E3" w:rsidP="007845E3">
                      <w:pPr>
                        <w:pStyle w:val="ListParagraph"/>
                        <w:numPr>
                          <w:ilvl w:val="0"/>
                          <w:numId w:val="33"/>
                        </w:numPr>
                        <w:spacing w:after="0"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The IRS recently released a </w:t>
                      </w:r>
                      <w:hyperlink r:id="rId17" w:history="1">
                        <w:r w:rsidRPr="00F1367B">
                          <w:rPr>
                            <w:rStyle w:val="Hyperlink"/>
                            <w:rFonts w:ascii="Arial" w:eastAsia="Times New Roman" w:hAnsi="Arial" w:cs="Arial"/>
                            <w:sz w:val="18"/>
                            <w:szCs w:val="18"/>
                          </w:rPr>
                          <w:t>private letter ruling</w:t>
                        </w:r>
                      </w:hyperlink>
                      <w:r w:rsidRPr="00F1367B">
                        <w:rPr>
                          <w:rFonts w:ascii="Arial" w:eastAsia="Times New Roman" w:hAnsi="Arial" w:cs="Arial"/>
                          <w:color w:val="000000" w:themeColor="text1"/>
                          <w:sz w:val="18"/>
                          <w:szCs w:val="18"/>
                        </w:rPr>
                        <w:t> confirming that dependent care assistance accounts are subject to the irrevocability requirement under Section 125 of the tax code. The ruling further confirmed that while an employer is allowed to permit an employee to make changes to their elections midyear if they experience one of a number of permitted events, the employer is not required to permit midyear election changes due to these events.</w:t>
                      </w:r>
                    </w:p>
                  </w:txbxContent>
                </v:textbox>
                <w10:wrap type="square"/>
              </v:shape>
            </w:pict>
          </mc:Fallback>
        </mc:AlternateContent>
      </w:r>
      <w:r w:rsidR="00C65FEF" w:rsidRPr="00593C4D">
        <w:rPr>
          <w:i/>
          <w:iCs/>
        </w:rPr>
        <w:br/>
      </w:r>
      <w:r w:rsidR="005C01C7" w:rsidRPr="00593C4D">
        <w:rPr>
          <w:i/>
          <w:iCs/>
        </w:rPr>
        <w:t>Recap of</w:t>
      </w:r>
      <w:r w:rsidR="00AE4C42" w:rsidRPr="00593C4D">
        <w:rPr>
          <w:i/>
          <w:iCs/>
        </w:rPr>
        <w:t xml:space="preserve"> Other</w:t>
      </w:r>
      <w:r w:rsidR="005C01C7" w:rsidRPr="00593C4D">
        <w:rPr>
          <w:i/>
          <w:iCs/>
        </w:rPr>
        <w:t xml:space="preserve"> </w:t>
      </w:r>
      <w:r w:rsidR="00AE4C42" w:rsidRPr="00593C4D">
        <w:rPr>
          <w:i/>
          <w:iCs/>
        </w:rPr>
        <w:t>1st</w:t>
      </w:r>
      <w:r w:rsidR="005C01C7" w:rsidRPr="00593C4D">
        <w:rPr>
          <w:i/>
          <w:iCs/>
        </w:rPr>
        <w:t xml:space="preserve"> Quarter Issue Briefs and Alerts</w:t>
      </w:r>
      <w:bookmarkEnd w:id="3"/>
      <w:bookmarkEnd w:id="4"/>
    </w:p>
    <w:p w14:paraId="1417387D" w14:textId="77777777" w:rsidR="0082150F" w:rsidRPr="007F4CD4" w:rsidRDefault="0082150F" w:rsidP="0082150F">
      <w:pPr>
        <w:rPr>
          <w:lang w:eastAsia="en-US"/>
        </w:rPr>
      </w:pPr>
    </w:p>
    <w:p w14:paraId="005BD291" w14:textId="45789E3C" w:rsidR="00D77C5D" w:rsidRPr="007F4CD4" w:rsidRDefault="00D77C5D" w:rsidP="00593C4D">
      <w:pPr>
        <w:pStyle w:val="Heading2"/>
        <w:numPr>
          <w:ilvl w:val="0"/>
          <w:numId w:val="0"/>
        </w:numPr>
        <w:shd w:val="clear" w:color="auto" w:fill="FFFFFF"/>
        <w:spacing w:after="120" w:line="276" w:lineRule="auto"/>
        <w:rPr>
          <w:rStyle w:val="Strong"/>
          <w:b/>
          <w:bCs/>
          <w:color w:val="333333"/>
          <w:spacing w:val="0"/>
        </w:rPr>
      </w:pPr>
      <w:bookmarkStart w:id="5" w:name="_Toc37241663"/>
      <w:r w:rsidRPr="007F4CD4">
        <w:rPr>
          <w:rStyle w:val="Strong"/>
          <w:b/>
          <w:bCs/>
          <w:color w:val="333333"/>
          <w:spacing w:val="0"/>
        </w:rPr>
        <w:t>Minimum Essential Coverage (MEC) / Skinny Plans</w:t>
      </w:r>
      <w:bookmarkEnd w:id="5"/>
    </w:p>
    <w:p w14:paraId="3F5B38EA" w14:textId="47B4DE59" w:rsidR="00AB4EFB" w:rsidRPr="00593C4D" w:rsidRDefault="00AB4EFB" w:rsidP="00593C4D">
      <w:pPr>
        <w:shd w:val="clear" w:color="auto" w:fill="FFFFFF"/>
        <w:spacing w:before="100" w:beforeAutospacing="1" w:after="100" w:afterAutospacing="1" w:line="276" w:lineRule="auto"/>
        <w:rPr>
          <w:rFonts w:ascii="Arial" w:eastAsia="Times New Roman" w:hAnsi="Arial" w:cs="Arial"/>
          <w:color w:val="3D3D3D"/>
          <w:sz w:val="20"/>
          <w:szCs w:val="20"/>
          <w:lang w:eastAsia="en-US"/>
        </w:rPr>
      </w:pPr>
      <w:r w:rsidRPr="00AB4EFB">
        <w:rPr>
          <w:rFonts w:ascii="Arial" w:eastAsia="Times New Roman" w:hAnsi="Arial" w:cs="Arial"/>
          <w:color w:val="3D3D3D"/>
          <w:sz w:val="20"/>
          <w:szCs w:val="20"/>
          <w:lang w:eastAsia="en-US"/>
        </w:rPr>
        <w:t>Minimum essential coverage (MEC) plans have become synonymous with “skinny plans.” Yet virtually all employer-sponsored major medical plans satisfy the criteria for MEC under the ACA – not just skinny or limited medical plans. Most MEC plans are considered to provide minimum value under the ACA (i.e., at least a 60% actuarial value). Although this latter category of MEC plans is more limited in the coverage provided, it is important to keep in mind that most group health plan statutes and regulations still apply to them in the same way as they do to more robust major medical plans.</w:t>
      </w:r>
    </w:p>
    <w:p w14:paraId="6F50B028" w14:textId="0F08D56F" w:rsidR="00373911" w:rsidRPr="00593C4D" w:rsidRDefault="002D4C25" w:rsidP="00593C4D">
      <w:pPr>
        <w:spacing w:line="276" w:lineRule="auto"/>
        <w:rPr>
          <w:rFonts w:ascii="Arial" w:hAnsi="Arial" w:cs="Arial"/>
          <w:color w:val="000000" w:themeColor="text1"/>
          <w:sz w:val="20"/>
          <w:szCs w:val="20"/>
        </w:rPr>
      </w:pPr>
      <w:r w:rsidRPr="00593C4D">
        <w:rPr>
          <w:rFonts w:ascii="Arial" w:hAnsi="Arial" w:cs="Arial"/>
          <w:color w:val="000000" w:themeColor="text1"/>
          <w:sz w:val="20"/>
          <w:szCs w:val="20"/>
        </w:rPr>
        <w:t>More here:</w:t>
      </w:r>
      <w:r w:rsidRPr="00593C4D">
        <w:rPr>
          <w:rFonts w:ascii="Arial" w:hAnsi="Arial" w:cs="Arial"/>
          <w:b/>
          <w:bCs/>
          <w:color w:val="000000" w:themeColor="text1"/>
          <w:sz w:val="20"/>
          <w:szCs w:val="20"/>
        </w:rPr>
        <w:t xml:space="preserve"> </w:t>
      </w:r>
      <w:hyperlink r:id="rId18" w:history="1">
        <w:r w:rsidR="007C5F9B" w:rsidRPr="00593C4D">
          <w:rPr>
            <w:rStyle w:val="Hyperlink"/>
            <w:rFonts w:ascii="Arial" w:hAnsi="Arial" w:cs="Arial"/>
            <w:sz w:val="20"/>
            <w:szCs w:val="20"/>
          </w:rPr>
          <w:t>https://benefitcomply.com/issue-brief-minimum-essential-coverage-mec-skinny-plans/</w:t>
        </w:r>
      </w:hyperlink>
    </w:p>
    <w:p w14:paraId="60F0CA6E" w14:textId="77777777" w:rsidR="00326A75" w:rsidRPr="00593C4D" w:rsidRDefault="00326A75" w:rsidP="00593C4D">
      <w:pPr>
        <w:spacing w:line="276" w:lineRule="auto"/>
        <w:rPr>
          <w:rFonts w:ascii="Arial" w:hAnsi="Arial" w:cs="Arial"/>
          <w:color w:val="000000" w:themeColor="text1"/>
          <w:sz w:val="20"/>
          <w:szCs w:val="20"/>
        </w:rPr>
      </w:pPr>
    </w:p>
    <w:p w14:paraId="048005E9" w14:textId="77777777" w:rsidR="00326A75" w:rsidRPr="007F4CD4" w:rsidRDefault="00326A75" w:rsidP="00593C4D">
      <w:pPr>
        <w:pStyle w:val="Heading2"/>
        <w:numPr>
          <w:ilvl w:val="0"/>
          <w:numId w:val="0"/>
        </w:numPr>
        <w:shd w:val="clear" w:color="auto" w:fill="FFFFFF"/>
        <w:spacing w:after="120" w:line="276" w:lineRule="auto"/>
        <w:ind w:left="360" w:hanging="360"/>
        <w:rPr>
          <w:color w:val="333333"/>
          <w:spacing w:val="0"/>
        </w:rPr>
      </w:pPr>
      <w:bookmarkStart w:id="6" w:name="_Toc37241664"/>
      <w:r w:rsidRPr="007F4CD4">
        <w:rPr>
          <w:rStyle w:val="Strong"/>
          <w:b/>
          <w:bCs/>
          <w:color w:val="333333"/>
          <w:spacing w:val="0"/>
        </w:rPr>
        <w:t>Break in Service Rules</w:t>
      </w:r>
      <w:bookmarkEnd w:id="6"/>
    </w:p>
    <w:p w14:paraId="33FC4EBC" w14:textId="33C878EB" w:rsidR="00044AD3" w:rsidRPr="00593C4D" w:rsidRDefault="006721C5" w:rsidP="00593C4D">
      <w:pPr>
        <w:spacing w:line="276" w:lineRule="auto"/>
        <w:rPr>
          <w:rFonts w:ascii="Arial" w:hAnsi="Arial" w:cs="Arial"/>
          <w:color w:val="000000" w:themeColor="text1"/>
          <w:sz w:val="20"/>
          <w:szCs w:val="20"/>
          <w:shd w:val="clear" w:color="auto" w:fill="FFFFFF"/>
        </w:rPr>
      </w:pPr>
      <w:r w:rsidRPr="00593C4D">
        <w:rPr>
          <w:rFonts w:ascii="Arial" w:hAnsi="Arial" w:cs="Arial"/>
          <w:color w:val="3D3D3D"/>
          <w:sz w:val="20"/>
          <w:szCs w:val="20"/>
          <w:shd w:val="clear" w:color="auto" w:fill="FFFFFF"/>
        </w:rPr>
        <w:t xml:space="preserve">When employees return to work following a leave of absence or are rehired following a termination of employment, employers must determine how to handle benefit eligibility. For small employers (fewer than 50 FTEs), benefit eligibility is handled in accordance with the plan eligibility rules. In many cases, employees are subject to a new waiting period unless the plan eligibility rules contain a rehire provision allowing for a waiver of the waiting period upon returning to work. However, applicable large employers must follow §4980H break in service rules, at least for medical coverage, to avoid potential penalties. </w:t>
      </w:r>
    </w:p>
    <w:p w14:paraId="628D168D" w14:textId="77777777" w:rsidR="00C65FEF" w:rsidRPr="00593C4D" w:rsidRDefault="00C65FEF" w:rsidP="00593C4D">
      <w:pPr>
        <w:spacing w:line="276" w:lineRule="auto"/>
        <w:rPr>
          <w:rFonts w:ascii="Arial" w:hAnsi="Arial" w:cs="Arial"/>
          <w:color w:val="000000" w:themeColor="text1"/>
          <w:sz w:val="20"/>
          <w:szCs w:val="20"/>
          <w:shd w:val="clear" w:color="auto" w:fill="FFFFFF"/>
        </w:rPr>
        <w:sectPr w:rsidR="00C65FEF" w:rsidRPr="00593C4D" w:rsidSect="002B4808">
          <w:type w:val="continuous"/>
          <w:pgSz w:w="12240" w:h="15840" w:code="1"/>
          <w:pgMar w:top="1080" w:right="1440" w:bottom="1080" w:left="1440" w:header="720" w:footer="720" w:gutter="0"/>
          <w:cols w:space="720"/>
          <w:docGrid w:linePitch="360"/>
        </w:sectPr>
      </w:pPr>
    </w:p>
    <w:p w14:paraId="0F61BE26" w14:textId="77777777" w:rsidR="00326A75" w:rsidRPr="00593C4D" w:rsidRDefault="00326A75" w:rsidP="00593C4D">
      <w:pPr>
        <w:spacing w:line="276" w:lineRule="auto"/>
        <w:rPr>
          <w:rFonts w:ascii="Arial" w:hAnsi="Arial" w:cs="Arial"/>
          <w:color w:val="000000" w:themeColor="text1"/>
          <w:sz w:val="20"/>
          <w:szCs w:val="20"/>
          <w:shd w:val="clear" w:color="auto" w:fill="FFFFFF"/>
        </w:rPr>
      </w:pPr>
    </w:p>
    <w:p w14:paraId="1C75CD5F" w14:textId="40AEF2A9" w:rsidR="002D4C25" w:rsidRDefault="002D4C25" w:rsidP="00593C4D">
      <w:pPr>
        <w:spacing w:line="276" w:lineRule="auto"/>
      </w:pPr>
      <w:r w:rsidRPr="00593C4D">
        <w:rPr>
          <w:rFonts w:ascii="Arial" w:hAnsi="Arial" w:cs="Arial"/>
          <w:color w:val="000000" w:themeColor="text1"/>
          <w:sz w:val="20"/>
          <w:szCs w:val="20"/>
          <w:shd w:val="clear" w:color="auto" w:fill="FFFFFF"/>
        </w:rPr>
        <w:t xml:space="preserve">More here: </w:t>
      </w:r>
      <w:hyperlink r:id="rId19" w:history="1">
        <w:r w:rsidR="0010069B">
          <w:rPr>
            <w:rStyle w:val="Hyperlink"/>
          </w:rPr>
          <w:t>https://benefitcomply.com/issue-brief-break-in-service-rules/</w:t>
        </w:r>
      </w:hyperlink>
    </w:p>
    <w:p w14:paraId="12A00CBF" w14:textId="77777777" w:rsidR="0010069B" w:rsidRPr="00593C4D" w:rsidRDefault="0010069B" w:rsidP="00593C4D">
      <w:pPr>
        <w:spacing w:line="276" w:lineRule="auto"/>
        <w:rPr>
          <w:rFonts w:ascii="Arial" w:hAnsi="Arial" w:cs="Arial"/>
          <w:color w:val="000000" w:themeColor="text1"/>
          <w:sz w:val="20"/>
          <w:szCs w:val="20"/>
          <w:shd w:val="clear" w:color="auto" w:fill="FFFFFF"/>
        </w:rPr>
      </w:pPr>
    </w:p>
    <w:p w14:paraId="031ED4D6" w14:textId="3340EB0F" w:rsidR="00D65FCB" w:rsidRDefault="00D65FCB" w:rsidP="00593C4D">
      <w:pPr>
        <w:spacing w:after="160" w:line="276" w:lineRule="auto"/>
        <w:rPr>
          <w:rFonts w:ascii="Arial" w:hAnsi="Arial" w:cs="Arial"/>
          <w:b/>
          <w:bCs/>
          <w:color w:val="000000" w:themeColor="text1"/>
          <w:sz w:val="20"/>
          <w:szCs w:val="20"/>
        </w:rPr>
      </w:pPr>
    </w:p>
    <w:p w14:paraId="5C866089" w14:textId="2A32498D" w:rsidR="00D65FCB" w:rsidRDefault="00D65FCB" w:rsidP="00593C4D">
      <w:pPr>
        <w:spacing w:after="160" w:line="276" w:lineRule="auto"/>
        <w:rPr>
          <w:rFonts w:ascii="Arial" w:hAnsi="Arial" w:cs="Arial"/>
          <w:b/>
          <w:bCs/>
          <w:color w:val="000000" w:themeColor="text1"/>
          <w:sz w:val="20"/>
          <w:szCs w:val="20"/>
        </w:rPr>
      </w:pPr>
    </w:p>
    <w:p w14:paraId="663C81A2" w14:textId="3A4614C5" w:rsidR="00D65FCB" w:rsidRDefault="00D65FCB" w:rsidP="00593C4D">
      <w:pPr>
        <w:spacing w:after="160" w:line="276" w:lineRule="auto"/>
        <w:rPr>
          <w:rFonts w:ascii="Arial" w:hAnsi="Arial" w:cs="Arial"/>
          <w:b/>
          <w:bCs/>
          <w:color w:val="000000" w:themeColor="text1"/>
          <w:sz w:val="20"/>
          <w:szCs w:val="20"/>
        </w:rPr>
      </w:pPr>
    </w:p>
    <w:p w14:paraId="2D979924" w14:textId="2BDAD02C" w:rsidR="00D65FCB" w:rsidRDefault="00D65FCB" w:rsidP="00593C4D">
      <w:pPr>
        <w:spacing w:after="160" w:line="276" w:lineRule="auto"/>
        <w:rPr>
          <w:rFonts w:ascii="Arial" w:hAnsi="Arial" w:cs="Arial"/>
          <w:b/>
          <w:bCs/>
          <w:color w:val="000000" w:themeColor="text1"/>
          <w:sz w:val="20"/>
          <w:szCs w:val="20"/>
        </w:rPr>
      </w:pPr>
    </w:p>
    <w:p w14:paraId="0470F683" w14:textId="7CADC0D9" w:rsidR="00D65FCB" w:rsidRDefault="00D65FCB" w:rsidP="00593C4D">
      <w:pPr>
        <w:spacing w:after="160" w:line="276" w:lineRule="auto"/>
        <w:rPr>
          <w:rFonts w:ascii="Arial" w:hAnsi="Arial" w:cs="Arial"/>
          <w:b/>
          <w:bCs/>
          <w:color w:val="000000" w:themeColor="text1"/>
          <w:sz w:val="20"/>
          <w:szCs w:val="20"/>
        </w:rPr>
      </w:pPr>
    </w:p>
    <w:p w14:paraId="30CC4D0E" w14:textId="77777777" w:rsidR="00D65FCB" w:rsidRDefault="00D65FCB" w:rsidP="00593C4D">
      <w:pPr>
        <w:spacing w:after="160" w:line="276" w:lineRule="auto"/>
        <w:rPr>
          <w:rFonts w:ascii="Arial" w:hAnsi="Arial" w:cs="Arial"/>
          <w:b/>
          <w:bCs/>
          <w:color w:val="000000" w:themeColor="text1"/>
          <w:sz w:val="20"/>
          <w:szCs w:val="20"/>
        </w:rPr>
      </w:pPr>
    </w:p>
    <w:p w14:paraId="5EB49A8B" w14:textId="1AE53E4E" w:rsidR="001D3A41" w:rsidRPr="00593C4D" w:rsidRDefault="00581331" w:rsidP="00593C4D">
      <w:pPr>
        <w:spacing w:after="160" w:line="276" w:lineRule="auto"/>
        <w:rPr>
          <w:rFonts w:ascii="Arial" w:hAnsi="Arial" w:cs="Arial"/>
          <w:color w:val="000000" w:themeColor="text1"/>
          <w:sz w:val="20"/>
          <w:szCs w:val="20"/>
        </w:rPr>
      </w:pPr>
      <w:r w:rsidRPr="00593C4D">
        <w:rPr>
          <w:rFonts w:ascii="Arial" w:hAnsi="Arial" w:cs="Arial"/>
          <w:noProof/>
          <w:sz w:val="20"/>
          <w:szCs w:val="20"/>
        </w:rPr>
        <w:lastRenderedPageBreak/>
        <mc:AlternateContent>
          <mc:Choice Requires="wps">
            <w:drawing>
              <wp:anchor distT="0" distB="0" distL="114300" distR="114300" simplePos="0" relativeHeight="251699200" behindDoc="0" locked="0" layoutInCell="1" allowOverlap="1" wp14:anchorId="2755F615" wp14:editId="0DE70CD5">
                <wp:simplePos x="0" y="0"/>
                <wp:positionH relativeFrom="column">
                  <wp:posOffset>3575050</wp:posOffset>
                </wp:positionH>
                <wp:positionV relativeFrom="paragraph">
                  <wp:posOffset>417</wp:posOffset>
                </wp:positionV>
                <wp:extent cx="3025140" cy="6711950"/>
                <wp:effectExtent l="0" t="0" r="3810" b="0"/>
                <wp:wrapSquare wrapText="bothSides"/>
                <wp:docPr id="3" name="Text Box 3"/>
                <wp:cNvGraphicFramePr/>
                <a:graphic xmlns:a="http://schemas.openxmlformats.org/drawingml/2006/main">
                  <a:graphicData uri="http://schemas.microsoft.com/office/word/2010/wordprocessingShape">
                    <wps:wsp>
                      <wps:cNvSpPr txBox="1"/>
                      <wps:spPr>
                        <a:xfrm>
                          <a:off x="0" y="0"/>
                          <a:ext cx="3025140" cy="6711950"/>
                        </a:xfrm>
                        <a:prstGeom prst="rect">
                          <a:avLst/>
                        </a:prstGeom>
                        <a:solidFill>
                          <a:schemeClr val="accent4">
                            <a:lumMod val="20000"/>
                            <a:lumOff val="80000"/>
                          </a:schemeClr>
                        </a:solidFill>
                        <a:ln w="6350">
                          <a:noFill/>
                        </a:ln>
                      </wps:spPr>
                      <wps:txbx>
                        <w:txbxContent>
                          <w:p w14:paraId="52051B41" w14:textId="202388B2" w:rsidR="00BA32D5" w:rsidRPr="00F1367B" w:rsidRDefault="00BA32D5" w:rsidP="003C6AE1">
                            <w:pPr>
                              <w:spacing w:line="276" w:lineRule="auto"/>
                              <w:rPr>
                                <w:rFonts w:ascii="Arial" w:hAnsi="Arial" w:cs="Arial"/>
                                <w:sz w:val="18"/>
                                <w:szCs w:val="18"/>
                              </w:rPr>
                            </w:pPr>
                            <w:r w:rsidRPr="003C6AE1">
                              <w:rPr>
                                <w:rFonts w:ascii="Arial" w:hAnsi="Arial" w:cs="Arial"/>
                                <w:b/>
                                <w:bCs/>
                                <w:color w:val="0070C0"/>
                                <w:sz w:val="26"/>
                                <w:szCs w:val="26"/>
                              </w:rPr>
                              <w:br/>
                            </w:r>
                            <w:r w:rsidRPr="00F1367B">
                              <w:rPr>
                                <w:rFonts w:ascii="Arial" w:hAnsi="Arial" w:cs="Arial"/>
                                <w:b/>
                                <w:bCs/>
                                <w:color w:val="0070C0"/>
                                <w:sz w:val="18"/>
                                <w:szCs w:val="18"/>
                              </w:rPr>
                              <w:t>BENEFITS NEWS HIGHLIGHTS</w:t>
                            </w:r>
                            <w:r w:rsidRPr="00F1367B">
                              <w:rPr>
                                <w:rFonts w:ascii="Arial" w:hAnsi="Arial" w:cs="Arial"/>
                                <w:b/>
                                <w:bCs/>
                                <w:color w:val="0070C0"/>
                                <w:sz w:val="18"/>
                                <w:szCs w:val="18"/>
                              </w:rPr>
                              <w:br/>
                            </w:r>
                          </w:p>
                          <w:p w14:paraId="4323F9C3" w14:textId="2C7DFD05" w:rsidR="003C6AE1" w:rsidRPr="00F1367B" w:rsidRDefault="00F01CA5" w:rsidP="00F1367B">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Click </w:t>
                            </w:r>
                            <w:hyperlink r:id="rId20" w:history="1">
                              <w:r w:rsidRPr="00F1367B">
                                <w:rPr>
                                  <w:rStyle w:val="Hyperlink"/>
                                  <w:rFonts w:ascii="Arial" w:eastAsia="Times New Roman" w:hAnsi="Arial" w:cs="Arial"/>
                                  <w:sz w:val="18"/>
                                  <w:szCs w:val="18"/>
                                </w:rPr>
                                <w:t>here</w:t>
                              </w:r>
                            </w:hyperlink>
                            <w:r w:rsidRPr="00F1367B">
                              <w:rPr>
                                <w:rFonts w:ascii="Arial" w:eastAsia="Times New Roman" w:hAnsi="Arial" w:cs="Arial"/>
                                <w:color w:val="000000" w:themeColor="text1"/>
                                <w:sz w:val="18"/>
                                <w:szCs w:val="18"/>
                              </w:rPr>
                              <w:t> for an article discussing “several district court decisions from 2019 that involve mental health treatment claims, including recent cases addressing the interaction between ERISA and mental health parity statutes.”</w:t>
                            </w:r>
                          </w:p>
                          <w:p w14:paraId="78606954" w14:textId="77777777" w:rsidR="0063763B" w:rsidRPr="00F1367B" w:rsidRDefault="0063763B" w:rsidP="0063763B">
                            <w:pPr>
                              <w:pStyle w:val="ListParagraph"/>
                              <w:spacing w:line="360" w:lineRule="auto"/>
                              <w:jc w:val="both"/>
                              <w:rPr>
                                <w:rFonts w:ascii="Arial" w:eastAsia="Times New Roman" w:hAnsi="Arial" w:cs="Arial"/>
                                <w:color w:val="000000" w:themeColor="text1"/>
                                <w:sz w:val="18"/>
                                <w:szCs w:val="18"/>
                              </w:rPr>
                            </w:pPr>
                          </w:p>
                          <w:p w14:paraId="50E1C97A" w14:textId="6D7534C4" w:rsidR="00D666CB" w:rsidRPr="00F1367B" w:rsidRDefault="00783703" w:rsidP="00D666CB">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On February 21, 2020 the IRS released </w:t>
                            </w:r>
                            <w:hyperlink r:id="rId21" w:history="1">
                              <w:r w:rsidRPr="00F1367B">
                                <w:rPr>
                                  <w:rStyle w:val="Hyperlink"/>
                                  <w:rFonts w:ascii="Arial" w:eastAsia="Times New Roman" w:hAnsi="Arial" w:cs="Arial"/>
                                  <w:sz w:val="18"/>
                                  <w:szCs w:val="18"/>
                                </w:rPr>
                                <w:t>Memorandum 20200801F</w:t>
                              </w:r>
                            </w:hyperlink>
                            <w:r w:rsidRPr="00F1367B">
                              <w:rPr>
                                <w:rFonts w:ascii="Arial" w:eastAsia="Times New Roman" w:hAnsi="Arial" w:cs="Arial"/>
                                <w:color w:val="000000" w:themeColor="text1"/>
                                <w:sz w:val="18"/>
                                <w:szCs w:val="18"/>
                              </w:rPr>
                              <w:t>, in which it concludes that penalties due by employers under §4980H (the employer</w:t>
                            </w:r>
                            <w:r w:rsidR="00D666CB" w:rsidRPr="00F1367B">
                              <w:rPr>
                                <w:rFonts w:ascii="Arial" w:eastAsia="Times New Roman" w:hAnsi="Arial" w:cs="Arial"/>
                                <w:color w:val="000000" w:themeColor="text1"/>
                                <w:sz w:val="18"/>
                                <w:szCs w:val="18"/>
                              </w:rPr>
                              <w:t xml:space="preserve"> </w:t>
                            </w:r>
                            <w:r w:rsidRPr="00F1367B">
                              <w:rPr>
                                <w:rFonts w:ascii="Arial" w:eastAsia="Times New Roman" w:hAnsi="Arial" w:cs="Arial"/>
                                <w:color w:val="000000" w:themeColor="text1"/>
                                <w:sz w:val="18"/>
                                <w:szCs w:val="18"/>
                              </w:rPr>
                              <w:t>mandate) are not subject to any statute of limitations.</w:t>
                            </w:r>
                          </w:p>
                          <w:p w14:paraId="6C35393D" w14:textId="77777777" w:rsidR="00D666CB" w:rsidRPr="00F1367B" w:rsidRDefault="00D666CB" w:rsidP="00D666CB">
                            <w:pPr>
                              <w:pStyle w:val="ListParagraph"/>
                              <w:spacing w:before="240" w:after="0" w:line="360" w:lineRule="auto"/>
                              <w:rPr>
                                <w:rFonts w:ascii="Arial" w:eastAsia="Times New Roman" w:hAnsi="Arial" w:cs="Arial"/>
                                <w:color w:val="000000" w:themeColor="text1"/>
                                <w:sz w:val="18"/>
                                <w:szCs w:val="18"/>
                              </w:rPr>
                            </w:pPr>
                          </w:p>
                          <w:p w14:paraId="108FE754" w14:textId="744AADE3" w:rsidR="00D666CB" w:rsidRPr="00F1367B" w:rsidRDefault="00D666CB" w:rsidP="00783703">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The Kaiser Family Foundation released </w:t>
                            </w:r>
                            <w:hyperlink r:id="rId22" w:history="1">
                              <w:r w:rsidRPr="00F1367B">
                                <w:rPr>
                                  <w:rStyle w:val="Hyperlink"/>
                                  <w:rFonts w:ascii="Arial" w:eastAsia="Times New Roman" w:hAnsi="Arial" w:cs="Arial"/>
                                  <w:sz w:val="18"/>
                                  <w:szCs w:val="18"/>
                                </w:rPr>
                                <w:t>10 FAQs on Prescription Drug Importation</w:t>
                              </w:r>
                            </w:hyperlink>
                            <w:r w:rsidRPr="00F1367B">
                              <w:rPr>
                                <w:rFonts w:ascii="Arial" w:eastAsia="Times New Roman" w:hAnsi="Arial" w:cs="Arial"/>
                                <w:color w:val="000000" w:themeColor="text1"/>
                                <w:sz w:val="18"/>
                                <w:szCs w:val="18"/>
                              </w:rPr>
                              <w:t xml:space="preserve"> on February 24, 2020.</w:t>
                            </w:r>
                          </w:p>
                          <w:p w14:paraId="77537047" w14:textId="77777777" w:rsidR="00C92D7B" w:rsidRPr="00F1367B" w:rsidRDefault="00C92D7B" w:rsidP="00C92D7B">
                            <w:pPr>
                              <w:pStyle w:val="ListParagraph"/>
                              <w:rPr>
                                <w:rFonts w:ascii="Arial" w:eastAsia="Times New Roman" w:hAnsi="Arial" w:cs="Arial"/>
                                <w:color w:val="000000" w:themeColor="text1"/>
                                <w:sz w:val="18"/>
                                <w:szCs w:val="18"/>
                              </w:rPr>
                            </w:pPr>
                          </w:p>
                          <w:p w14:paraId="6FFDD14D" w14:textId="17C9804C" w:rsidR="00C92D7B" w:rsidRPr="00F1367B" w:rsidRDefault="00C92D7B" w:rsidP="00783703">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In January of 2019 we asked, “How far do employer plan sponsors have to go to effectively disclose breaches of fiduciary duty?” This was in response to the Ninth Circuit Court of Appeals’ decision to reverse a district court’s grant of summary judgment in favor of an ERISA plan sponsor in </w:t>
                            </w:r>
                            <w:proofErr w:type="spellStart"/>
                            <w:r w:rsidRPr="00F1367B">
                              <w:rPr>
                                <w:rFonts w:ascii="Arial" w:eastAsia="Times New Roman" w:hAnsi="Arial" w:cs="Arial"/>
                                <w:color w:val="000000" w:themeColor="text1"/>
                                <w:sz w:val="18"/>
                                <w:szCs w:val="18"/>
                              </w:rPr>
                              <w:t>Sulym</w:t>
                            </w:r>
                            <w:proofErr w:type="spellEnd"/>
                            <w:r w:rsidRPr="00F1367B">
                              <w:rPr>
                                <w:rFonts w:ascii="Arial" w:eastAsia="Times New Roman" w:hAnsi="Arial" w:cs="Arial"/>
                                <w:color w:val="000000" w:themeColor="text1"/>
                                <w:sz w:val="18"/>
                                <w:szCs w:val="18"/>
                              </w:rPr>
                              <w:t xml:space="preserve"> v. Intel Corporation Investment Policy Committee. On February 26, 2020 the Supreme Court weighed in on the question and affirmed the Ninth Circuit’s finding that “actual knowledge” means plaintiff must actually be aware of the information. However, the Court did clarify that a plan sponsor’s evidence of disclosure is still relevant to proving actual knowledge.</w:t>
                            </w:r>
                          </w:p>
                          <w:p w14:paraId="7FD4F9F0" w14:textId="77777777" w:rsidR="007073A2" w:rsidRPr="007073A2" w:rsidRDefault="007073A2" w:rsidP="007073A2">
                            <w:pPr>
                              <w:pStyle w:val="ListParagraph"/>
                              <w:rPr>
                                <w:rFonts w:ascii="Times New Roman" w:eastAsia="Times New Roman" w:hAnsi="Times New Roman" w:cs="Times New Roman"/>
                                <w:color w:val="000000" w:themeColor="text1"/>
                              </w:rPr>
                            </w:pPr>
                          </w:p>
                          <w:p w14:paraId="54F2C0A2" w14:textId="77777777" w:rsidR="007073A2" w:rsidRDefault="007073A2" w:rsidP="00C92D7B">
                            <w:pPr>
                              <w:pStyle w:val="ListParagraph"/>
                              <w:spacing w:line="360" w:lineRule="auto"/>
                              <w:rPr>
                                <w:rFonts w:ascii="Times New Roman" w:eastAsia="Times New Roman" w:hAnsi="Times New Roman" w:cs="Times New Roman"/>
                                <w:color w:val="000000" w:themeColor="text1"/>
                              </w:rPr>
                            </w:pPr>
                          </w:p>
                          <w:p w14:paraId="278B5183" w14:textId="77777777" w:rsidR="000A6609" w:rsidRDefault="000A6609" w:rsidP="000A6609">
                            <w:pPr>
                              <w:pStyle w:val="ListParagraph"/>
                              <w:spacing w:line="360" w:lineRule="auto"/>
                              <w:jc w:val="both"/>
                              <w:rPr>
                                <w:rFonts w:ascii="Times New Roman" w:eastAsia="Times New Roman" w:hAnsi="Times New Roman" w:cs="Times New Roman"/>
                                <w:color w:val="000000" w:themeColor="text1"/>
                              </w:rPr>
                            </w:pPr>
                          </w:p>
                          <w:p w14:paraId="07F3B9F6" w14:textId="05E427EE" w:rsidR="003C6AE1" w:rsidRPr="003C6AE1" w:rsidRDefault="003C6AE1" w:rsidP="003C6AE1">
                            <w:pPr>
                              <w:spacing w:line="360" w:lineRule="auto"/>
                              <w:ind w:left="720"/>
                              <w:rPr>
                                <w:rFonts w:ascii="Times New Roman" w:eastAsia="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5F615" id="Text Box 3" o:spid="_x0000_s1029" type="#_x0000_t202" style="position:absolute;margin-left:281.5pt;margin-top:.05pt;width:238.2pt;height:5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" fillcolor="#dfeef2 [663]" stroked="f" strokeweight=".5pt">
                <v:textbox>
                  <w:txbxContent>
                    <w:p w14:paraId="52051B41" w14:textId="202388B2" w:rsidR="00BA32D5" w:rsidRPr="00F1367B" w:rsidRDefault="00BA32D5" w:rsidP="003C6AE1">
                      <w:pPr>
                        <w:spacing w:line="276" w:lineRule="auto"/>
                        <w:rPr>
                          <w:rFonts w:ascii="Arial" w:hAnsi="Arial" w:cs="Arial"/>
                          <w:sz w:val="18"/>
                          <w:szCs w:val="18"/>
                        </w:rPr>
                      </w:pPr>
                      <w:r w:rsidRPr="003C6AE1">
                        <w:rPr>
                          <w:rFonts w:ascii="Arial" w:hAnsi="Arial" w:cs="Arial"/>
                          <w:b/>
                          <w:bCs/>
                          <w:color w:val="0070C0"/>
                          <w:sz w:val="26"/>
                          <w:szCs w:val="26"/>
                        </w:rPr>
                        <w:br/>
                      </w:r>
                      <w:r w:rsidRPr="00F1367B">
                        <w:rPr>
                          <w:rFonts w:ascii="Arial" w:hAnsi="Arial" w:cs="Arial"/>
                          <w:b/>
                          <w:bCs/>
                          <w:color w:val="0070C0"/>
                          <w:sz w:val="18"/>
                          <w:szCs w:val="18"/>
                        </w:rPr>
                        <w:t>BENEFITS NEWS HIGHLIGHTS</w:t>
                      </w:r>
                      <w:r w:rsidRPr="00F1367B">
                        <w:rPr>
                          <w:rFonts w:ascii="Arial" w:hAnsi="Arial" w:cs="Arial"/>
                          <w:b/>
                          <w:bCs/>
                          <w:color w:val="0070C0"/>
                          <w:sz w:val="18"/>
                          <w:szCs w:val="18"/>
                        </w:rPr>
                        <w:br/>
                      </w:r>
                    </w:p>
                    <w:p w14:paraId="4323F9C3" w14:textId="2C7DFD05" w:rsidR="003C6AE1" w:rsidRPr="00F1367B" w:rsidRDefault="00F01CA5" w:rsidP="00F1367B">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Click </w:t>
                      </w:r>
                      <w:hyperlink r:id="rId23" w:history="1">
                        <w:r w:rsidRPr="00F1367B">
                          <w:rPr>
                            <w:rStyle w:val="Hyperlink"/>
                            <w:rFonts w:ascii="Arial" w:eastAsia="Times New Roman" w:hAnsi="Arial" w:cs="Arial"/>
                            <w:sz w:val="18"/>
                            <w:szCs w:val="18"/>
                          </w:rPr>
                          <w:t>here</w:t>
                        </w:r>
                      </w:hyperlink>
                      <w:r w:rsidRPr="00F1367B">
                        <w:rPr>
                          <w:rFonts w:ascii="Arial" w:eastAsia="Times New Roman" w:hAnsi="Arial" w:cs="Arial"/>
                          <w:color w:val="000000" w:themeColor="text1"/>
                          <w:sz w:val="18"/>
                          <w:szCs w:val="18"/>
                        </w:rPr>
                        <w:t> for an article discussing “several district court decisions from 2019 that involve mental health treatment claims, including recent cases addressing the interaction between ERISA and mental health parity statutes.”</w:t>
                      </w:r>
                    </w:p>
                    <w:p w14:paraId="78606954" w14:textId="77777777" w:rsidR="0063763B" w:rsidRPr="00F1367B" w:rsidRDefault="0063763B" w:rsidP="0063763B">
                      <w:pPr>
                        <w:pStyle w:val="ListParagraph"/>
                        <w:spacing w:line="360" w:lineRule="auto"/>
                        <w:jc w:val="both"/>
                        <w:rPr>
                          <w:rFonts w:ascii="Arial" w:eastAsia="Times New Roman" w:hAnsi="Arial" w:cs="Arial"/>
                          <w:color w:val="000000" w:themeColor="text1"/>
                          <w:sz w:val="18"/>
                          <w:szCs w:val="18"/>
                        </w:rPr>
                      </w:pPr>
                    </w:p>
                    <w:p w14:paraId="50E1C97A" w14:textId="6D7534C4" w:rsidR="00D666CB" w:rsidRPr="00F1367B" w:rsidRDefault="00783703" w:rsidP="00D666CB">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On February 21, 2020 the IRS released </w:t>
                      </w:r>
                      <w:hyperlink r:id="rId24" w:history="1">
                        <w:r w:rsidRPr="00F1367B">
                          <w:rPr>
                            <w:rStyle w:val="Hyperlink"/>
                            <w:rFonts w:ascii="Arial" w:eastAsia="Times New Roman" w:hAnsi="Arial" w:cs="Arial"/>
                            <w:sz w:val="18"/>
                            <w:szCs w:val="18"/>
                          </w:rPr>
                          <w:t>Memorandum 20200801F</w:t>
                        </w:r>
                      </w:hyperlink>
                      <w:r w:rsidRPr="00F1367B">
                        <w:rPr>
                          <w:rFonts w:ascii="Arial" w:eastAsia="Times New Roman" w:hAnsi="Arial" w:cs="Arial"/>
                          <w:color w:val="000000" w:themeColor="text1"/>
                          <w:sz w:val="18"/>
                          <w:szCs w:val="18"/>
                        </w:rPr>
                        <w:t>, in which it concludes that penalties due by employers under §4980H (the employer</w:t>
                      </w:r>
                      <w:r w:rsidR="00D666CB" w:rsidRPr="00F1367B">
                        <w:rPr>
                          <w:rFonts w:ascii="Arial" w:eastAsia="Times New Roman" w:hAnsi="Arial" w:cs="Arial"/>
                          <w:color w:val="000000" w:themeColor="text1"/>
                          <w:sz w:val="18"/>
                          <w:szCs w:val="18"/>
                        </w:rPr>
                        <w:t xml:space="preserve"> </w:t>
                      </w:r>
                      <w:r w:rsidRPr="00F1367B">
                        <w:rPr>
                          <w:rFonts w:ascii="Arial" w:eastAsia="Times New Roman" w:hAnsi="Arial" w:cs="Arial"/>
                          <w:color w:val="000000" w:themeColor="text1"/>
                          <w:sz w:val="18"/>
                          <w:szCs w:val="18"/>
                        </w:rPr>
                        <w:t>mandate) are not subject to any statute of limitations.</w:t>
                      </w:r>
                    </w:p>
                    <w:p w14:paraId="6C35393D" w14:textId="77777777" w:rsidR="00D666CB" w:rsidRPr="00F1367B" w:rsidRDefault="00D666CB" w:rsidP="00D666CB">
                      <w:pPr>
                        <w:pStyle w:val="ListParagraph"/>
                        <w:spacing w:before="240" w:after="0" w:line="360" w:lineRule="auto"/>
                        <w:rPr>
                          <w:rFonts w:ascii="Arial" w:eastAsia="Times New Roman" w:hAnsi="Arial" w:cs="Arial"/>
                          <w:color w:val="000000" w:themeColor="text1"/>
                          <w:sz w:val="18"/>
                          <w:szCs w:val="18"/>
                        </w:rPr>
                      </w:pPr>
                    </w:p>
                    <w:p w14:paraId="108FE754" w14:textId="744AADE3" w:rsidR="00D666CB" w:rsidRPr="00F1367B" w:rsidRDefault="00D666CB" w:rsidP="00783703">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The Kaiser Family Foundation released </w:t>
                      </w:r>
                      <w:hyperlink r:id="rId25" w:history="1">
                        <w:r w:rsidRPr="00F1367B">
                          <w:rPr>
                            <w:rStyle w:val="Hyperlink"/>
                            <w:rFonts w:ascii="Arial" w:eastAsia="Times New Roman" w:hAnsi="Arial" w:cs="Arial"/>
                            <w:sz w:val="18"/>
                            <w:szCs w:val="18"/>
                          </w:rPr>
                          <w:t>10 FAQs on Prescription Drug Importation</w:t>
                        </w:r>
                      </w:hyperlink>
                      <w:r w:rsidRPr="00F1367B">
                        <w:rPr>
                          <w:rFonts w:ascii="Arial" w:eastAsia="Times New Roman" w:hAnsi="Arial" w:cs="Arial"/>
                          <w:color w:val="000000" w:themeColor="text1"/>
                          <w:sz w:val="18"/>
                          <w:szCs w:val="18"/>
                        </w:rPr>
                        <w:t xml:space="preserve"> on February 24, 2020.</w:t>
                      </w:r>
                    </w:p>
                    <w:p w14:paraId="77537047" w14:textId="77777777" w:rsidR="00C92D7B" w:rsidRPr="00F1367B" w:rsidRDefault="00C92D7B" w:rsidP="00C92D7B">
                      <w:pPr>
                        <w:pStyle w:val="ListParagraph"/>
                        <w:rPr>
                          <w:rFonts w:ascii="Arial" w:eastAsia="Times New Roman" w:hAnsi="Arial" w:cs="Arial"/>
                          <w:color w:val="000000" w:themeColor="text1"/>
                          <w:sz w:val="18"/>
                          <w:szCs w:val="18"/>
                        </w:rPr>
                      </w:pPr>
                    </w:p>
                    <w:p w14:paraId="6FFDD14D" w14:textId="17C9804C" w:rsidR="00C92D7B" w:rsidRPr="00F1367B" w:rsidRDefault="00C92D7B" w:rsidP="00783703">
                      <w:pPr>
                        <w:pStyle w:val="ListParagraph"/>
                        <w:numPr>
                          <w:ilvl w:val="0"/>
                          <w:numId w:val="33"/>
                        </w:numPr>
                        <w:spacing w:line="360" w:lineRule="auto"/>
                        <w:rPr>
                          <w:rFonts w:ascii="Arial" w:eastAsia="Times New Roman" w:hAnsi="Arial" w:cs="Arial"/>
                          <w:color w:val="000000" w:themeColor="text1"/>
                          <w:sz w:val="18"/>
                          <w:szCs w:val="18"/>
                        </w:rPr>
                      </w:pPr>
                      <w:r w:rsidRPr="00F1367B">
                        <w:rPr>
                          <w:rFonts w:ascii="Arial" w:eastAsia="Times New Roman" w:hAnsi="Arial" w:cs="Arial"/>
                          <w:color w:val="000000" w:themeColor="text1"/>
                          <w:sz w:val="18"/>
                          <w:szCs w:val="18"/>
                        </w:rPr>
                        <w:t xml:space="preserve">In January of 2019 we asked, “How far do employer plan sponsors have to go to effectively disclose breaches of fiduciary duty?” This was in response to the Ninth Circuit Court of Appeals’ decision to reverse a district court’s grant of summary judgment in favor of an ERISA plan sponsor in </w:t>
                      </w:r>
                      <w:proofErr w:type="spellStart"/>
                      <w:r w:rsidRPr="00F1367B">
                        <w:rPr>
                          <w:rFonts w:ascii="Arial" w:eastAsia="Times New Roman" w:hAnsi="Arial" w:cs="Arial"/>
                          <w:color w:val="000000" w:themeColor="text1"/>
                          <w:sz w:val="18"/>
                          <w:szCs w:val="18"/>
                        </w:rPr>
                        <w:t>Sulym</w:t>
                      </w:r>
                      <w:proofErr w:type="spellEnd"/>
                      <w:r w:rsidRPr="00F1367B">
                        <w:rPr>
                          <w:rFonts w:ascii="Arial" w:eastAsia="Times New Roman" w:hAnsi="Arial" w:cs="Arial"/>
                          <w:color w:val="000000" w:themeColor="text1"/>
                          <w:sz w:val="18"/>
                          <w:szCs w:val="18"/>
                        </w:rPr>
                        <w:t xml:space="preserve"> v. Intel Corporation Investment Policy Committee. On February 26, 2020 the Supreme Court weighed in on the question and affirmed the Ninth Circuit’s finding that “actual knowledge” means plaintiff must actually be aware of the information. However, the Court did clarify that a plan sponsor’s evidence of disclosure is still relevant to proving actual knowledge.</w:t>
                      </w:r>
                    </w:p>
                    <w:p w14:paraId="7FD4F9F0" w14:textId="77777777" w:rsidR="007073A2" w:rsidRPr="007073A2" w:rsidRDefault="007073A2" w:rsidP="007073A2">
                      <w:pPr>
                        <w:pStyle w:val="ListParagraph"/>
                        <w:rPr>
                          <w:rFonts w:ascii="Times New Roman" w:eastAsia="Times New Roman" w:hAnsi="Times New Roman" w:cs="Times New Roman"/>
                          <w:color w:val="000000" w:themeColor="text1"/>
                        </w:rPr>
                      </w:pPr>
                    </w:p>
                    <w:p w14:paraId="54F2C0A2" w14:textId="77777777" w:rsidR="007073A2" w:rsidRDefault="007073A2" w:rsidP="00C92D7B">
                      <w:pPr>
                        <w:pStyle w:val="ListParagraph"/>
                        <w:spacing w:line="360" w:lineRule="auto"/>
                        <w:rPr>
                          <w:rFonts w:ascii="Times New Roman" w:eastAsia="Times New Roman" w:hAnsi="Times New Roman" w:cs="Times New Roman"/>
                          <w:color w:val="000000" w:themeColor="text1"/>
                        </w:rPr>
                      </w:pPr>
                    </w:p>
                    <w:p w14:paraId="278B5183" w14:textId="77777777" w:rsidR="000A6609" w:rsidRDefault="000A6609" w:rsidP="000A6609">
                      <w:pPr>
                        <w:pStyle w:val="ListParagraph"/>
                        <w:spacing w:line="360" w:lineRule="auto"/>
                        <w:jc w:val="both"/>
                        <w:rPr>
                          <w:rFonts w:ascii="Times New Roman" w:eastAsia="Times New Roman" w:hAnsi="Times New Roman" w:cs="Times New Roman"/>
                          <w:color w:val="000000" w:themeColor="text1"/>
                        </w:rPr>
                      </w:pPr>
                    </w:p>
                    <w:p w14:paraId="07F3B9F6" w14:textId="05E427EE" w:rsidR="003C6AE1" w:rsidRPr="003C6AE1" w:rsidRDefault="003C6AE1" w:rsidP="003C6AE1">
                      <w:pPr>
                        <w:spacing w:line="360" w:lineRule="auto"/>
                        <w:ind w:left="720"/>
                        <w:rPr>
                          <w:rFonts w:ascii="Times New Roman" w:eastAsia="Times New Roman" w:hAnsi="Times New Roman" w:cs="Times New Roman"/>
                          <w:color w:val="000000" w:themeColor="text1"/>
                          <w:sz w:val="20"/>
                          <w:szCs w:val="20"/>
                        </w:rPr>
                      </w:pPr>
                    </w:p>
                  </w:txbxContent>
                </v:textbox>
                <w10:wrap type="square"/>
              </v:shape>
            </w:pict>
          </mc:Fallback>
        </mc:AlternateContent>
      </w:r>
      <w:r w:rsidR="001D3A41" w:rsidRPr="00593C4D">
        <w:rPr>
          <w:rFonts w:ascii="Arial" w:hAnsi="Arial" w:cs="Arial"/>
          <w:b/>
          <w:bCs/>
          <w:color w:val="333333"/>
          <w:sz w:val="20"/>
          <w:szCs w:val="20"/>
        </w:rPr>
        <w:t>Controlled &amp; Affiliated Service Group Basics</w:t>
      </w:r>
    </w:p>
    <w:p w14:paraId="5199BCA8" w14:textId="2B23E3C1" w:rsidR="001D3A41" w:rsidRPr="00593C4D" w:rsidRDefault="001D3A41" w:rsidP="00593C4D">
      <w:pPr>
        <w:spacing w:line="276" w:lineRule="auto"/>
        <w:rPr>
          <w:rFonts w:ascii="Arial" w:hAnsi="Arial" w:cs="Arial"/>
          <w:color w:val="3D3D3D"/>
          <w:sz w:val="20"/>
          <w:szCs w:val="20"/>
          <w:shd w:val="clear" w:color="auto" w:fill="FFFFFF"/>
        </w:rPr>
      </w:pPr>
      <w:r w:rsidRPr="00593C4D">
        <w:rPr>
          <w:rFonts w:ascii="Arial" w:hAnsi="Arial" w:cs="Arial"/>
          <w:color w:val="3D3D3D"/>
          <w:sz w:val="20"/>
          <w:szCs w:val="20"/>
          <w:shd w:val="clear" w:color="auto" w:fill="FFFFFF"/>
        </w:rPr>
        <w:t>The Internal Revenue Code originally established its Controlled Groups Provisions as part of the Revenue Act of 1964. In 1974, the Employee Retirement Income Security Act (ERISA) added sections to existing rules that require that all employees of commonly controlled organizations be treated as employees of a single organization for a number of benefits-related issues. Simply setting up different companies under separate tax ID numbers does not relieve related employers from being treated as a single employer under these rules.</w:t>
      </w:r>
    </w:p>
    <w:p w14:paraId="11E76408" w14:textId="77777777" w:rsidR="001D3A41" w:rsidRPr="00593C4D" w:rsidRDefault="001D3A41" w:rsidP="00593C4D">
      <w:pPr>
        <w:spacing w:line="276" w:lineRule="auto"/>
        <w:rPr>
          <w:rFonts w:ascii="Arial" w:hAnsi="Arial" w:cs="Arial"/>
          <w:color w:val="3D3D3D"/>
          <w:sz w:val="20"/>
          <w:szCs w:val="20"/>
          <w:shd w:val="clear" w:color="auto" w:fill="FFFFFF"/>
        </w:rPr>
      </w:pPr>
    </w:p>
    <w:p w14:paraId="74F54911" w14:textId="77777777" w:rsidR="001D3A41" w:rsidRPr="00593C4D" w:rsidRDefault="001D3A41" w:rsidP="00593C4D">
      <w:pPr>
        <w:spacing w:line="276" w:lineRule="auto"/>
        <w:rPr>
          <w:rStyle w:val="Hyperlink"/>
          <w:rFonts w:ascii="Arial" w:hAnsi="Arial" w:cs="Arial"/>
          <w:color w:val="000000" w:themeColor="text1"/>
          <w:sz w:val="20"/>
          <w:szCs w:val="20"/>
        </w:rPr>
      </w:pPr>
      <w:r w:rsidRPr="00593C4D">
        <w:rPr>
          <w:rFonts w:ascii="Arial" w:hAnsi="Arial" w:cs="Arial"/>
          <w:color w:val="000000" w:themeColor="text1"/>
          <w:sz w:val="20"/>
          <w:szCs w:val="20"/>
        </w:rPr>
        <w:t xml:space="preserve">More here: </w:t>
      </w:r>
      <w:hyperlink r:id="rId26" w:history="1">
        <w:r w:rsidRPr="00593C4D">
          <w:rPr>
            <w:rStyle w:val="Hyperlink"/>
            <w:rFonts w:ascii="Arial" w:hAnsi="Arial" w:cs="Arial"/>
            <w:sz w:val="20"/>
            <w:szCs w:val="20"/>
          </w:rPr>
          <w:t>https://benefitcomply.com/%e2%80%a2-issue-brief-controlled-affiliated-service-group-basics/</w:t>
        </w:r>
      </w:hyperlink>
    </w:p>
    <w:p w14:paraId="32AFFA74" w14:textId="2427FFD2" w:rsidR="003C6AE1" w:rsidRPr="00593C4D" w:rsidRDefault="003C6AE1" w:rsidP="00593C4D">
      <w:pPr>
        <w:spacing w:line="276" w:lineRule="auto"/>
        <w:rPr>
          <w:rStyle w:val="Hyperlink"/>
          <w:rFonts w:ascii="Arial" w:hAnsi="Arial" w:cs="Arial"/>
          <w:color w:val="000000" w:themeColor="text1"/>
          <w:sz w:val="20"/>
          <w:szCs w:val="20"/>
        </w:rPr>
      </w:pPr>
    </w:p>
    <w:p w14:paraId="36E2A89D" w14:textId="72C0B6FB" w:rsidR="003C6AE1" w:rsidRPr="00593C4D" w:rsidRDefault="00AE4B6B" w:rsidP="00593C4D">
      <w:pPr>
        <w:spacing w:after="160" w:line="276" w:lineRule="auto"/>
        <w:rPr>
          <w:rFonts w:ascii="Arial" w:hAnsi="Arial" w:cs="Arial"/>
          <w:color w:val="000000" w:themeColor="text1"/>
          <w:sz w:val="20"/>
          <w:szCs w:val="20"/>
        </w:rPr>
      </w:pPr>
      <w:r>
        <w:rPr>
          <w:rFonts w:ascii="Arial" w:hAnsi="Arial" w:cs="Arial"/>
          <w:b/>
          <w:bCs/>
          <w:color w:val="000000" w:themeColor="text1"/>
          <w:sz w:val="20"/>
          <w:szCs w:val="20"/>
        </w:rPr>
        <w:t>New SAMHSA Requirements May Necessitate Changes to Business Associate Agreements</w:t>
      </w:r>
    </w:p>
    <w:p w14:paraId="65B34058" w14:textId="5B9797ED" w:rsidR="00762A7F" w:rsidRPr="00593C4D" w:rsidRDefault="00762A7F" w:rsidP="00593C4D">
      <w:pPr>
        <w:shd w:val="clear" w:color="auto" w:fill="FFFFFF"/>
        <w:spacing w:before="100" w:beforeAutospacing="1" w:after="100" w:afterAutospacing="1" w:line="276" w:lineRule="auto"/>
        <w:rPr>
          <w:rFonts w:ascii="Arial" w:hAnsi="Arial" w:cs="Arial"/>
          <w:color w:val="000000" w:themeColor="text1"/>
          <w:sz w:val="20"/>
          <w:szCs w:val="20"/>
          <w:shd w:val="clear" w:color="auto" w:fill="FFFFFF"/>
        </w:rPr>
      </w:pPr>
      <w:r w:rsidRPr="00593C4D">
        <w:rPr>
          <w:rFonts w:ascii="Arial" w:hAnsi="Arial" w:cs="Arial"/>
          <w:color w:val="000000"/>
          <w:sz w:val="20"/>
          <w:szCs w:val="20"/>
          <w:shd w:val="clear" w:color="auto" w:fill="FFFFFF"/>
        </w:rPr>
        <w:t>Employers that sponsor group health plans subject to HIPAA privacy and security requirements may need to review and update their business associate agreements (BAAs) as the result of changes to federal regulations governing the confidentiality of substance use disorder patient records. Specifically, if an employer-sponsored group health plan receives certain types of substance use disorder patient records and discloses these records to a vendor for purpose of payment or healthcare operations, the relevant BAA will need to contain language requiring the business associate to comply with these regulations.</w:t>
      </w:r>
    </w:p>
    <w:p w14:paraId="613E918D" w14:textId="09D548B1" w:rsidR="00B06F14" w:rsidRPr="00B06F14" w:rsidRDefault="003C6AE1" w:rsidP="00B06F14">
      <w:pPr>
        <w:shd w:val="clear" w:color="auto" w:fill="FFFFFF"/>
        <w:spacing w:before="100" w:beforeAutospacing="1" w:after="100" w:afterAutospacing="1" w:line="276" w:lineRule="auto"/>
        <w:rPr>
          <w:rStyle w:val="Hyperlink"/>
          <w:rFonts w:ascii="Arial" w:eastAsia="Times New Roman" w:hAnsi="Arial" w:cs="Arial"/>
          <w:color w:val="000000" w:themeColor="text1"/>
          <w:sz w:val="20"/>
          <w:szCs w:val="20"/>
          <w:u w:val="none"/>
        </w:rPr>
      </w:pPr>
      <w:r w:rsidRPr="00593C4D">
        <w:rPr>
          <w:rFonts w:ascii="Arial" w:eastAsia="Times New Roman" w:hAnsi="Arial" w:cs="Arial"/>
          <w:color w:val="000000" w:themeColor="text1"/>
          <w:sz w:val="20"/>
          <w:szCs w:val="20"/>
        </w:rPr>
        <w:t xml:space="preserve">More here: </w:t>
      </w:r>
      <w:hyperlink r:id="rId27" w:history="1">
        <w:r w:rsidR="003246EE" w:rsidRPr="00593C4D">
          <w:rPr>
            <w:rStyle w:val="Hyperlink"/>
            <w:rFonts w:ascii="Arial" w:hAnsi="Arial" w:cs="Arial"/>
            <w:sz w:val="20"/>
            <w:szCs w:val="20"/>
          </w:rPr>
          <w:t>https://benefitcomply.com/issue-brief-new-samhsa-requirements-may-necessitate-changes-to-business-associate-agreements/</w:t>
        </w:r>
      </w:hyperlink>
    </w:p>
    <w:p w14:paraId="57AC95F4" w14:textId="35A4373C" w:rsidR="009E7CC8" w:rsidRPr="00593C4D" w:rsidRDefault="009E7CC8" w:rsidP="00593C4D">
      <w:pPr>
        <w:spacing w:after="160" w:line="276" w:lineRule="auto"/>
        <w:rPr>
          <w:rFonts w:ascii="Arial" w:hAnsi="Arial" w:cs="Arial"/>
          <w:color w:val="000000" w:themeColor="text1"/>
          <w:sz w:val="20"/>
          <w:szCs w:val="20"/>
        </w:rPr>
      </w:pPr>
      <w:r w:rsidRPr="00593C4D">
        <w:rPr>
          <w:rStyle w:val="Strong"/>
          <w:rFonts w:ascii="Arial" w:hAnsi="Arial" w:cs="Arial"/>
          <w:b/>
          <w:bCs/>
          <w:color w:val="333333"/>
          <w:sz w:val="20"/>
          <w:szCs w:val="20"/>
        </w:rPr>
        <w:t>Court Vacates Portions of HIPAA Regulations &amp; Guidance Related to Individual Right of Access</w:t>
      </w:r>
    </w:p>
    <w:p w14:paraId="1DCBA5BD" w14:textId="2770ABAE" w:rsidR="003B6AD4" w:rsidRPr="00593C4D" w:rsidRDefault="003B6AD4" w:rsidP="00593C4D">
      <w:pPr>
        <w:spacing w:line="276" w:lineRule="auto"/>
        <w:rPr>
          <w:rFonts w:ascii="Arial" w:hAnsi="Arial" w:cs="Arial"/>
          <w:color w:val="3D3D3D"/>
          <w:sz w:val="20"/>
          <w:szCs w:val="20"/>
          <w:shd w:val="clear" w:color="auto" w:fill="FFFFFF"/>
        </w:rPr>
      </w:pPr>
      <w:r w:rsidRPr="00593C4D">
        <w:rPr>
          <w:rFonts w:ascii="Arial" w:hAnsi="Arial" w:cs="Arial"/>
          <w:color w:val="3D3D3D"/>
          <w:sz w:val="20"/>
          <w:szCs w:val="20"/>
          <w:shd w:val="clear" w:color="auto" w:fill="FFFFFF"/>
        </w:rPr>
        <w:t>On January 23, 2020, in </w:t>
      </w:r>
      <w:proofErr w:type="spellStart"/>
      <w:r w:rsidRPr="00593C4D">
        <w:rPr>
          <w:rStyle w:val="Emphasis"/>
          <w:rFonts w:ascii="Arial" w:hAnsi="Arial" w:cs="Arial"/>
          <w:color w:val="3D3D3D"/>
          <w:sz w:val="20"/>
          <w:szCs w:val="20"/>
          <w:shd w:val="clear" w:color="auto" w:fill="FFFFFF"/>
        </w:rPr>
        <w:t>Ciox</w:t>
      </w:r>
      <w:proofErr w:type="spellEnd"/>
      <w:r w:rsidRPr="00593C4D">
        <w:rPr>
          <w:rStyle w:val="Emphasis"/>
          <w:rFonts w:ascii="Arial" w:hAnsi="Arial" w:cs="Arial"/>
          <w:color w:val="3D3D3D"/>
          <w:sz w:val="20"/>
          <w:szCs w:val="20"/>
          <w:shd w:val="clear" w:color="auto" w:fill="FFFFFF"/>
        </w:rPr>
        <w:t xml:space="preserve"> Health, LLC v. Azar, et al., </w:t>
      </w:r>
      <w:r w:rsidRPr="00593C4D">
        <w:rPr>
          <w:rFonts w:ascii="Arial" w:hAnsi="Arial" w:cs="Arial"/>
          <w:color w:val="3D3D3D"/>
          <w:sz w:val="20"/>
          <w:szCs w:val="20"/>
          <w:shd w:val="clear" w:color="auto" w:fill="FFFFFF"/>
        </w:rPr>
        <w:t>a federal district court vacated portions of the HIPAA Omnibus Final Rule of 2013 related to an individual’s right of access to their health records. Specifically, the court order vacated the “third-party directive” within the individual right of access provisions because it went beyond the scope of the Health Information Technology for Clinical and Economic Health Act of 2009 (HITECH) by expanding the type of protected health information (PHI) that must be a third party without valid written authorization. The court also found that in guidance issued in 2016</w:t>
      </w:r>
      <w:r w:rsidR="003F631E" w:rsidRPr="00593C4D">
        <w:rPr>
          <w:rFonts w:ascii="Arial" w:hAnsi="Arial" w:cs="Arial"/>
          <w:color w:val="3D3D3D"/>
          <w:sz w:val="20"/>
          <w:szCs w:val="20"/>
          <w:shd w:val="clear" w:color="auto" w:fill="FFFFFF"/>
        </w:rPr>
        <w:t xml:space="preserve">, </w:t>
      </w:r>
      <w:r w:rsidRPr="00593C4D">
        <w:rPr>
          <w:rFonts w:ascii="Arial" w:hAnsi="Arial" w:cs="Arial"/>
          <w:color w:val="3D3D3D"/>
          <w:sz w:val="20"/>
          <w:szCs w:val="20"/>
          <w:shd w:val="clear" w:color="auto" w:fill="FFFFFF"/>
        </w:rPr>
        <w:t>HHS inappropriately implemented fee limitations on requests to transmit protected health information (PHI) to a third party.</w:t>
      </w:r>
    </w:p>
    <w:p w14:paraId="441E8979" w14:textId="628CAD63" w:rsidR="003B6AD4" w:rsidRPr="00593C4D" w:rsidRDefault="003B6AD4" w:rsidP="00593C4D">
      <w:pPr>
        <w:spacing w:line="276" w:lineRule="auto"/>
        <w:rPr>
          <w:rFonts w:ascii="Arial" w:hAnsi="Arial" w:cs="Arial"/>
          <w:color w:val="3D3D3D"/>
          <w:sz w:val="20"/>
          <w:szCs w:val="20"/>
          <w:shd w:val="clear" w:color="auto" w:fill="FFFFFF"/>
        </w:rPr>
      </w:pPr>
    </w:p>
    <w:p w14:paraId="49E4A547" w14:textId="3231A412" w:rsidR="003B6AD4" w:rsidRDefault="003B6AD4" w:rsidP="00593C4D">
      <w:pPr>
        <w:spacing w:line="276" w:lineRule="auto"/>
        <w:rPr>
          <w:rFonts w:ascii="Arial" w:hAnsi="Arial" w:cs="Arial"/>
          <w:sz w:val="20"/>
          <w:szCs w:val="20"/>
        </w:rPr>
      </w:pPr>
      <w:r w:rsidRPr="00593C4D">
        <w:rPr>
          <w:rFonts w:ascii="Arial" w:hAnsi="Arial" w:cs="Arial"/>
          <w:color w:val="3D3D3D"/>
          <w:sz w:val="20"/>
          <w:szCs w:val="20"/>
          <w:shd w:val="clear" w:color="auto" w:fill="FFFFFF"/>
        </w:rPr>
        <w:t xml:space="preserve">More here: </w:t>
      </w:r>
      <w:hyperlink r:id="rId28" w:history="1">
        <w:r w:rsidR="003F631E" w:rsidRPr="00593C4D">
          <w:rPr>
            <w:rStyle w:val="Hyperlink"/>
            <w:rFonts w:ascii="Arial" w:hAnsi="Arial" w:cs="Arial"/>
            <w:sz w:val="20"/>
            <w:szCs w:val="20"/>
          </w:rPr>
          <w:t>https://benefitcomply.com/compliance-alert-court-vacates-portions-of-hipaa-regulations-guidance-related-to-individual-right-of-access/</w:t>
        </w:r>
      </w:hyperlink>
    </w:p>
    <w:p w14:paraId="2F617948" w14:textId="77777777" w:rsidR="00BE464A" w:rsidRPr="00593C4D" w:rsidRDefault="00BE464A" w:rsidP="00593C4D">
      <w:pPr>
        <w:spacing w:line="276" w:lineRule="auto"/>
        <w:rPr>
          <w:rFonts w:ascii="Arial" w:hAnsi="Arial" w:cs="Arial"/>
          <w:sz w:val="20"/>
          <w:szCs w:val="20"/>
        </w:rPr>
      </w:pPr>
    </w:p>
    <w:p w14:paraId="30D0FE7C" w14:textId="77777777" w:rsidR="00581331" w:rsidRDefault="00581331" w:rsidP="00593C4D">
      <w:pPr>
        <w:pStyle w:val="Heading2"/>
        <w:numPr>
          <w:ilvl w:val="0"/>
          <w:numId w:val="0"/>
        </w:numPr>
        <w:shd w:val="clear" w:color="auto" w:fill="FFFFFF"/>
        <w:spacing w:after="120" w:line="276" w:lineRule="auto"/>
        <w:ind w:left="360" w:hanging="360"/>
        <w:rPr>
          <w:b/>
          <w:bCs/>
          <w:color w:val="333333"/>
        </w:rPr>
      </w:pPr>
      <w:bookmarkStart w:id="7" w:name="_Toc37241665"/>
    </w:p>
    <w:p w14:paraId="3D280A74" w14:textId="6793EBFC" w:rsidR="00C716AB" w:rsidRPr="00593C4D" w:rsidRDefault="00C716AB" w:rsidP="00593C4D">
      <w:pPr>
        <w:pStyle w:val="Heading2"/>
        <w:numPr>
          <w:ilvl w:val="0"/>
          <w:numId w:val="0"/>
        </w:numPr>
        <w:shd w:val="clear" w:color="auto" w:fill="FFFFFF"/>
        <w:spacing w:after="120" w:line="276" w:lineRule="auto"/>
        <w:ind w:left="360" w:hanging="360"/>
        <w:rPr>
          <w:color w:val="333333"/>
        </w:rPr>
      </w:pPr>
      <w:r w:rsidRPr="00593C4D">
        <w:rPr>
          <w:b/>
          <w:bCs/>
          <w:color w:val="333333"/>
        </w:rPr>
        <w:lastRenderedPageBreak/>
        <w:t>The Supreme Court Agrees to Hear Important ACA Case</w:t>
      </w:r>
      <w:bookmarkEnd w:id="7"/>
    </w:p>
    <w:p w14:paraId="52942BD7" w14:textId="04C4B6C7" w:rsidR="00E45791" w:rsidRPr="00593C4D" w:rsidRDefault="00295C14" w:rsidP="00593C4D">
      <w:pPr>
        <w:spacing w:line="276" w:lineRule="auto"/>
        <w:rPr>
          <w:rFonts w:ascii="Arial" w:hAnsi="Arial" w:cs="Arial"/>
          <w:color w:val="3D3D3D"/>
          <w:sz w:val="20"/>
          <w:szCs w:val="20"/>
          <w:shd w:val="clear" w:color="auto" w:fill="FFFFFF"/>
        </w:rPr>
      </w:pPr>
      <w:r w:rsidRPr="00593C4D">
        <w:rPr>
          <w:rFonts w:ascii="Arial" w:hAnsi="Arial" w:cs="Arial"/>
          <w:color w:val="3D3D3D"/>
          <w:sz w:val="20"/>
          <w:szCs w:val="20"/>
          <w:shd w:val="clear" w:color="auto" w:fill="FFFFFF"/>
        </w:rPr>
        <w:t>The Supreme Court has announced that it will hear </w:t>
      </w:r>
      <w:r w:rsidRPr="00593C4D">
        <w:rPr>
          <w:rStyle w:val="Emphasis"/>
          <w:rFonts w:ascii="Arial" w:hAnsi="Arial" w:cs="Arial"/>
          <w:color w:val="3D3D3D"/>
          <w:sz w:val="20"/>
          <w:szCs w:val="20"/>
          <w:shd w:val="clear" w:color="auto" w:fill="FFFFFF"/>
        </w:rPr>
        <w:t>California v. Texas</w:t>
      </w:r>
      <w:r w:rsidRPr="00593C4D">
        <w:rPr>
          <w:rFonts w:ascii="Arial" w:hAnsi="Arial" w:cs="Arial"/>
          <w:color w:val="3D3D3D"/>
          <w:sz w:val="20"/>
          <w:szCs w:val="20"/>
          <w:shd w:val="clear" w:color="auto" w:fill="FFFFFF"/>
        </w:rPr>
        <w:t> (formerly known as </w:t>
      </w:r>
      <w:r w:rsidRPr="00593C4D">
        <w:rPr>
          <w:rStyle w:val="Emphasis"/>
          <w:rFonts w:ascii="Arial" w:hAnsi="Arial" w:cs="Arial"/>
          <w:color w:val="3D3D3D"/>
          <w:sz w:val="20"/>
          <w:szCs w:val="20"/>
          <w:shd w:val="clear" w:color="auto" w:fill="FFFFFF"/>
        </w:rPr>
        <w:t>Texas v. United States</w:t>
      </w:r>
      <w:r w:rsidRPr="00593C4D">
        <w:rPr>
          <w:rFonts w:ascii="Arial" w:hAnsi="Arial" w:cs="Arial"/>
          <w:color w:val="3D3D3D"/>
          <w:sz w:val="20"/>
          <w:szCs w:val="20"/>
          <w:shd w:val="clear" w:color="auto" w:fill="FFFFFF"/>
        </w:rPr>
        <w:t>) during its next term. The Court will consider whether to affirm the lower court’s ruling that the individual mandate portion of the Affordable Care Act (ACA) is unconstitutional. More importantly, the Court will decide whether the individual mandate is severable from the rest of the ACA. If it is not, the entire ACA could be ruled unconstitutional.</w:t>
      </w:r>
    </w:p>
    <w:p w14:paraId="4746447A" w14:textId="77777777" w:rsidR="00295C14" w:rsidRPr="00593C4D" w:rsidRDefault="00295C14" w:rsidP="00593C4D">
      <w:pPr>
        <w:spacing w:line="276" w:lineRule="auto"/>
        <w:rPr>
          <w:rFonts w:ascii="Arial" w:hAnsi="Arial" w:cs="Arial"/>
          <w:color w:val="3D3D3D"/>
          <w:sz w:val="20"/>
          <w:szCs w:val="20"/>
          <w:shd w:val="clear" w:color="auto" w:fill="FFFFFF"/>
        </w:rPr>
      </w:pPr>
    </w:p>
    <w:p w14:paraId="11892519" w14:textId="4079DC99" w:rsidR="00E45791" w:rsidRPr="00593C4D" w:rsidRDefault="00E45791" w:rsidP="00593C4D">
      <w:pPr>
        <w:spacing w:line="276" w:lineRule="auto"/>
        <w:rPr>
          <w:rFonts w:ascii="Arial" w:hAnsi="Arial" w:cs="Arial"/>
          <w:sz w:val="20"/>
          <w:szCs w:val="20"/>
        </w:rPr>
      </w:pPr>
      <w:r w:rsidRPr="00593C4D">
        <w:rPr>
          <w:rFonts w:ascii="Arial" w:hAnsi="Arial" w:cs="Arial"/>
          <w:color w:val="3D3D3D"/>
          <w:sz w:val="20"/>
          <w:szCs w:val="20"/>
          <w:shd w:val="clear" w:color="auto" w:fill="FFFFFF"/>
        </w:rPr>
        <w:t xml:space="preserve">More here: </w:t>
      </w:r>
      <w:hyperlink r:id="rId29" w:history="1">
        <w:r w:rsidR="00615015" w:rsidRPr="00593C4D">
          <w:rPr>
            <w:rStyle w:val="Hyperlink"/>
            <w:rFonts w:ascii="Arial" w:hAnsi="Arial" w:cs="Arial"/>
            <w:sz w:val="20"/>
            <w:szCs w:val="20"/>
          </w:rPr>
          <w:t>https://benefitcomply.com/compliance-alert-the-supreme-court-agrees-to-hear-important-aca-case/</w:t>
        </w:r>
      </w:hyperlink>
    </w:p>
    <w:p w14:paraId="52F7F6BE" w14:textId="0DC1A7E0" w:rsidR="003C6AE1" w:rsidRPr="00593C4D" w:rsidRDefault="003C6AE1" w:rsidP="00593C4D">
      <w:pPr>
        <w:spacing w:line="276" w:lineRule="auto"/>
        <w:rPr>
          <w:rFonts w:ascii="Arial" w:hAnsi="Arial" w:cs="Arial"/>
          <w:sz w:val="20"/>
          <w:szCs w:val="20"/>
        </w:rPr>
      </w:pPr>
    </w:p>
    <w:p w14:paraId="0383BF97" w14:textId="1614CAB5" w:rsidR="003C6AE1" w:rsidRPr="00D312AA" w:rsidRDefault="003672F0" w:rsidP="00D312AA">
      <w:pPr>
        <w:pStyle w:val="Heading2"/>
        <w:numPr>
          <w:ilvl w:val="0"/>
          <w:numId w:val="0"/>
        </w:numPr>
        <w:shd w:val="clear" w:color="auto" w:fill="FFFFFF"/>
        <w:spacing w:after="120" w:line="276" w:lineRule="auto"/>
        <w:rPr>
          <w:color w:val="333333"/>
        </w:rPr>
      </w:pPr>
      <w:bookmarkStart w:id="8" w:name="_Toc37241666"/>
      <w:r w:rsidRPr="00593C4D">
        <w:rPr>
          <w:rStyle w:val="Strong"/>
          <w:b/>
          <w:bCs/>
          <w:color w:val="333333"/>
        </w:rPr>
        <w:t>HHS Announces Proposed Increase to Cost-Sharing Maximums</w:t>
      </w:r>
      <w:bookmarkEnd w:id="8"/>
    </w:p>
    <w:p w14:paraId="3AD5A0D4" w14:textId="49472FC1" w:rsidR="003C6AE1" w:rsidRPr="00593C4D" w:rsidRDefault="00593C4D" w:rsidP="00593C4D">
      <w:pPr>
        <w:spacing w:line="276" w:lineRule="auto"/>
        <w:rPr>
          <w:rFonts w:ascii="Arial" w:eastAsia="Times New Roman" w:hAnsi="Arial" w:cs="Arial"/>
          <w:b/>
          <w:bCs/>
          <w:color w:val="595959"/>
          <w:sz w:val="20"/>
          <w:szCs w:val="20"/>
          <w:lang w:eastAsia="en-US"/>
        </w:rPr>
        <w:sectPr w:rsidR="003C6AE1" w:rsidRPr="00593C4D" w:rsidSect="00C65FEF">
          <w:type w:val="continuous"/>
          <w:pgSz w:w="12240" w:h="15840" w:code="1"/>
          <w:pgMar w:top="1080" w:right="1440" w:bottom="1080" w:left="1440" w:header="720" w:footer="720" w:gutter="0"/>
          <w:cols w:space="720"/>
          <w:docGrid w:linePitch="360"/>
        </w:sectPr>
      </w:pPr>
      <w:r w:rsidRPr="00593C4D">
        <w:rPr>
          <w:rFonts w:ascii="Arial" w:hAnsi="Arial" w:cs="Arial"/>
          <w:color w:val="3D3D3D"/>
          <w:sz w:val="20"/>
          <w:szCs w:val="20"/>
          <w:shd w:val="clear" w:color="auto" w:fill="FFFFFF"/>
        </w:rPr>
        <w:t>The Centers for Medicare &amp; Medicaid Services (CMS), a part of the Department of Health and Human Services (HHS), has released the proposed Notice of Benefit &amp; Payment Parameters for 2021. The notice announces an increase to cost-sharing (out-of-pocket) maximums under healthcare reform.</w:t>
      </w:r>
    </w:p>
    <w:p w14:paraId="3087CB72" w14:textId="77777777" w:rsidR="003C6AE1" w:rsidRPr="00593C4D" w:rsidRDefault="003C6AE1" w:rsidP="00593C4D">
      <w:pPr>
        <w:spacing w:line="276" w:lineRule="auto"/>
        <w:rPr>
          <w:rFonts w:ascii="Arial" w:eastAsia="Times New Roman" w:hAnsi="Arial" w:cs="Arial"/>
          <w:b/>
          <w:bCs/>
          <w:color w:val="595959"/>
          <w:sz w:val="20"/>
          <w:szCs w:val="20"/>
          <w:lang w:eastAsia="en-US"/>
        </w:rPr>
        <w:sectPr w:rsidR="003C6AE1" w:rsidRPr="00593C4D" w:rsidSect="002B4808">
          <w:type w:val="continuous"/>
          <w:pgSz w:w="12240" w:h="15840" w:code="1"/>
          <w:pgMar w:top="1080" w:right="1440" w:bottom="1080" w:left="1440" w:header="720" w:footer="720" w:gutter="0"/>
          <w:cols w:space="720"/>
          <w:docGrid w:linePitch="360"/>
        </w:sectPr>
      </w:pPr>
    </w:p>
    <w:p w14:paraId="64949380" w14:textId="4709C6CE" w:rsidR="003C6AE1" w:rsidRPr="00593C4D" w:rsidRDefault="003C6AE1" w:rsidP="00593C4D">
      <w:pPr>
        <w:spacing w:line="276" w:lineRule="auto"/>
        <w:rPr>
          <w:rFonts w:ascii="Arial" w:hAnsi="Arial" w:cs="Arial"/>
          <w:sz w:val="20"/>
          <w:szCs w:val="20"/>
        </w:rPr>
      </w:pPr>
      <w:r w:rsidRPr="00593C4D">
        <w:rPr>
          <w:rFonts w:ascii="Arial" w:eastAsia="Times New Roman" w:hAnsi="Arial" w:cs="Arial"/>
          <w:color w:val="595959"/>
          <w:sz w:val="20"/>
          <w:szCs w:val="20"/>
          <w:lang w:eastAsia="en-US"/>
        </w:rPr>
        <w:t xml:space="preserve">More here: </w:t>
      </w:r>
      <w:hyperlink r:id="rId30" w:history="1">
        <w:r w:rsidR="00593C4D" w:rsidRPr="00593C4D">
          <w:rPr>
            <w:rStyle w:val="Hyperlink"/>
            <w:rFonts w:ascii="Arial" w:hAnsi="Arial" w:cs="Arial"/>
            <w:sz w:val="20"/>
            <w:szCs w:val="20"/>
          </w:rPr>
          <w:t>https://benefitcomply.com/compliance-alert-hhs-announces-increase-to-cost-sharing-maximums/</w:t>
        </w:r>
      </w:hyperlink>
    </w:p>
    <w:p w14:paraId="43C966A2" w14:textId="2073319D" w:rsidR="00846F77" w:rsidRPr="00326A75" w:rsidRDefault="00846F77" w:rsidP="00AD44D9">
      <w:pPr>
        <w:spacing w:line="360" w:lineRule="auto"/>
        <w:rPr>
          <w:rFonts w:ascii="Arial" w:eastAsia="Times New Roman" w:hAnsi="Arial" w:cs="Arial"/>
          <w:color w:val="595959"/>
          <w:sz w:val="20"/>
          <w:szCs w:val="20"/>
          <w:lang w:eastAsia="en-US"/>
        </w:rPr>
      </w:pPr>
    </w:p>
    <w:p w14:paraId="40D0628B" w14:textId="77777777" w:rsidR="00581331" w:rsidRDefault="00581331" w:rsidP="00581331">
      <w:pPr>
        <w:pStyle w:val="Heading1"/>
        <w:rPr>
          <w:sz w:val="36"/>
          <w:szCs w:val="36"/>
        </w:rPr>
      </w:pPr>
      <w:bookmarkStart w:id="9" w:name="_Toc37241667"/>
    </w:p>
    <w:p w14:paraId="7E4328ED" w14:textId="5CBFB004" w:rsidR="00846F77" w:rsidRPr="00581331" w:rsidRDefault="00C65FEF" w:rsidP="00581331">
      <w:pPr>
        <w:pStyle w:val="Heading1"/>
        <w:rPr>
          <w:sz w:val="36"/>
          <w:szCs w:val="36"/>
        </w:rPr>
      </w:pPr>
      <w:r w:rsidRPr="00581331">
        <w:rPr>
          <w:sz w:val="36"/>
          <w:szCs w:val="36"/>
        </w:rPr>
        <w:t>Quarterly Q&amp;A</w:t>
      </w:r>
      <w:bookmarkEnd w:id="9"/>
    </w:p>
    <w:p w14:paraId="39B267AE" w14:textId="77777777" w:rsidR="00A151F0" w:rsidRPr="00A151F0" w:rsidRDefault="00A151F0" w:rsidP="00A151F0">
      <w:pPr>
        <w:pStyle w:val="NormalWeb"/>
        <w:shd w:val="clear" w:color="auto" w:fill="FFFFFF"/>
        <w:rPr>
          <w:rFonts w:ascii="Arial" w:hAnsi="Arial" w:cs="Arial"/>
          <w:b/>
          <w:bCs/>
          <w:color w:val="3D3D3D"/>
          <w:sz w:val="21"/>
          <w:szCs w:val="21"/>
        </w:rPr>
      </w:pPr>
      <w:r w:rsidRPr="00A151F0">
        <w:rPr>
          <w:rStyle w:val="Strong"/>
          <w:rFonts w:ascii="Arial" w:hAnsi="Arial" w:cs="Arial"/>
          <w:b/>
          <w:bCs/>
          <w:color w:val="3D3D3D"/>
          <w:sz w:val="21"/>
          <w:szCs w:val="21"/>
        </w:rPr>
        <w:t>Q. If an employer has to reduce hours or put employees on a temporary leave of absence due to economic conditions or a lack of work related to COVID-19, are the employees still eligible for benefits? What if employment is terminated?</w:t>
      </w:r>
    </w:p>
    <w:p w14:paraId="0C405F2C" w14:textId="77777777" w:rsidR="00A151F0" w:rsidRDefault="00A151F0" w:rsidP="00A151F0">
      <w:pPr>
        <w:pStyle w:val="NormalWeb"/>
        <w:shd w:val="clear" w:color="auto" w:fill="FFFFFF"/>
        <w:rPr>
          <w:rFonts w:ascii="Arial" w:hAnsi="Arial" w:cs="Arial"/>
          <w:color w:val="3D3D3D"/>
          <w:sz w:val="21"/>
          <w:szCs w:val="21"/>
        </w:rPr>
      </w:pPr>
      <w:r>
        <w:rPr>
          <w:rFonts w:ascii="Arial" w:hAnsi="Arial" w:cs="Arial"/>
          <w:color w:val="3D3D3D"/>
          <w:sz w:val="21"/>
          <w:szCs w:val="21"/>
        </w:rPr>
        <w:t xml:space="preserve">A. For employees who are furloughed, but still employed, the answer depends upon the plan eligibility rules and whether there </w:t>
      </w:r>
      <w:proofErr w:type="gramStart"/>
      <w:r>
        <w:rPr>
          <w:rFonts w:ascii="Arial" w:hAnsi="Arial" w:cs="Arial"/>
          <w:color w:val="3D3D3D"/>
          <w:sz w:val="21"/>
          <w:szCs w:val="21"/>
        </w:rPr>
        <w:t>are</w:t>
      </w:r>
      <w:proofErr w:type="gramEnd"/>
      <w:r>
        <w:rPr>
          <w:rFonts w:ascii="Arial" w:hAnsi="Arial" w:cs="Arial"/>
          <w:color w:val="3D3D3D"/>
          <w:sz w:val="21"/>
          <w:szCs w:val="21"/>
        </w:rPr>
        <w:t xml:space="preserve"> any leave of absence policies which extend benefit eligibility. If the employees no longer meet plan eligibility requirements or qualify for a leave of absence which extends benefit eligibility, coverage may need to be terminated and COBRA offered unless the employer coordinates a benefit extension with the carrier or stop-loss vendor.</w:t>
      </w:r>
    </w:p>
    <w:p w14:paraId="1C8FD01C" w14:textId="77777777" w:rsidR="00A151F0" w:rsidRDefault="00A151F0" w:rsidP="00A151F0">
      <w:pPr>
        <w:pStyle w:val="NormalWeb"/>
        <w:shd w:val="clear" w:color="auto" w:fill="FFFFFF"/>
        <w:rPr>
          <w:rFonts w:ascii="Arial" w:hAnsi="Arial" w:cs="Arial"/>
          <w:color w:val="3D3D3D"/>
          <w:sz w:val="21"/>
          <w:szCs w:val="21"/>
        </w:rPr>
      </w:pPr>
      <w:r>
        <w:rPr>
          <w:rFonts w:ascii="Arial" w:hAnsi="Arial" w:cs="Arial"/>
          <w:color w:val="3D3D3D"/>
          <w:sz w:val="21"/>
          <w:szCs w:val="21"/>
        </w:rPr>
        <w:t>For employees who are laid off (employment is terminated), even if it is expected to be temporary, the former employees will no longer meet the plan eligibility requirements, and therefore coverage may need to be terminated and COBRA offered. As mentioned above for a furlough, the employer could extend benefit eligibility temporarily beyond employment if the carrier or stop-loss vendor is willing to cooperate.</w:t>
      </w:r>
    </w:p>
    <w:p w14:paraId="542F93B1" w14:textId="7F6C91EB" w:rsidR="00A151F0" w:rsidRDefault="00A151F0" w:rsidP="00A151F0">
      <w:pPr>
        <w:pStyle w:val="NormalWeb"/>
        <w:shd w:val="clear" w:color="auto" w:fill="FFFFFF"/>
        <w:rPr>
          <w:rFonts w:ascii="Arial" w:hAnsi="Arial" w:cs="Arial"/>
          <w:color w:val="3D3D3D"/>
          <w:sz w:val="21"/>
          <w:szCs w:val="21"/>
        </w:rPr>
      </w:pPr>
      <w:r>
        <w:rPr>
          <w:rFonts w:ascii="Arial" w:hAnsi="Arial" w:cs="Arial"/>
          <w:color w:val="3D3D3D"/>
          <w:sz w:val="21"/>
          <w:szCs w:val="21"/>
        </w:rPr>
        <w:t xml:space="preserve">More information may be found in our issue brief found on our COVID-19 resource site, here:  </w:t>
      </w:r>
      <w:hyperlink r:id="rId31" w:history="1">
        <w:r w:rsidR="00C10FBA" w:rsidRPr="00925934">
          <w:rPr>
            <w:rStyle w:val="Hyperlink"/>
            <w:rFonts w:ascii="Arial" w:eastAsiaTheme="majorEastAsia" w:hAnsi="Arial" w:cs="Arial"/>
            <w:sz w:val="21"/>
            <w:szCs w:val="21"/>
          </w:rPr>
          <w:t>https://benefitcomply.com/wp-content/uploads/2020/03/COVID19SickLeaveFurloughsLayoffs_Mar2020.docx</w:t>
        </w:r>
      </w:hyperlink>
      <w:r>
        <w:rPr>
          <w:rFonts w:ascii="Arial" w:hAnsi="Arial" w:cs="Arial"/>
          <w:color w:val="3D3D3D"/>
          <w:sz w:val="21"/>
          <w:szCs w:val="21"/>
        </w:rPr>
        <w:t>.</w:t>
      </w:r>
    </w:p>
    <w:p w14:paraId="4041DF1E" w14:textId="77777777" w:rsidR="00A151F0" w:rsidRDefault="00A151F0" w:rsidP="00A151F0">
      <w:pPr>
        <w:pStyle w:val="NormalWeb"/>
        <w:shd w:val="clear" w:color="auto" w:fill="FFFFFF"/>
        <w:rPr>
          <w:rFonts w:ascii="Arial" w:hAnsi="Arial" w:cs="Arial"/>
          <w:color w:val="3D3D3D"/>
          <w:sz w:val="21"/>
          <w:szCs w:val="21"/>
        </w:rPr>
      </w:pPr>
      <w:r>
        <w:rPr>
          <w:rFonts w:ascii="Arial" w:hAnsi="Arial" w:cs="Arial"/>
          <w:color w:val="3D3D3D"/>
          <w:sz w:val="21"/>
          <w:szCs w:val="21"/>
        </w:rPr>
        <w:t>NOTE: The DOL has advised that employers who have furlough or lay-off employees will generally not have to offer such employees Emergency Paid Sick Leave or Expanded FMLA as provided under the new legislation. The DOL indicates this is true whether the furlough/lay-off is due to lack of business or because it was required to close pursuant to a Federal, State, or local directive. See Q&amp;As 23-28 here – </w:t>
      </w:r>
      <w:hyperlink r:id="rId32" w:history="1">
        <w:r>
          <w:rPr>
            <w:rStyle w:val="Hyperlink"/>
            <w:rFonts w:ascii="Arial" w:eastAsiaTheme="majorEastAsia" w:hAnsi="Arial" w:cs="Arial"/>
            <w:color w:val="3590EA"/>
            <w:sz w:val="21"/>
            <w:szCs w:val="21"/>
          </w:rPr>
          <w:t>https://www.dol.gov/agencies/whd/pandemic/ffcra-questions</w:t>
        </w:r>
      </w:hyperlink>
      <w:r>
        <w:rPr>
          <w:rFonts w:ascii="Arial" w:hAnsi="Arial" w:cs="Arial"/>
          <w:color w:val="3D3D3D"/>
          <w:sz w:val="21"/>
          <w:szCs w:val="21"/>
        </w:rPr>
        <w:t>.</w:t>
      </w:r>
    </w:p>
    <w:p w14:paraId="2640E6EF" w14:textId="70085A6D" w:rsidR="00F8362A" w:rsidRPr="00326A75" w:rsidRDefault="00F8362A" w:rsidP="004214A6">
      <w:pPr>
        <w:shd w:val="clear" w:color="auto" w:fill="FFFFFF"/>
        <w:spacing w:after="360" w:line="360" w:lineRule="auto"/>
        <w:jc w:val="both"/>
        <w:textAlignment w:val="baseline"/>
        <w:rPr>
          <w:rFonts w:ascii="Arial" w:eastAsia="Times New Roman" w:hAnsi="Arial" w:cs="Arial"/>
          <w:b/>
          <w:bCs/>
          <w:color w:val="595959"/>
          <w:sz w:val="20"/>
          <w:szCs w:val="20"/>
          <w:lang w:eastAsia="en-US"/>
        </w:rPr>
      </w:pPr>
    </w:p>
    <w:sectPr w:rsidR="00F8362A" w:rsidRPr="00326A75" w:rsidSect="002B480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0BCE" w14:textId="77777777" w:rsidR="00346557" w:rsidRDefault="00346557" w:rsidP="00790E63">
      <w:r>
        <w:separator/>
      </w:r>
    </w:p>
  </w:endnote>
  <w:endnote w:type="continuationSeparator" w:id="0">
    <w:p w14:paraId="0BA04A14" w14:textId="77777777" w:rsidR="00346557" w:rsidRDefault="00346557"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91A" w14:textId="49141F50" w:rsidR="005A10A7" w:rsidRPr="008D1681" w:rsidRDefault="005A10A7"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w:t>
    </w:r>
    <w:r w:rsidR="00F7782B">
      <w:t>2</w:t>
    </w:r>
    <w:r>
      <w:t xml:space="preserve"> | Q</w:t>
    </w:r>
    <w:r w:rsidR="00F7782B">
      <w:t>1</w:t>
    </w:r>
    <w:r>
      <w:t xml:space="preserve"> | 20</w:t>
    </w:r>
    <w:r w:rsidR="00F7782B">
      <w:t>20</w:t>
    </w:r>
  </w:p>
  <w:p w14:paraId="5736781F" w14:textId="21A838BD" w:rsidR="00BF7CDD" w:rsidRDefault="00BF7CDD"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sidR="000668D8">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29BB6" w14:textId="77777777" w:rsidR="00346557" w:rsidRDefault="00346557" w:rsidP="00790E63">
      <w:r>
        <w:separator/>
      </w:r>
    </w:p>
  </w:footnote>
  <w:footnote w:type="continuationSeparator" w:id="0">
    <w:p w14:paraId="03CE51F7" w14:textId="77777777" w:rsidR="00346557" w:rsidRDefault="00346557" w:rsidP="0079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46E"/>
    <w:multiLevelType w:val="hybridMultilevel"/>
    <w:tmpl w:val="55C84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7491389"/>
    <w:multiLevelType w:val="hybridMultilevel"/>
    <w:tmpl w:val="566E1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2B2DEE"/>
    <w:multiLevelType w:val="hybridMultilevel"/>
    <w:tmpl w:val="6C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57E2D"/>
    <w:multiLevelType w:val="multilevel"/>
    <w:tmpl w:val="DCF891AC"/>
    <w:numStyleLink w:val="Style1"/>
  </w:abstractNum>
  <w:abstractNum w:abstractNumId="8" w15:restartNumberingAfterBreak="0">
    <w:nsid w:val="291955C4"/>
    <w:multiLevelType w:val="multilevel"/>
    <w:tmpl w:val="DCF891AC"/>
    <w:numStyleLink w:val="Style1"/>
  </w:abstractNum>
  <w:abstractNum w:abstractNumId="9"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217BE"/>
    <w:multiLevelType w:val="hybridMultilevel"/>
    <w:tmpl w:val="14D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7EC0"/>
    <w:multiLevelType w:val="hybridMultilevel"/>
    <w:tmpl w:val="9C088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6800EB4"/>
    <w:multiLevelType w:val="hybridMultilevel"/>
    <w:tmpl w:val="4CFCE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E766BA"/>
    <w:multiLevelType w:val="hybridMultilevel"/>
    <w:tmpl w:val="8B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B3E"/>
    <w:multiLevelType w:val="hybridMultilevel"/>
    <w:tmpl w:val="6E58A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F200108"/>
    <w:multiLevelType w:val="hybridMultilevel"/>
    <w:tmpl w:val="76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36C0E"/>
    <w:multiLevelType w:val="hybridMultilevel"/>
    <w:tmpl w:val="315C04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29A4BE7"/>
    <w:multiLevelType w:val="hybridMultilevel"/>
    <w:tmpl w:val="3656D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3236A1F"/>
    <w:multiLevelType w:val="hybridMultilevel"/>
    <w:tmpl w:val="714C1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4A64F95"/>
    <w:multiLevelType w:val="hybridMultilevel"/>
    <w:tmpl w:val="1FF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044C5"/>
    <w:multiLevelType w:val="hybridMultilevel"/>
    <w:tmpl w:val="D4B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86F77"/>
    <w:multiLevelType w:val="hybridMultilevel"/>
    <w:tmpl w:val="26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E56C24"/>
    <w:multiLevelType w:val="hybridMultilevel"/>
    <w:tmpl w:val="D7B60454"/>
    <w:lvl w:ilvl="0" w:tplc="81D43000">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31DD8"/>
    <w:multiLevelType w:val="hybridMultilevel"/>
    <w:tmpl w:val="2170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A6C9E"/>
    <w:multiLevelType w:val="hybridMultilevel"/>
    <w:tmpl w:val="4CA6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D95D6A"/>
    <w:multiLevelType w:val="hybridMultilevel"/>
    <w:tmpl w:val="F3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8085A0E"/>
    <w:multiLevelType w:val="hybridMultilevel"/>
    <w:tmpl w:val="0776A0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C4D1FFB"/>
    <w:multiLevelType w:val="hybridMultilevel"/>
    <w:tmpl w:val="13806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6CF3708B"/>
    <w:multiLevelType w:val="hybridMultilevel"/>
    <w:tmpl w:val="885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861A9"/>
    <w:multiLevelType w:val="hybridMultilevel"/>
    <w:tmpl w:val="D6EE1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703B4540"/>
    <w:multiLevelType w:val="hybridMultilevel"/>
    <w:tmpl w:val="CE32FE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79FB6DE9"/>
    <w:multiLevelType w:val="hybridMultilevel"/>
    <w:tmpl w:val="A41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D4AA4"/>
    <w:multiLevelType w:val="multilevel"/>
    <w:tmpl w:val="56F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9"/>
  </w:num>
  <w:num w:numId="4">
    <w:abstractNumId w:val="1"/>
  </w:num>
  <w:num w:numId="5">
    <w:abstractNumId w:val="0"/>
  </w:num>
  <w:num w:numId="6">
    <w:abstractNumId w:val="2"/>
  </w:num>
  <w:num w:numId="7">
    <w:abstractNumId w:val="36"/>
  </w:num>
  <w:num w:numId="8">
    <w:abstractNumId w:val="35"/>
  </w:num>
  <w:num w:numId="9">
    <w:abstractNumId w:val="15"/>
  </w:num>
  <w:num w:numId="10">
    <w:abstractNumId w:val="23"/>
  </w:num>
  <w:num w:numId="11">
    <w:abstractNumId w:val="29"/>
  </w:num>
  <w:num w:numId="12">
    <w:abstractNumId w:val="12"/>
  </w:num>
  <w:num w:numId="13">
    <w:abstractNumId w:val="5"/>
  </w:num>
  <w:num w:numId="14">
    <w:abstractNumId w:val="20"/>
  </w:num>
  <w:num w:numId="15">
    <w:abstractNumId w:val="33"/>
  </w:num>
  <w:num w:numId="16">
    <w:abstractNumId w:val="25"/>
  </w:num>
  <w:num w:numId="17">
    <w:abstractNumId w:val="10"/>
  </w:num>
  <w:num w:numId="18">
    <w:abstractNumId w:val="19"/>
  </w:num>
  <w:num w:numId="19">
    <w:abstractNumId w:val="28"/>
  </w:num>
  <w:num w:numId="20">
    <w:abstractNumId w:val="32"/>
  </w:num>
  <w:num w:numId="21">
    <w:abstractNumId w:val="26"/>
  </w:num>
  <w:num w:numId="22">
    <w:abstractNumId w:val="8"/>
  </w:num>
  <w:num w:numId="23">
    <w:abstractNumId w:val="7"/>
  </w:num>
  <w:num w:numId="24">
    <w:abstractNumId w:val="30"/>
  </w:num>
  <w:num w:numId="25">
    <w:abstractNumId w:val="3"/>
  </w:num>
  <w:num w:numId="26">
    <w:abstractNumId w:val="18"/>
  </w:num>
  <w:num w:numId="27">
    <w:abstractNumId w:val="11"/>
  </w:num>
  <w:num w:numId="28">
    <w:abstractNumId w:val="14"/>
  </w:num>
  <w:num w:numId="29">
    <w:abstractNumId w:val="31"/>
  </w:num>
  <w:num w:numId="30">
    <w:abstractNumId w:val="17"/>
  </w:num>
  <w:num w:numId="31">
    <w:abstractNumId w:val="27"/>
  </w:num>
  <w:num w:numId="32">
    <w:abstractNumId w:val="16"/>
  </w:num>
  <w:num w:numId="33">
    <w:abstractNumId w:val="4"/>
  </w:num>
  <w:num w:numId="34">
    <w:abstractNumId w:val="21"/>
  </w:num>
  <w:num w:numId="35">
    <w:abstractNumId w:val="13"/>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5732"/>
    <w:rsid w:val="0001225A"/>
    <w:rsid w:val="00014204"/>
    <w:rsid w:val="000154E5"/>
    <w:rsid w:val="000221EE"/>
    <w:rsid w:val="00032EF5"/>
    <w:rsid w:val="00037F4F"/>
    <w:rsid w:val="00041675"/>
    <w:rsid w:val="00044AD3"/>
    <w:rsid w:val="000518EE"/>
    <w:rsid w:val="0006238D"/>
    <w:rsid w:val="00062F13"/>
    <w:rsid w:val="000668D8"/>
    <w:rsid w:val="00066D53"/>
    <w:rsid w:val="00072EB5"/>
    <w:rsid w:val="00083A30"/>
    <w:rsid w:val="000929E6"/>
    <w:rsid w:val="00097300"/>
    <w:rsid w:val="000A6609"/>
    <w:rsid w:val="000B2A02"/>
    <w:rsid w:val="000B2DA7"/>
    <w:rsid w:val="000C462E"/>
    <w:rsid w:val="000F4E7A"/>
    <w:rsid w:val="000F53EE"/>
    <w:rsid w:val="000F59F3"/>
    <w:rsid w:val="0010069B"/>
    <w:rsid w:val="001029D9"/>
    <w:rsid w:val="00105934"/>
    <w:rsid w:val="0011016B"/>
    <w:rsid w:val="001179ED"/>
    <w:rsid w:val="00121172"/>
    <w:rsid w:val="0012276C"/>
    <w:rsid w:val="00125316"/>
    <w:rsid w:val="00126F49"/>
    <w:rsid w:val="001503BD"/>
    <w:rsid w:val="00162742"/>
    <w:rsid w:val="00162E67"/>
    <w:rsid w:val="00164089"/>
    <w:rsid w:val="001727D6"/>
    <w:rsid w:val="001A08AE"/>
    <w:rsid w:val="001A14F7"/>
    <w:rsid w:val="001A6F61"/>
    <w:rsid w:val="001B2E28"/>
    <w:rsid w:val="001C1C37"/>
    <w:rsid w:val="001D3A41"/>
    <w:rsid w:val="001D3D71"/>
    <w:rsid w:val="001E026E"/>
    <w:rsid w:val="001E3FA2"/>
    <w:rsid w:val="001F0364"/>
    <w:rsid w:val="001F39C6"/>
    <w:rsid w:val="001F5D04"/>
    <w:rsid w:val="00200C32"/>
    <w:rsid w:val="0020660C"/>
    <w:rsid w:val="00213545"/>
    <w:rsid w:val="00215574"/>
    <w:rsid w:val="00223A51"/>
    <w:rsid w:val="00226A7E"/>
    <w:rsid w:val="00250745"/>
    <w:rsid w:val="00254637"/>
    <w:rsid w:val="00261647"/>
    <w:rsid w:val="00262AE9"/>
    <w:rsid w:val="00264284"/>
    <w:rsid w:val="00271A31"/>
    <w:rsid w:val="00272438"/>
    <w:rsid w:val="00287F34"/>
    <w:rsid w:val="002957B7"/>
    <w:rsid w:val="00295C14"/>
    <w:rsid w:val="002A0550"/>
    <w:rsid w:val="002A70F7"/>
    <w:rsid w:val="002B137D"/>
    <w:rsid w:val="002B4808"/>
    <w:rsid w:val="002B69F0"/>
    <w:rsid w:val="002C17ED"/>
    <w:rsid w:val="002C3D19"/>
    <w:rsid w:val="002D4A94"/>
    <w:rsid w:val="002D4C25"/>
    <w:rsid w:val="002E10CF"/>
    <w:rsid w:val="002E4717"/>
    <w:rsid w:val="002E6F08"/>
    <w:rsid w:val="002F3CA3"/>
    <w:rsid w:val="003044C8"/>
    <w:rsid w:val="00314D57"/>
    <w:rsid w:val="0031604A"/>
    <w:rsid w:val="0031707C"/>
    <w:rsid w:val="00320CFF"/>
    <w:rsid w:val="003246EE"/>
    <w:rsid w:val="00326A75"/>
    <w:rsid w:val="00330A73"/>
    <w:rsid w:val="0033447C"/>
    <w:rsid w:val="0034308A"/>
    <w:rsid w:val="00346557"/>
    <w:rsid w:val="003551A3"/>
    <w:rsid w:val="003625E3"/>
    <w:rsid w:val="003646E8"/>
    <w:rsid w:val="0036714C"/>
    <w:rsid w:val="003672F0"/>
    <w:rsid w:val="00367FF9"/>
    <w:rsid w:val="00373911"/>
    <w:rsid w:val="003B647D"/>
    <w:rsid w:val="003B6AD4"/>
    <w:rsid w:val="003C0B47"/>
    <w:rsid w:val="003C6878"/>
    <w:rsid w:val="003C6AE1"/>
    <w:rsid w:val="003D3826"/>
    <w:rsid w:val="003E00B3"/>
    <w:rsid w:val="003E00E7"/>
    <w:rsid w:val="003F3D8F"/>
    <w:rsid w:val="003F631E"/>
    <w:rsid w:val="00402329"/>
    <w:rsid w:val="00402376"/>
    <w:rsid w:val="0041158D"/>
    <w:rsid w:val="00411F35"/>
    <w:rsid w:val="004120F7"/>
    <w:rsid w:val="00416DBA"/>
    <w:rsid w:val="004214A6"/>
    <w:rsid w:val="00424FAB"/>
    <w:rsid w:val="00440F16"/>
    <w:rsid w:val="004441FA"/>
    <w:rsid w:val="00453449"/>
    <w:rsid w:val="00454939"/>
    <w:rsid w:val="00454CEF"/>
    <w:rsid w:val="00456D89"/>
    <w:rsid w:val="004618A9"/>
    <w:rsid w:val="00467CC1"/>
    <w:rsid w:val="00472FC4"/>
    <w:rsid w:val="0048544B"/>
    <w:rsid w:val="0049094F"/>
    <w:rsid w:val="0049185D"/>
    <w:rsid w:val="00493283"/>
    <w:rsid w:val="004950EE"/>
    <w:rsid w:val="0049577E"/>
    <w:rsid w:val="004967AF"/>
    <w:rsid w:val="004A1819"/>
    <w:rsid w:val="004A2F62"/>
    <w:rsid w:val="004A34E3"/>
    <w:rsid w:val="004A73F8"/>
    <w:rsid w:val="004C0268"/>
    <w:rsid w:val="00506C0F"/>
    <w:rsid w:val="005079AE"/>
    <w:rsid w:val="00511DB3"/>
    <w:rsid w:val="00527B3F"/>
    <w:rsid w:val="005314C6"/>
    <w:rsid w:val="00542C15"/>
    <w:rsid w:val="005431BE"/>
    <w:rsid w:val="00544D1F"/>
    <w:rsid w:val="0054516F"/>
    <w:rsid w:val="00546DAB"/>
    <w:rsid w:val="00547DAC"/>
    <w:rsid w:val="0055096F"/>
    <w:rsid w:val="005635D3"/>
    <w:rsid w:val="00567CCE"/>
    <w:rsid w:val="005723A0"/>
    <w:rsid w:val="005809DA"/>
    <w:rsid w:val="00581331"/>
    <w:rsid w:val="00592262"/>
    <w:rsid w:val="00593C4D"/>
    <w:rsid w:val="005A0881"/>
    <w:rsid w:val="005A10A7"/>
    <w:rsid w:val="005A2CAD"/>
    <w:rsid w:val="005A7998"/>
    <w:rsid w:val="005C01C7"/>
    <w:rsid w:val="005C0E3D"/>
    <w:rsid w:val="005C1CBC"/>
    <w:rsid w:val="005C3316"/>
    <w:rsid w:val="005C38B2"/>
    <w:rsid w:val="005D3563"/>
    <w:rsid w:val="005D7827"/>
    <w:rsid w:val="005E3726"/>
    <w:rsid w:val="005F14B5"/>
    <w:rsid w:val="005F5EAD"/>
    <w:rsid w:val="006000F7"/>
    <w:rsid w:val="006118C4"/>
    <w:rsid w:val="00613002"/>
    <w:rsid w:val="00615015"/>
    <w:rsid w:val="006236EF"/>
    <w:rsid w:val="00634A1E"/>
    <w:rsid w:val="006371F5"/>
    <w:rsid w:val="0063763B"/>
    <w:rsid w:val="00650E55"/>
    <w:rsid w:val="00654986"/>
    <w:rsid w:val="0065523B"/>
    <w:rsid w:val="00660B36"/>
    <w:rsid w:val="00662D0F"/>
    <w:rsid w:val="006721C5"/>
    <w:rsid w:val="00672378"/>
    <w:rsid w:val="006751C9"/>
    <w:rsid w:val="00684F44"/>
    <w:rsid w:val="006874B4"/>
    <w:rsid w:val="006979BA"/>
    <w:rsid w:val="006B5869"/>
    <w:rsid w:val="006C4790"/>
    <w:rsid w:val="006D3FC1"/>
    <w:rsid w:val="006E32EC"/>
    <w:rsid w:val="006F40D0"/>
    <w:rsid w:val="006F5AB9"/>
    <w:rsid w:val="006F5EC0"/>
    <w:rsid w:val="007073A2"/>
    <w:rsid w:val="00711609"/>
    <w:rsid w:val="0071628A"/>
    <w:rsid w:val="00720027"/>
    <w:rsid w:val="00723D69"/>
    <w:rsid w:val="00733C58"/>
    <w:rsid w:val="00744A71"/>
    <w:rsid w:val="00760EF4"/>
    <w:rsid w:val="00762A7F"/>
    <w:rsid w:val="00763DC8"/>
    <w:rsid w:val="00764FED"/>
    <w:rsid w:val="00771AA8"/>
    <w:rsid w:val="00772B29"/>
    <w:rsid w:val="00772C29"/>
    <w:rsid w:val="00772F9E"/>
    <w:rsid w:val="007819DA"/>
    <w:rsid w:val="00783703"/>
    <w:rsid w:val="007845E3"/>
    <w:rsid w:val="00790676"/>
    <w:rsid w:val="00790E63"/>
    <w:rsid w:val="00796EAE"/>
    <w:rsid w:val="007A7423"/>
    <w:rsid w:val="007C2BC6"/>
    <w:rsid w:val="007C5F9B"/>
    <w:rsid w:val="007D3787"/>
    <w:rsid w:val="007E006C"/>
    <w:rsid w:val="007E68BA"/>
    <w:rsid w:val="007E6D0E"/>
    <w:rsid w:val="007E7565"/>
    <w:rsid w:val="007F0D31"/>
    <w:rsid w:val="007F4CD4"/>
    <w:rsid w:val="00800AE2"/>
    <w:rsid w:val="008011AC"/>
    <w:rsid w:val="008107C6"/>
    <w:rsid w:val="00810BF4"/>
    <w:rsid w:val="00814189"/>
    <w:rsid w:val="0082150F"/>
    <w:rsid w:val="00846F77"/>
    <w:rsid w:val="00854BC8"/>
    <w:rsid w:val="00855C70"/>
    <w:rsid w:val="0086482F"/>
    <w:rsid w:val="00893053"/>
    <w:rsid w:val="00894AB6"/>
    <w:rsid w:val="008A4B11"/>
    <w:rsid w:val="008A59DE"/>
    <w:rsid w:val="008D2CD8"/>
    <w:rsid w:val="008E0DA7"/>
    <w:rsid w:val="008E11C0"/>
    <w:rsid w:val="008F7536"/>
    <w:rsid w:val="00910FB7"/>
    <w:rsid w:val="009124FD"/>
    <w:rsid w:val="00913DD7"/>
    <w:rsid w:val="00914850"/>
    <w:rsid w:val="0092085F"/>
    <w:rsid w:val="009214C5"/>
    <w:rsid w:val="0092623B"/>
    <w:rsid w:val="00926F35"/>
    <w:rsid w:val="00933B91"/>
    <w:rsid w:val="00940032"/>
    <w:rsid w:val="0094024B"/>
    <w:rsid w:val="00951A34"/>
    <w:rsid w:val="00963DF9"/>
    <w:rsid w:val="00967099"/>
    <w:rsid w:val="00970C55"/>
    <w:rsid w:val="009729B0"/>
    <w:rsid w:val="00981027"/>
    <w:rsid w:val="00996320"/>
    <w:rsid w:val="009A217A"/>
    <w:rsid w:val="009A2C1C"/>
    <w:rsid w:val="009A5676"/>
    <w:rsid w:val="009A7A75"/>
    <w:rsid w:val="009B3E99"/>
    <w:rsid w:val="009B4F01"/>
    <w:rsid w:val="009D4089"/>
    <w:rsid w:val="009D53B7"/>
    <w:rsid w:val="009D7B3B"/>
    <w:rsid w:val="009E454E"/>
    <w:rsid w:val="009E6E6B"/>
    <w:rsid w:val="009E7CC8"/>
    <w:rsid w:val="00A00736"/>
    <w:rsid w:val="00A151F0"/>
    <w:rsid w:val="00A215D9"/>
    <w:rsid w:val="00A233DE"/>
    <w:rsid w:val="00A23535"/>
    <w:rsid w:val="00A2440F"/>
    <w:rsid w:val="00A46240"/>
    <w:rsid w:val="00A77FE6"/>
    <w:rsid w:val="00A83834"/>
    <w:rsid w:val="00A853FD"/>
    <w:rsid w:val="00AB4EFB"/>
    <w:rsid w:val="00AC58F5"/>
    <w:rsid w:val="00AD00DF"/>
    <w:rsid w:val="00AD44D9"/>
    <w:rsid w:val="00AD4D40"/>
    <w:rsid w:val="00AD5CE9"/>
    <w:rsid w:val="00AE4B6B"/>
    <w:rsid w:val="00AE4C42"/>
    <w:rsid w:val="00B00E97"/>
    <w:rsid w:val="00B06F14"/>
    <w:rsid w:val="00B10215"/>
    <w:rsid w:val="00B1461A"/>
    <w:rsid w:val="00B23F65"/>
    <w:rsid w:val="00B35EA0"/>
    <w:rsid w:val="00B43DAE"/>
    <w:rsid w:val="00B56046"/>
    <w:rsid w:val="00B56285"/>
    <w:rsid w:val="00B64844"/>
    <w:rsid w:val="00B7435E"/>
    <w:rsid w:val="00B77AC2"/>
    <w:rsid w:val="00B87F35"/>
    <w:rsid w:val="00BA18F8"/>
    <w:rsid w:val="00BA32D5"/>
    <w:rsid w:val="00BA4A3C"/>
    <w:rsid w:val="00BB3AEB"/>
    <w:rsid w:val="00BB44A0"/>
    <w:rsid w:val="00BC0DE4"/>
    <w:rsid w:val="00BC6E32"/>
    <w:rsid w:val="00BD2304"/>
    <w:rsid w:val="00BE1BBF"/>
    <w:rsid w:val="00BE464A"/>
    <w:rsid w:val="00BF7CDD"/>
    <w:rsid w:val="00C10FBA"/>
    <w:rsid w:val="00C144E1"/>
    <w:rsid w:val="00C2344E"/>
    <w:rsid w:val="00C47D05"/>
    <w:rsid w:val="00C51225"/>
    <w:rsid w:val="00C57C98"/>
    <w:rsid w:val="00C62225"/>
    <w:rsid w:val="00C65FEF"/>
    <w:rsid w:val="00C70647"/>
    <w:rsid w:val="00C716AB"/>
    <w:rsid w:val="00C74A2B"/>
    <w:rsid w:val="00C775C3"/>
    <w:rsid w:val="00C815C2"/>
    <w:rsid w:val="00C84C84"/>
    <w:rsid w:val="00C922F5"/>
    <w:rsid w:val="00C92D7B"/>
    <w:rsid w:val="00C952BD"/>
    <w:rsid w:val="00C978DD"/>
    <w:rsid w:val="00CA23ED"/>
    <w:rsid w:val="00CB595C"/>
    <w:rsid w:val="00CE77C7"/>
    <w:rsid w:val="00D039D0"/>
    <w:rsid w:val="00D056FF"/>
    <w:rsid w:val="00D14EA3"/>
    <w:rsid w:val="00D176FE"/>
    <w:rsid w:val="00D312AA"/>
    <w:rsid w:val="00D35526"/>
    <w:rsid w:val="00D379C7"/>
    <w:rsid w:val="00D41E7B"/>
    <w:rsid w:val="00D474BE"/>
    <w:rsid w:val="00D500B6"/>
    <w:rsid w:val="00D51254"/>
    <w:rsid w:val="00D63369"/>
    <w:rsid w:val="00D650AE"/>
    <w:rsid w:val="00D65FCB"/>
    <w:rsid w:val="00D666CB"/>
    <w:rsid w:val="00D74A6F"/>
    <w:rsid w:val="00D77C5D"/>
    <w:rsid w:val="00D84DCC"/>
    <w:rsid w:val="00D863E9"/>
    <w:rsid w:val="00D97457"/>
    <w:rsid w:val="00DB0F8D"/>
    <w:rsid w:val="00DB148D"/>
    <w:rsid w:val="00DC0063"/>
    <w:rsid w:val="00DD4EFC"/>
    <w:rsid w:val="00DD7BDE"/>
    <w:rsid w:val="00DE49AD"/>
    <w:rsid w:val="00DE50BB"/>
    <w:rsid w:val="00DE54ED"/>
    <w:rsid w:val="00DF1D7C"/>
    <w:rsid w:val="00E130DE"/>
    <w:rsid w:val="00E150B4"/>
    <w:rsid w:val="00E325D6"/>
    <w:rsid w:val="00E423FA"/>
    <w:rsid w:val="00E45791"/>
    <w:rsid w:val="00E5241D"/>
    <w:rsid w:val="00E542C1"/>
    <w:rsid w:val="00E63217"/>
    <w:rsid w:val="00E72903"/>
    <w:rsid w:val="00E85322"/>
    <w:rsid w:val="00E859A6"/>
    <w:rsid w:val="00EA364A"/>
    <w:rsid w:val="00EA3D7E"/>
    <w:rsid w:val="00EA7950"/>
    <w:rsid w:val="00EB016C"/>
    <w:rsid w:val="00EB3FBD"/>
    <w:rsid w:val="00ED102F"/>
    <w:rsid w:val="00EE0AA2"/>
    <w:rsid w:val="00EF073A"/>
    <w:rsid w:val="00F00CE2"/>
    <w:rsid w:val="00F01CA5"/>
    <w:rsid w:val="00F049A6"/>
    <w:rsid w:val="00F1367B"/>
    <w:rsid w:val="00F1588E"/>
    <w:rsid w:val="00F2799F"/>
    <w:rsid w:val="00F31CF5"/>
    <w:rsid w:val="00F31F18"/>
    <w:rsid w:val="00F32074"/>
    <w:rsid w:val="00F41D4A"/>
    <w:rsid w:val="00F43B42"/>
    <w:rsid w:val="00F478B5"/>
    <w:rsid w:val="00F72394"/>
    <w:rsid w:val="00F7782B"/>
    <w:rsid w:val="00F8362A"/>
    <w:rsid w:val="00F839A8"/>
    <w:rsid w:val="00F83A1E"/>
    <w:rsid w:val="00F9140C"/>
    <w:rsid w:val="00F96679"/>
    <w:rsid w:val="00FA10DC"/>
    <w:rsid w:val="00FB17B1"/>
    <w:rsid w:val="00FB38BA"/>
    <w:rsid w:val="00FB4101"/>
    <w:rsid w:val="00FB44D6"/>
    <w:rsid w:val="00FB5550"/>
    <w:rsid w:val="00FB5F3B"/>
    <w:rsid w:val="00FB73A3"/>
    <w:rsid w:val="00FE2BD6"/>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24"/>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660B36"/>
    <w:pPr>
      <w:spacing w:before="360"/>
      <w:ind w:right="3996"/>
    </w:pPr>
    <w:rPr>
      <w:rFonts w:ascii="Arial" w:hAnsi="Arial" w:cs="Arial"/>
      <w:b/>
      <w:bCs/>
      <w:sz w:val="32"/>
      <w:szCs w:val="32"/>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5"/>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22"/>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1"/>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27282827">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64736703">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809513857">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857735177">
      <w:bodyDiv w:val="1"/>
      <w:marLeft w:val="0"/>
      <w:marRight w:val="0"/>
      <w:marTop w:val="0"/>
      <w:marBottom w:val="0"/>
      <w:divBdr>
        <w:top w:val="none" w:sz="0" w:space="0" w:color="auto"/>
        <w:left w:val="none" w:sz="0" w:space="0" w:color="auto"/>
        <w:bottom w:val="none" w:sz="0" w:space="0" w:color="auto"/>
        <w:right w:val="none" w:sz="0" w:space="0" w:color="auto"/>
      </w:divBdr>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17289106">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0860019">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601600192">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91727849">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CCIIO/Resources/Fact-Sheets-and-FAQs/Downloads/FAQs-Part-41.pdf" TargetMode="External"/><Relationship Id="rId18" Type="http://schemas.openxmlformats.org/officeDocument/2006/relationships/hyperlink" Target="https://benefitcomply.com/issue-brief-minimum-essential-coverage-mec-skinny-plans/" TargetMode="External"/><Relationship Id="rId26" Type="http://schemas.openxmlformats.org/officeDocument/2006/relationships/hyperlink" Target="https://benefitcomply.com/%e2%80%a2-issue-brief-controlled-affiliated-service-group-basics/" TargetMode="External"/><Relationship Id="rId3" Type="http://schemas.openxmlformats.org/officeDocument/2006/relationships/customXml" Target="../customXml/item3.xml"/><Relationship Id="rId21" Type="http://schemas.openxmlformats.org/officeDocument/2006/relationships/hyperlink" Target="https://www.irs.gov/pub/irs-lafa/20200801f.pdf"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healthaffairs.org/do/10.1377/hblog20200107.852383/full/" TargetMode="External"/><Relationship Id="rId17" Type="http://schemas.openxmlformats.org/officeDocument/2006/relationships/hyperlink" Target="https://www.irs.gov/pub/irs-wd/19-0028.pdf" TargetMode="External"/><Relationship Id="rId25" Type="http://schemas.openxmlformats.org/officeDocument/2006/relationships/hyperlink" Target="https://www.kff.org/medicare/issue-brief/10-faqs-on-prescription-drug-importation/?utm_campaign=KFF-2020-Medicare&amp;utm_source=hs_email&amp;utm_medium=email&amp;utm_content=83797463&amp;_hsenc=p2ANqtz--lwN2VzPiY-Hw55Yyi5QITKuxTy7woG00dN0MHB6w0KJkJ14RUXsbVXnmp75ZlSq3jTUu6Rg65xSA7CwvPj8_sgPn75w5ZE7iOX_YGQexncZUghwk&amp;_hsmi=8379746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ms.gov/CCIIO/Resources/Fact-Sheets-and-FAQs/Downloads/FAQs-Part-41.pdf" TargetMode="External"/><Relationship Id="rId20" Type="http://schemas.openxmlformats.org/officeDocument/2006/relationships/hyperlink" Target="https://www.manatt.com/Insights/Newsletters/Health-Update/Recent-Decisions-Addressing-Mental-Health-Coverage" TargetMode="External"/><Relationship Id="rId29" Type="http://schemas.openxmlformats.org/officeDocument/2006/relationships/hyperlink" Target="https://benefitcomply.com/compliance-alert-the-supreme-court-agrees-to-hear-important-aca-c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nefitcomply.com/coronavirus/" TargetMode="External"/><Relationship Id="rId24" Type="http://schemas.openxmlformats.org/officeDocument/2006/relationships/hyperlink" Target="https://www.irs.gov/pub/irs-lafa/20200801f.pdf" TargetMode="External"/><Relationship Id="rId32" Type="http://schemas.openxmlformats.org/officeDocument/2006/relationships/hyperlink" Target="https://www.dol.gov/agencies/whd/pandemic/ffcra-questions" TargetMode="External"/><Relationship Id="rId5" Type="http://schemas.openxmlformats.org/officeDocument/2006/relationships/styles" Target="styles.xml"/><Relationship Id="rId15" Type="http://schemas.openxmlformats.org/officeDocument/2006/relationships/hyperlink" Target="https://www.healthaffairs.org/do/10.1377/hblog20200107.852383/full/" TargetMode="External"/><Relationship Id="rId23" Type="http://schemas.openxmlformats.org/officeDocument/2006/relationships/hyperlink" Target="https://www.manatt.com/Insights/Newsletters/Health-Update/Recent-Decisions-Addressing-Mental-Health-Coverage" TargetMode="External"/><Relationship Id="rId28" Type="http://schemas.openxmlformats.org/officeDocument/2006/relationships/hyperlink" Target="https://benefitcomply.com/compliance-alert-court-vacates-portions-of-hipaa-regulations-guidance-related-to-individual-right-of-access/" TargetMode="External"/><Relationship Id="rId10" Type="http://schemas.openxmlformats.org/officeDocument/2006/relationships/footer" Target="footer1.xml"/><Relationship Id="rId19" Type="http://schemas.openxmlformats.org/officeDocument/2006/relationships/hyperlink" Target="https://benefitcomply.com/issue-brief-break-in-service-rules/" TargetMode="External"/><Relationship Id="rId31" Type="http://schemas.openxmlformats.org/officeDocument/2006/relationships/hyperlink" Target="https://benefitcomply.com/wp-content/uploads/2020/03/COVID19SickLeaveFurloughsLayoffs_Mar20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s.gov/pub/irs-wd/19-0028.pdf" TargetMode="External"/><Relationship Id="rId22" Type="http://schemas.openxmlformats.org/officeDocument/2006/relationships/hyperlink" Target="https://www.kff.org/medicare/issue-brief/10-faqs-on-prescription-drug-importation/?utm_campaign=KFF-2020-Medicare&amp;utm_source=hs_email&amp;utm_medium=email&amp;utm_content=83797463&amp;_hsenc=p2ANqtz--lwN2VzPiY-Hw55Yyi5QITKuxTy7woG00dN0MHB6w0KJkJ14RUXsbVXnmp75ZlSq3jTUu6Rg65xSA7CwvPj8_sgPn75w5ZE7iOX_YGQexncZUghwk&amp;_hsmi=83797463" TargetMode="External"/><Relationship Id="rId27" Type="http://schemas.openxmlformats.org/officeDocument/2006/relationships/hyperlink" Target="https://benefitcomply.com/issue-brief-new-samhsa-requirements-may-necessitate-changes-to-business-associate-agreements/" TargetMode="External"/><Relationship Id="rId30" Type="http://schemas.openxmlformats.org/officeDocument/2006/relationships/hyperlink" Target="https://benefitcomply.com/compliance-alert-hhs-announces-increase-to-cost-sharing-maximums/"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7D45BD4846E2428EB9F38F68954E8D"/>
        <w:category>
          <w:name w:val="General"/>
          <w:gallery w:val="placeholder"/>
        </w:category>
        <w:types>
          <w:type w:val="bbPlcHdr"/>
        </w:types>
        <w:behaviors>
          <w:behavior w:val="content"/>
        </w:behaviors>
        <w:guid w:val="{9B5F3BC9-B77B-EE45-A986-60DD13E017CF}"/>
      </w:docPartPr>
      <w:docPartBody>
        <w:p w:rsidR="00942F34" w:rsidRDefault="00AB1C8C" w:rsidP="00AB1C8C">
          <w:pPr>
            <w:pStyle w:val="807D45BD4846E2428EB9F38F68954E8D"/>
          </w:pPr>
          <w:r>
            <w:rPr>
              <w:lang w:val="en"/>
            </w:rPr>
            <w:t>focus</w:t>
          </w:r>
        </w:p>
      </w:docPartBody>
    </w:docPart>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75478"/>
    <w:rsid w:val="000C0F45"/>
    <w:rsid w:val="004276F5"/>
    <w:rsid w:val="0070414A"/>
    <w:rsid w:val="00922DB4"/>
    <w:rsid w:val="00942F34"/>
    <w:rsid w:val="00AB1C8C"/>
    <w:rsid w:val="00C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D45BD4846E2428EB9F38F68954E8D">
    <w:name w:val="807D45BD4846E2428EB9F38F68954E8D"/>
    <w:rsid w:val="00AB1C8C"/>
  </w:style>
  <w:style w:type="paragraph" w:customStyle="1" w:styleId="F886CE50C390E048AA454A2BD9C487AF">
    <w:name w:val="F886CE50C390E048AA454A2BD9C487AF"/>
    <w:rsid w:val="00AB1C8C"/>
  </w:style>
  <w:style w:type="paragraph" w:customStyle="1" w:styleId="6AD9EFCB11BE8740B7B31D511DCF679E">
    <w:name w:val="6AD9EFCB11BE8740B7B31D511DCF679E"/>
    <w:rsid w:val="00AB1C8C"/>
  </w:style>
  <w:style w:type="paragraph" w:customStyle="1" w:styleId="E29829DCE68B5342BD0840A7DEF75941">
    <w:name w:val="E29829DCE68B5342BD0840A7DEF75941"/>
    <w:rsid w:val="00AB1C8C"/>
  </w:style>
  <w:style w:type="paragraph" w:customStyle="1" w:styleId="370524DFCCF67A4681B0538404EE20D0">
    <w:name w:val="370524DFCCF67A4681B0538404EE20D0"/>
    <w:rsid w:val="00AB1C8C"/>
  </w:style>
  <w:style w:type="paragraph" w:customStyle="1" w:styleId="ED771BFC8C55B94FAE72CD63D20ABC06">
    <w:name w:val="ED771BFC8C55B94FAE72CD63D20ABC06"/>
    <w:rsid w:val="00AB1C8C"/>
  </w:style>
  <w:style w:type="paragraph" w:customStyle="1" w:styleId="4DC6FC875F9F5849BEF99AFC856D48F9">
    <w:name w:val="4DC6FC875F9F5849BEF99AFC856D48F9"/>
    <w:rsid w:val="00AB1C8C"/>
  </w:style>
  <w:style w:type="paragraph" w:customStyle="1" w:styleId="49433B58F85BBF4295E1E266223BD3B3">
    <w:name w:val="49433B58F85BBF4295E1E266223BD3B3"/>
    <w:rsid w:val="00AB1C8C"/>
  </w:style>
  <w:style w:type="paragraph" w:customStyle="1" w:styleId="2368E1B90066B04F86F0E1834DF20F65">
    <w:name w:val="2368E1B90066B04F86F0E1834DF20F65"/>
    <w:rsid w:val="00AB1C8C"/>
  </w:style>
  <w:style w:type="paragraph" w:customStyle="1" w:styleId="57A4F8BBFE5D4B40B12EFA5E7A90B983">
    <w:name w:val="57A4F8BBFE5D4B40B12EFA5E7A90B983"/>
    <w:rsid w:val="00AB1C8C"/>
  </w:style>
  <w:style w:type="paragraph" w:customStyle="1" w:styleId="77DD6E8A713ED24886BA01C76841B757">
    <w:name w:val="77DD6E8A713ED24886BA01C76841B757"/>
    <w:rsid w:val="00AB1C8C"/>
  </w:style>
  <w:style w:type="paragraph" w:customStyle="1" w:styleId="E66B8DF8D1E2434884412258C7055563">
    <w:name w:val="E66B8DF8D1E2434884412258C7055563"/>
    <w:rsid w:val="00AB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3010-0FF8-448C-9025-17B08B4B7876}">
  <ds:schemaRefs>
    <ds:schemaRef ds:uri="http://schemas.microsoft.com/sharepoint/v3/contenttype/forms"/>
  </ds:schemaRefs>
</ds:datastoreItem>
</file>

<file path=customXml/itemProps3.xml><?xml version="1.0" encoding="utf-8"?>
<ds:datastoreItem xmlns:ds="http://schemas.openxmlformats.org/officeDocument/2006/customXml" ds:itemID="{1E3DACEB-0CE0-9F42-9318-29C9712D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8</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Anthony Radecki</cp:lastModifiedBy>
  <cp:revision>4</cp:revision>
  <cp:lastPrinted>2020-04-08T17:36:00Z</cp:lastPrinted>
  <dcterms:created xsi:type="dcterms:W3CDTF">2020-04-08T17:36:00Z</dcterms:created>
  <dcterms:modified xsi:type="dcterms:W3CDTF">2020-04-08T19:26:00Z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