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76C" w14:textId="543A141D" w:rsidR="006C7EC1" w:rsidRPr="00605355" w:rsidRDefault="00F57782" w:rsidP="006C7EC1">
      <w:pPr>
        <w:jc w:val="center"/>
        <w:rPr>
          <w:b/>
          <w:szCs w:val="20"/>
        </w:rPr>
      </w:pPr>
      <w:r>
        <w:rPr>
          <w:noProof/>
        </w:rPr>
        <mc:AlternateContent>
          <mc:Choice Requires="wps">
            <w:drawing>
              <wp:anchor distT="0" distB="0" distL="114300" distR="114300" simplePos="0" relativeHeight="251657216" behindDoc="0" locked="0" layoutInCell="1" allowOverlap="1" wp14:anchorId="002F5604" wp14:editId="10FA6831">
                <wp:simplePos x="0" y="0"/>
                <wp:positionH relativeFrom="column">
                  <wp:posOffset>2646680</wp:posOffset>
                </wp:positionH>
                <wp:positionV relativeFrom="paragraph">
                  <wp:posOffset>-573020</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45.1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&#13;&#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9264" behindDoc="1" locked="0" layoutInCell="1" allowOverlap="1" wp14:anchorId="3303793F" wp14:editId="5322788C">
            <wp:simplePos x="0" y="0"/>
            <wp:positionH relativeFrom="column">
              <wp:posOffset>-670560</wp:posOffset>
            </wp:positionH>
            <wp:positionV relativeFrom="paragraph">
              <wp:posOffset>-787650</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55272C3C" w:rsidR="00470E94" w:rsidRDefault="00F70102" w:rsidP="001F50F8">
      <w:pPr>
        <w:pStyle w:val="Heading2"/>
        <w:ind w:left="0"/>
        <w:rPr>
          <w:rFonts w:ascii="Arial" w:hAnsi="Arial" w:cs="Arial"/>
          <w:sz w:val="36"/>
          <w:szCs w:val="36"/>
          <w:lang w:val="en-US"/>
        </w:rPr>
      </w:pPr>
      <w:r>
        <w:rPr>
          <w:rFonts w:ascii="Arial" w:hAnsi="Arial" w:cs="Arial"/>
          <w:sz w:val="36"/>
          <w:szCs w:val="36"/>
          <w:lang w:val="en-US"/>
        </w:rPr>
        <w:t>COVID-19</w:t>
      </w:r>
      <w:r w:rsidR="00F12F1B">
        <w:rPr>
          <w:rFonts w:ascii="Arial" w:hAnsi="Arial" w:cs="Arial"/>
          <w:sz w:val="36"/>
          <w:szCs w:val="36"/>
          <w:lang w:val="en-US"/>
        </w:rPr>
        <w:t xml:space="preserve"> – </w:t>
      </w:r>
      <w:r w:rsidR="00604972">
        <w:rPr>
          <w:rFonts w:ascii="Arial" w:hAnsi="Arial" w:cs="Arial"/>
          <w:sz w:val="36"/>
          <w:szCs w:val="36"/>
          <w:lang w:val="en-US"/>
        </w:rPr>
        <w:t>Look-Back Measurement Method Implications</w:t>
      </w:r>
    </w:p>
    <w:p w14:paraId="12BFD025" w14:textId="31F26456" w:rsidR="00651B68" w:rsidRDefault="00651B68" w:rsidP="00651B68">
      <w:pPr>
        <w:ind w:left="0"/>
        <w:rPr>
          <w:lang w:eastAsia="x-none" w:bidi="ar-SA"/>
        </w:rPr>
      </w:pPr>
    </w:p>
    <w:p w14:paraId="3AFFFDC0" w14:textId="0C69B1ED" w:rsidR="00A90172" w:rsidRPr="00A90172" w:rsidRDefault="00604972" w:rsidP="00651B68">
      <w:pPr>
        <w:ind w:left="0"/>
        <w:rPr>
          <w:b/>
          <w:bCs/>
          <w:lang w:eastAsia="x-none" w:bidi="ar-SA"/>
        </w:rPr>
      </w:pPr>
      <w:r>
        <w:rPr>
          <w:b/>
          <w:bCs/>
          <w:lang w:eastAsia="x-none" w:bidi="ar-SA"/>
        </w:rPr>
        <w:t xml:space="preserve">April </w:t>
      </w:r>
      <w:r w:rsidR="003A0931">
        <w:rPr>
          <w:b/>
          <w:bCs/>
          <w:lang w:eastAsia="x-none" w:bidi="ar-SA"/>
        </w:rPr>
        <w:t>8</w:t>
      </w:r>
      <w:r>
        <w:rPr>
          <w:b/>
          <w:bCs/>
          <w:lang w:eastAsia="x-none" w:bidi="ar-SA"/>
        </w:rPr>
        <w:t>,</w:t>
      </w:r>
      <w:r w:rsidR="00A90172">
        <w:rPr>
          <w:b/>
          <w:bCs/>
          <w:lang w:eastAsia="x-none" w:bidi="ar-SA"/>
        </w:rPr>
        <w:t xml:space="preserve"> 2020</w:t>
      </w:r>
    </w:p>
    <w:p w14:paraId="286E66D9" w14:textId="30596EB4" w:rsidR="00E67AB9" w:rsidRDefault="007E582F" w:rsidP="00E67AB9">
      <w:pPr>
        <w:pStyle w:val="Heading2"/>
        <w:ind w:left="0"/>
        <w:rPr>
          <w:rFonts w:ascii="Arial" w:hAnsi="Arial" w:cs="Arial"/>
          <w:b w:val="0"/>
          <w:bCs w:val="0"/>
          <w:sz w:val="20"/>
          <w:szCs w:val="20"/>
          <w:lang w:val="en-US"/>
        </w:rPr>
      </w:pPr>
      <w:r>
        <w:rPr>
          <w:rFonts w:ascii="Arial" w:hAnsi="Arial" w:cs="Arial"/>
          <w:b w:val="0"/>
          <w:bCs w:val="0"/>
          <w:sz w:val="20"/>
          <w:szCs w:val="20"/>
          <w:lang w:val="en-US"/>
        </w:rPr>
        <w:t>Applicable large employers (ALEs)</w:t>
      </w:r>
      <w:r w:rsidR="00D74E3F">
        <w:rPr>
          <w:rFonts w:ascii="Arial" w:hAnsi="Arial" w:cs="Arial"/>
          <w:b w:val="0"/>
          <w:bCs w:val="0"/>
          <w:sz w:val="20"/>
          <w:szCs w:val="20"/>
          <w:lang w:val="en-US"/>
        </w:rPr>
        <w:t>, those employers</w:t>
      </w:r>
      <w:r w:rsidR="00632623">
        <w:rPr>
          <w:rFonts w:ascii="Arial" w:hAnsi="Arial" w:cs="Arial"/>
          <w:b w:val="0"/>
          <w:bCs w:val="0"/>
          <w:sz w:val="20"/>
          <w:szCs w:val="20"/>
          <w:lang w:val="en-US"/>
        </w:rPr>
        <w:t xml:space="preserve"> </w:t>
      </w:r>
      <w:r w:rsidR="00D74E3F">
        <w:rPr>
          <w:rFonts w:ascii="Arial" w:hAnsi="Arial" w:cs="Arial"/>
          <w:b w:val="0"/>
          <w:bCs w:val="0"/>
          <w:sz w:val="20"/>
          <w:szCs w:val="20"/>
          <w:lang w:val="en-US"/>
        </w:rPr>
        <w:t>with 50 or more full-time equivalents (FTEs), are required to offer</w:t>
      </w:r>
      <w:r w:rsidR="009F7649">
        <w:rPr>
          <w:rFonts w:ascii="Arial" w:hAnsi="Arial" w:cs="Arial"/>
          <w:b w:val="0"/>
          <w:bCs w:val="0"/>
          <w:sz w:val="20"/>
          <w:szCs w:val="20"/>
          <w:lang w:val="en-US"/>
        </w:rPr>
        <w:t xml:space="preserve"> medical coverage to full-time employees in order to avoid potential penalties under §4980H. Full-time status for this purpose is determined using either the monthly measurement method or the look-back measurement method. </w:t>
      </w:r>
      <w:r w:rsidR="0038451C">
        <w:rPr>
          <w:rFonts w:ascii="Arial" w:hAnsi="Arial" w:cs="Arial"/>
          <w:b w:val="0"/>
          <w:bCs w:val="0"/>
          <w:sz w:val="20"/>
          <w:szCs w:val="20"/>
          <w:lang w:val="en-US"/>
        </w:rPr>
        <w:t>For ALEs using the look-back measurement method</w:t>
      </w:r>
      <w:r w:rsidR="00AD0E64">
        <w:rPr>
          <w:rFonts w:ascii="Arial" w:hAnsi="Arial" w:cs="Arial"/>
          <w:b w:val="0"/>
          <w:bCs w:val="0"/>
          <w:sz w:val="20"/>
          <w:szCs w:val="20"/>
          <w:lang w:val="en-US"/>
        </w:rPr>
        <w:t xml:space="preserve">, </w:t>
      </w:r>
      <w:r w:rsidR="00FC6987">
        <w:rPr>
          <w:rFonts w:ascii="Arial" w:hAnsi="Arial" w:cs="Arial"/>
          <w:b w:val="0"/>
          <w:bCs w:val="0"/>
          <w:sz w:val="20"/>
          <w:szCs w:val="20"/>
          <w:lang w:val="en-US"/>
        </w:rPr>
        <w:t xml:space="preserve">there </w:t>
      </w:r>
      <w:r w:rsidR="000A746E">
        <w:rPr>
          <w:rFonts w:ascii="Arial" w:hAnsi="Arial" w:cs="Arial"/>
          <w:b w:val="0"/>
          <w:bCs w:val="0"/>
          <w:sz w:val="20"/>
          <w:szCs w:val="20"/>
          <w:lang w:val="en-US"/>
        </w:rPr>
        <w:t xml:space="preserve">may be some unexpected implications </w:t>
      </w:r>
      <w:r w:rsidR="00694AEC">
        <w:rPr>
          <w:rFonts w:ascii="Arial" w:hAnsi="Arial" w:cs="Arial"/>
          <w:b w:val="0"/>
          <w:bCs w:val="0"/>
          <w:sz w:val="20"/>
          <w:szCs w:val="20"/>
          <w:lang w:val="en-US"/>
        </w:rPr>
        <w:t>for employees who request leave or</w:t>
      </w:r>
      <w:r w:rsidR="00563300">
        <w:rPr>
          <w:rFonts w:ascii="Arial" w:hAnsi="Arial" w:cs="Arial"/>
          <w:b w:val="0"/>
          <w:bCs w:val="0"/>
          <w:sz w:val="20"/>
          <w:szCs w:val="20"/>
          <w:lang w:val="en-US"/>
        </w:rPr>
        <w:t xml:space="preserve"> whose hours are temporarily reduced related to COVID-19. It may also affect employees who are terminated from employment and later rehired.</w:t>
      </w:r>
    </w:p>
    <w:p w14:paraId="46F56B7E" w14:textId="77777777" w:rsidR="007A47CD" w:rsidRDefault="007A47CD" w:rsidP="00BB1852">
      <w:pPr>
        <w:ind w:left="0"/>
        <w:rPr>
          <w:lang w:eastAsia="x-none" w:bidi="ar-SA"/>
        </w:rPr>
      </w:pPr>
    </w:p>
    <w:p w14:paraId="019995F0" w14:textId="3385D618" w:rsidR="0064520C" w:rsidRDefault="00563300" w:rsidP="00BB1852">
      <w:pPr>
        <w:ind w:left="0"/>
        <w:rPr>
          <w:b/>
          <w:bCs/>
          <w:lang w:eastAsia="x-none" w:bidi="ar-SA"/>
        </w:rPr>
      </w:pPr>
      <w:r>
        <w:rPr>
          <w:b/>
          <w:bCs/>
          <w:lang w:eastAsia="x-none" w:bidi="ar-SA"/>
        </w:rPr>
        <w:t>General Rules</w:t>
      </w:r>
    </w:p>
    <w:p w14:paraId="58E88897" w14:textId="488000EA" w:rsidR="00335F51" w:rsidRDefault="00335F51" w:rsidP="00335F51">
      <w:pPr>
        <w:ind w:left="0"/>
        <w:rPr>
          <w:lang w:eastAsia="x-none" w:bidi="ar-SA"/>
        </w:rPr>
      </w:pPr>
      <w:r>
        <w:rPr>
          <w:lang w:eastAsia="x-none" w:bidi="ar-SA"/>
        </w:rPr>
        <w:t>Under the look-back measurement method, ALEs may average hours of service over a period of 3–12 months (the employer’s choice) to determine full-time status. If the employee averages full-time hours of service during the measurement period, the employee is then considered full-time for a corresponding stability period (generally matching the length of the measurement period). In other words, the employee will remain benefit eligible for the duration of the corresponding stability period, regardless of hours worked during that time (subject to certain exceptions). It is common for employers to use a 12-month measurement and stability period; however, some employers prefer a 6-month cycle to provide additional flexibility.</w:t>
      </w:r>
      <w:r w:rsidR="00922BDC">
        <w:rPr>
          <w:lang w:eastAsia="x-none" w:bidi="ar-SA"/>
        </w:rPr>
        <w:t xml:space="preserve"> </w:t>
      </w:r>
    </w:p>
    <w:p w14:paraId="71AFEC31" w14:textId="0505162E" w:rsidR="00F059AB" w:rsidRDefault="00F059AB" w:rsidP="00335F51">
      <w:pPr>
        <w:ind w:left="0"/>
        <w:rPr>
          <w:lang w:eastAsia="x-none" w:bidi="ar-SA"/>
        </w:rPr>
      </w:pPr>
    </w:p>
    <w:p w14:paraId="3B1E393E" w14:textId="77777777" w:rsidR="00C9399D" w:rsidRDefault="00F11EC0" w:rsidP="006B3A19">
      <w:pPr>
        <w:ind w:left="0"/>
        <w:rPr>
          <w:lang w:eastAsia="x-none" w:bidi="ar-SA"/>
        </w:rPr>
      </w:pPr>
      <w:r>
        <w:rPr>
          <w:lang w:eastAsia="x-none" w:bidi="ar-SA"/>
        </w:rPr>
        <w:t>If there is a break in service (e.g. temporary reduction in hours or leave, or a termination of employment followed by a rehire),</w:t>
      </w:r>
      <w:r w:rsidR="00CC17E3">
        <w:rPr>
          <w:lang w:eastAsia="x-none" w:bidi="ar-SA"/>
        </w:rPr>
        <w:t xml:space="preserve"> </w:t>
      </w:r>
      <w:r w:rsidR="006B3A19">
        <w:rPr>
          <w:lang w:eastAsia="x-none" w:bidi="ar-SA"/>
        </w:rPr>
        <w:t>the length of the break may impact the application of the look-back measurement method.</w:t>
      </w:r>
      <w:r w:rsidR="004B4C6A">
        <w:rPr>
          <w:lang w:eastAsia="x-none" w:bidi="ar-SA"/>
        </w:rPr>
        <w:t xml:space="preserve"> </w:t>
      </w:r>
    </w:p>
    <w:p w14:paraId="7B59786C" w14:textId="77777777" w:rsidR="00C9399D" w:rsidRDefault="00C9399D" w:rsidP="006B3A19">
      <w:pPr>
        <w:ind w:left="0"/>
        <w:rPr>
          <w:lang w:eastAsia="x-none" w:bidi="ar-SA"/>
        </w:rPr>
      </w:pPr>
    </w:p>
    <w:p w14:paraId="5F1D48EA" w14:textId="1186CC54" w:rsidR="006B3A19" w:rsidRDefault="006B3A19" w:rsidP="006B3A19">
      <w:pPr>
        <w:ind w:left="0"/>
        <w:rPr>
          <w:lang w:eastAsia="x-none" w:bidi="ar-SA"/>
        </w:rPr>
      </w:pPr>
      <w:r>
        <w:rPr>
          <w:lang w:eastAsia="x-none" w:bidi="ar-SA"/>
        </w:rPr>
        <w:t>The break in service rules require an employee who is rehired or reinstated within less than 13 weeks</w:t>
      </w:r>
      <w:r w:rsidR="004B4C6A">
        <w:rPr>
          <w:lang w:eastAsia="x-none" w:bidi="ar-SA"/>
        </w:rPr>
        <w:t xml:space="preserve"> (26 weeks for an educational organization)</w:t>
      </w:r>
      <w:r>
        <w:rPr>
          <w:lang w:eastAsia="x-none" w:bidi="ar-SA"/>
        </w:rPr>
        <w:t xml:space="preserve"> to be treated</w:t>
      </w:r>
      <w:r w:rsidR="004B4C6A">
        <w:rPr>
          <w:lang w:eastAsia="x-none" w:bidi="ar-SA"/>
        </w:rPr>
        <w:t xml:space="preserve"> </w:t>
      </w:r>
      <w:r>
        <w:rPr>
          <w:lang w:eastAsia="x-none" w:bidi="ar-SA"/>
        </w:rPr>
        <w:t>as a “continuing employee.” For a continuing employee:</w:t>
      </w:r>
    </w:p>
    <w:p w14:paraId="51EC8054" w14:textId="55573BE0" w:rsidR="005F7A6D" w:rsidRDefault="006B3A19" w:rsidP="005F7A6D">
      <w:pPr>
        <w:pStyle w:val="ListParagraph"/>
        <w:numPr>
          <w:ilvl w:val="0"/>
          <w:numId w:val="26"/>
        </w:numPr>
        <w:rPr>
          <w:lang w:eastAsia="x-none" w:bidi="ar-SA"/>
        </w:rPr>
      </w:pPr>
      <w:r>
        <w:rPr>
          <w:lang w:eastAsia="x-none" w:bidi="ar-SA"/>
        </w:rPr>
        <w:t xml:space="preserve">If the employee was previously covered before the break in service, coverage must be </w:t>
      </w:r>
      <w:r w:rsidR="00577B52">
        <w:rPr>
          <w:lang w:eastAsia="x-none" w:bidi="ar-SA"/>
        </w:rPr>
        <w:t>made available</w:t>
      </w:r>
      <w:r>
        <w:rPr>
          <w:lang w:eastAsia="x-none" w:bidi="ar-SA"/>
        </w:rPr>
        <w:t xml:space="preserve"> as soon as</w:t>
      </w:r>
      <w:r w:rsidR="004B4C6A">
        <w:rPr>
          <w:lang w:eastAsia="x-none" w:bidi="ar-SA"/>
        </w:rPr>
        <w:t xml:space="preserve"> </w:t>
      </w:r>
      <w:r>
        <w:rPr>
          <w:lang w:eastAsia="x-none" w:bidi="ar-SA"/>
        </w:rPr>
        <w:t>administratively possible if the employee is considered full-time upon rehire (on the 1st of the month following</w:t>
      </w:r>
      <w:r w:rsidR="005F7A6D">
        <w:rPr>
          <w:lang w:eastAsia="x-none" w:bidi="ar-SA"/>
        </w:rPr>
        <w:t xml:space="preserve"> </w:t>
      </w:r>
      <w:r>
        <w:rPr>
          <w:lang w:eastAsia="x-none" w:bidi="ar-SA"/>
        </w:rPr>
        <w:t>rehire).</w:t>
      </w:r>
    </w:p>
    <w:p w14:paraId="1A4ADC7D" w14:textId="0EE1A0A8" w:rsidR="006B3A19" w:rsidRDefault="006B3A19" w:rsidP="00C9399D">
      <w:pPr>
        <w:pStyle w:val="ListParagraph"/>
        <w:numPr>
          <w:ilvl w:val="0"/>
          <w:numId w:val="26"/>
        </w:numPr>
        <w:rPr>
          <w:lang w:eastAsia="x-none" w:bidi="ar-SA"/>
        </w:rPr>
      </w:pPr>
      <w:r>
        <w:rPr>
          <w:lang w:eastAsia="x-none" w:bidi="ar-SA"/>
        </w:rPr>
        <w:t>The measurement and stability periods continue as if the employee had never left, although no hours of</w:t>
      </w:r>
      <w:r w:rsidR="00C9399D">
        <w:rPr>
          <w:lang w:eastAsia="x-none" w:bidi="ar-SA"/>
        </w:rPr>
        <w:t xml:space="preserve"> </w:t>
      </w:r>
      <w:r>
        <w:rPr>
          <w:lang w:eastAsia="x-none" w:bidi="ar-SA"/>
        </w:rPr>
        <w:t>service are credited during the break in service unless it was a leave of absence due to FMLA, USERRA, or</w:t>
      </w:r>
      <w:r w:rsidR="00C9399D">
        <w:rPr>
          <w:lang w:eastAsia="x-none" w:bidi="ar-SA"/>
        </w:rPr>
        <w:t xml:space="preserve"> </w:t>
      </w:r>
      <w:r>
        <w:rPr>
          <w:lang w:eastAsia="x-none" w:bidi="ar-SA"/>
        </w:rPr>
        <w:t>jury duty (“special unpaid leave”). If the leave was “special unpaid leave,” and the employee is considered a</w:t>
      </w:r>
      <w:r w:rsidR="00C9399D">
        <w:rPr>
          <w:lang w:eastAsia="x-none" w:bidi="ar-SA"/>
        </w:rPr>
        <w:t xml:space="preserve"> </w:t>
      </w:r>
      <w:r>
        <w:rPr>
          <w:lang w:eastAsia="x-none" w:bidi="ar-SA"/>
        </w:rPr>
        <w:t>continuing employee, the employer is required to either exclude the leave or to impute hours for the leave</w:t>
      </w:r>
      <w:r w:rsidR="00C9399D">
        <w:rPr>
          <w:lang w:eastAsia="x-none" w:bidi="ar-SA"/>
        </w:rPr>
        <w:t xml:space="preserve"> </w:t>
      </w:r>
      <w:r>
        <w:rPr>
          <w:lang w:eastAsia="x-none" w:bidi="ar-SA"/>
        </w:rPr>
        <w:t>when measuring hours to determine full-time status.</w:t>
      </w:r>
    </w:p>
    <w:p w14:paraId="357DE868" w14:textId="77777777" w:rsidR="00C9399D" w:rsidRDefault="00C9399D" w:rsidP="006B3A19">
      <w:pPr>
        <w:ind w:left="0"/>
        <w:rPr>
          <w:lang w:eastAsia="x-none" w:bidi="ar-SA"/>
        </w:rPr>
      </w:pPr>
    </w:p>
    <w:p w14:paraId="76834457" w14:textId="270BB749" w:rsidR="006B3A19" w:rsidRDefault="006B3A19" w:rsidP="006B3A19">
      <w:pPr>
        <w:ind w:left="0"/>
        <w:rPr>
          <w:lang w:eastAsia="x-none" w:bidi="ar-SA"/>
        </w:rPr>
      </w:pPr>
      <w:r>
        <w:rPr>
          <w:lang w:eastAsia="x-none" w:bidi="ar-SA"/>
        </w:rPr>
        <w:t>On the other hand, if the break in service was 13 weeks</w:t>
      </w:r>
      <w:r w:rsidR="00C9399D">
        <w:rPr>
          <w:lang w:eastAsia="x-none" w:bidi="ar-SA"/>
        </w:rPr>
        <w:t xml:space="preserve"> (26 weeks for an educational organization)</w:t>
      </w:r>
      <w:r>
        <w:rPr>
          <w:lang w:eastAsia="x-none" w:bidi="ar-SA"/>
        </w:rPr>
        <w:t xml:space="preserve"> or longer, the employee may be treated as a new hire,</w:t>
      </w:r>
      <w:r w:rsidR="00C9399D">
        <w:rPr>
          <w:lang w:eastAsia="x-none" w:bidi="ar-SA"/>
        </w:rPr>
        <w:t xml:space="preserve"> </w:t>
      </w:r>
      <w:r>
        <w:rPr>
          <w:lang w:eastAsia="x-none" w:bidi="ar-SA"/>
        </w:rPr>
        <w:t>allowing the employer to impose a new waiting period or initial</w:t>
      </w:r>
      <w:r w:rsidR="00C9399D">
        <w:rPr>
          <w:lang w:eastAsia="x-none" w:bidi="ar-SA"/>
        </w:rPr>
        <w:t xml:space="preserve"> </w:t>
      </w:r>
      <w:r>
        <w:rPr>
          <w:lang w:eastAsia="x-none" w:bidi="ar-SA"/>
        </w:rPr>
        <w:t>measurement period as applicable upon a rehire or</w:t>
      </w:r>
      <w:r w:rsidR="00C9399D">
        <w:rPr>
          <w:lang w:eastAsia="x-none" w:bidi="ar-SA"/>
        </w:rPr>
        <w:t xml:space="preserve"> </w:t>
      </w:r>
      <w:r>
        <w:rPr>
          <w:lang w:eastAsia="x-none" w:bidi="ar-SA"/>
        </w:rPr>
        <w:t>return to work (no “special unpaid leave” rules apply requiring the employer to exclude the leave or impute hours</w:t>
      </w:r>
      <w:r w:rsidR="00C9399D">
        <w:rPr>
          <w:lang w:eastAsia="x-none" w:bidi="ar-SA"/>
        </w:rPr>
        <w:t xml:space="preserve"> </w:t>
      </w:r>
      <w:r>
        <w:rPr>
          <w:lang w:eastAsia="x-none" w:bidi="ar-SA"/>
        </w:rPr>
        <w:t>when the employee may be treated as a new hire).</w:t>
      </w:r>
    </w:p>
    <w:p w14:paraId="4C5E3591" w14:textId="77777777" w:rsidR="00335F51" w:rsidRDefault="00335F51" w:rsidP="00BB1852">
      <w:pPr>
        <w:ind w:left="0"/>
        <w:rPr>
          <w:lang w:eastAsia="x-none" w:bidi="ar-SA"/>
        </w:rPr>
      </w:pPr>
    </w:p>
    <w:p w14:paraId="0497483D" w14:textId="421BEF9F" w:rsidR="000C409F" w:rsidRPr="00BE5D51" w:rsidRDefault="002111B2" w:rsidP="009F67B4">
      <w:pPr>
        <w:ind w:left="0"/>
        <w:rPr>
          <w:rFonts w:cs="Arial"/>
          <w:b/>
          <w:bCs/>
          <w:szCs w:val="20"/>
        </w:rPr>
      </w:pPr>
      <w:r>
        <w:rPr>
          <w:rFonts w:cs="Arial"/>
          <w:b/>
          <w:bCs/>
          <w:szCs w:val="20"/>
        </w:rPr>
        <w:t>Plan Eligibility During</w:t>
      </w:r>
      <w:r w:rsidR="00D079FD">
        <w:rPr>
          <w:rFonts w:cs="Arial"/>
          <w:b/>
          <w:bCs/>
          <w:szCs w:val="20"/>
        </w:rPr>
        <w:t xml:space="preserve"> a</w:t>
      </w:r>
      <w:r>
        <w:rPr>
          <w:rFonts w:cs="Arial"/>
          <w:b/>
          <w:bCs/>
          <w:szCs w:val="20"/>
        </w:rPr>
        <w:t xml:space="preserve"> Reduction in Hours, Leave of Absence</w:t>
      </w:r>
      <w:r w:rsidR="00360DD3">
        <w:rPr>
          <w:rFonts w:cs="Arial"/>
          <w:b/>
          <w:bCs/>
          <w:szCs w:val="20"/>
        </w:rPr>
        <w:t xml:space="preserve"> or Furlough</w:t>
      </w:r>
    </w:p>
    <w:p w14:paraId="7122E0E0" w14:textId="2F194235" w:rsidR="008415B9" w:rsidRPr="008415B9" w:rsidRDefault="008415B9" w:rsidP="008415B9">
      <w:pPr>
        <w:ind w:left="0"/>
        <w:rPr>
          <w:rFonts w:cs="Arial"/>
          <w:color w:val="000000"/>
          <w:szCs w:val="20"/>
        </w:rPr>
      </w:pPr>
      <w:r w:rsidRPr="008415B9">
        <w:rPr>
          <w:rFonts w:cs="Arial"/>
          <w:color w:val="000000"/>
          <w:szCs w:val="20"/>
        </w:rPr>
        <w:t>If employment is not terminated,</w:t>
      </w:r>
      <w:r>
        <w:rPr>
          <w:rFonts w:cs="Arial"/>
          <w:color w:val="000000"/>
          <w:szCs w:val="20"/>
        </w:rPr>
        <w:t xml:space="preserve"> but there is a reduction in hours</w:t>
      </w:r>
      <w:r w:rsidR="00360DD3">
        <w:rPr>
          <w:rFonts w:cs="Arial"/>
          <w:color w:val="000000"/>
          <w:szCs w:val="20"/>
        </w:rPr>
        <w:t xml:space="preserve"> or a temporary </w:t>
      </w:r>
      <w:r w:rsidR="00C8277D">
        <w:rPr>
          <w:rFonts w:cs="Arial"/>
          <w:color w:val="000000"/>
          <w:szCs w:val="20"/>
        </w:rPr>
        <w:t>leave of absence</w:t>
      </w:r>
      <w:r>
        <w:rPr>
          <w:rFonts w:cs="Arial"/>
          <w:color w:val="000000"/>
          <w:szCs w:val="20"/>
        </w:rPr>
        <w:t>,</w:t>
      </w:r>
      <w:r w:rsidRPr="008415B9">
        <w:rPr>
          <w:rFonts w:cs="Arial"/>
          <w:color w:val="000000"/>
          <w:szCs w:val="20"/>
        </w:rPr>
        <w:t xml:space="preserve"> it's necessary to consider plan eligibility rules</w:t>
      </w:r>
      <w:r>
        <w:rPr>
          <w:rFonts w:cs="Arial"/>
          <w:color w:val="000000"/>
          <w:szCs w:val="20"/>
        </w:rPr>
        <w:t xml:space="preserve"> and any applicable leave policies</w:t>
      </w:r>
      <w:r w:rsidR="00C8277D">
        <w:rPr>
          <w:rFonts w:cs="Arial"/>
          <w:color w:val="000000"/>
          <w:szCs w:val="20"/>
        </w:rPr>
        <w:t xml:space="preserve"> in order to properly administer benefits</w:t>
      </w:r>
      <w:r w:rsidRPr="008415B9">
        <w:rPr>
          <w:rFonts w:cs="Arial"/>
          <w:color w:val="000000"/>
          <w:szCs w:val="20"/>
        </w:rPr>
        <w:t xml:space="preserve">. </w:t>
      </w:r>
    </w:p>
    <w:p w14:paraId="2FF0957D" w14:textId="77777777" w:rsidR="00E9764E" w:rsidRDefault="00E9764E" w:rsidP="00E9764E">
      <w:pPr>
        <w:ind w:left="0"/>
        <w:rPr>
          <w:rFonts w:cs="Arial"/>
          <w:color w:val="000000"/>
          <w:szCs w:val="20"/>
        </w:rPr>
      </w:pPr>
    </w:p>
    <w:p w14:paraId="27746A6F" w14:textId="3F6128CE" w:rsidR="00B53BC7" w:rsidRDefault="00BB478E" w:rsidP="00E9764E">
      <w:pPr>
        <w:ind w:left="0"/>
        <w:rPr>
          <w:rFonts w:cs="Arial"/>
          <w:color w:val="000000"/>
          <w:szCs w:val="20"/>
        </w:rPr>
      </w:pPr>
      <w:r>
        <w:rPr>
          <w:rFonts w:cs="Arial"/>
          <w:color w:val="000000"/>
          <w:szCs w:val="20"/>
        </w:rPr>
        <w:t>For an ALE</w:t>
      </w:r>
      <w:r w:rsidR="008415B9" w:rsidRPr="00E9764E">
        <w:rPr>
          <w:rFonts w:cs="Arial"/>
          <w:color w:val="000000"/>
          <w:szCs w:val="20"/>
        </w:rPr>
        <w:t xml:space="preserve"> using the </w:t>
      </w:r>
      <w:r w:rsidR="008415B9" w:rsidRPr="00BB478E">
        <w:rPr>
          <w:rFonts w:cs="Arial"/>
          <w:color w:val="000000"/>
          <w:szCs w:val="20"/>
        </w:rPr>
        <w:t>look-back measurement method</w:t>
      </w:r>
      <w:r w:rsidR="008415B9" w:rsidRPr="00E9764E">
        <w:rPr>
          <w:rFonts w:cs="Arial"/>
          <w:color w:val="000000"/>
          <w:szCs w:val="20"/>
        </w:rPr>
        <w:t>, employees may remain eligible</w:t>
      </w:r>
      <w:r w:rsidR="004C660E" w:rsidRPr="00E9764E">
        <w:rPr>
          <w:rFonts w:cs="Arial"/>
          <w:color w:val="000000"/>
          <w:szCs w:val="20"/>
        </w:rPr>
        <w:t xml:space="preserve"> for benefits</w:t>
      </w:r>
      <w:r w:rsidR="008415B9" w:rsidRPr="00E9764E">
        <w:rPr>
          <w:rFonts w:cs="Arial"/>
          <w:color w:val="000000"/>
          <w:szCs w:val="20"/>
        </w:rPr>
        <w:t xml:space="preserve">, at least for the duration of the current stability period. </w:t>
      </w:r>
      <w:r w:rsidR="00EE2BF7">
        <w:rPr>
          <w:rFonts w:cs="Arial"/>
          <w:color w:val="000000"/>
          <w:szCs w:val="20"/>
        </w:rPr>
        <w:t>Under §4980H rules, t</w:t>
      </w:r>
      <w:r>
        <w:rPr>
          <w:rFonts w:cs="Arial"/>
          <w:color w:val="000000"/>
          <w:szCs w:val="20"/>
        </w:rPr>
        <w:t>hose employees</w:t>
      </w:r>
      <w:r w:rsidR="00712328" w:rsidRPr="00E9764E">
        <w:rPr>
          <w:rFonts w:cs="Arial"/>
          <w:color w:val="000000"/>
          <w:szCs w:val="20"/>
        </w:rPr>
        <w:t xml:space="preserve"> who averaged full-time hours in the previous measurement period are considered eligible for the corresponding stability period</w:t>
      </w:r>
      <w:r>
        <w:rPr>
          <w:rFonts w:cs="Arial"/>
          <w:color w:val="000000"/>
          <w:szCs w:val="20"/>
        </w:rPr>
        <w:t xml:space="preserve"> (e.g. plan year)</w:t>
      </w:r>
      <w:r w:rsidR="00712328" w:rsidRPr="00E9764E">
        <w:rPr>
          <w:rFonts w:cs="Arial"/>
          <w:color w:val="000000"/>
          <w:szCs w:val="20"/>
        </w:rPr>
        <w:t>, even during a reduction in hours, unless employment is terminated.</w:t>
      </w:r>
      <w:r w:rsidR="00AD764F">
        <w:rPr>
          <w:rFonts w:cs="Arial"/>
          <w:color w:val="000000"/>
          <w:szCs w:val="20"/>
        </w:rPr>
        <w:t xml:space="preserve"> </w:t>
      </w:r>
      <w:r w:rsidR="000B68D9">
        <w:rPr>
          <w:rFonts w:cs="Arial"/>
          <w:color w:val="000000"/>
          <w:szCs w:val="20"/>
        </w:rPr>
        <w:t xml:space="preserve">If employment is terminated, </w:t>
      </w:r>
      <w:r w:rsidR="00CD0405">
        <w:rPr>
          <w:rFonts w:cs="Arial"/>
          <w:color w:val="000000"/>
          <w:szCs w:val="20"/>
        </w:rPr>
        <w:t xml:space="preserve">the employee is no longer eligible </w:t>
      </w:r>
      <w:r w:rsidR="00DF345A">
        <w:rPr>
          <w:rFonts w:cs="Arial"/>
          <w:color w:val="000000"/>
          <w:szCs w:val="20"/>
        </w:rPr>
        <w:t xml:space="preserve">for coverage </w:t>
      </w:r>
      <w:r w:rsidR="00CD0405">
        <w:rPr>
          <w:rFonts w:cs="Arial"/>
          <w:color w:val="000000"/>
          <w:szCs w:val="20"/>
        </w:rPr>
        <w:t>and</w:t>
      </w:r>
      <w:r w:rsidR="00212623">
        <w:rPr>
          <w:rFonts w:cs="Arial"/>
          <w:color w:val="000000"/>
          <w:szCs w:val="20"/>
        </w:rPr>
        <w:t xml:space="preserve"> COBRA </w:t>
      </w:r>
      <w:r w:rsidR="00D26205">
        <w:rPr>
          <w:rFonts w:cs="Arial"/>
          <w:color w:val="000000"/>
          <w:szCs w:val="20"/>
        </w:rPr>
        <w:t>should be offered.</w:t>
      </w:r>
    </w:p>
    <w:p w14:paraId="53383117" w14:textId="77777777" w:rsidR="007D3E8C" w:rsidRDefault="007D3E8C" w:rsidP="00E9764E">
      <w:pPr>
        <w:ind w:left="0"/>
        <w:rPr>
          <w:rFonts w:cs="Arial"/>
          <w:color w:val="000000"/>
          <w:szCs w:val="20"/>
        </w:rPr>
      </w:pPr>
    </w:p>
    <w:p w14:paraId="6219ED14" w14:textId="7B4F153E" w:rsidR="008415B9" w:rsidRPr="00E9764E" w:rsidRDefault="00AD764F" w:rsidP="00E9764E">
      <w:pPr>
        <w:ind w:left="0"/>
        <w:rPr>
          <w:rFonts w:cs="Arial"/>
          <w:color w:val="000000"/>
          <w:szCs w:val="20"/>
        </w:rPr>
      </w:pPr>
      <w:r>
        <w:rPr>
          <w:rFonts w:cs="Arial"/>
          <w:color w:val="000000"/>
          <w:szCs w:val="20"/>
        </w:rPr>
        <w:t xml:space="preserve">Some ALEs </w:t>
      </w:r>
      <w:r w:rsidR="00E419E1">
        <w:rPr>
          <w:rFonts w:cs="Arial"/>
          <w:color w:val="000000"/>
          <w:szCs w:val="20"/>
        </w:rPr>
        <w:t xml:space="preserve">using </w:t>
      </w:r>
      <w:r w:rsidR="00EE2BF7">
        <w:rPr>
          <w:rFonts w:cs="Arial"/>
          <w:color w:val="000000"/>
          <w:szCs w:val="20"/>
        </w:rPr>
        <w:t>the look-back measurement method</w:t>
      </w:r>
      <w:r w:rsidR="005131EE">
        <w:rPr>
          <w:rFonts w:cs="Arial"/>
          <w:color w:val="000000"/>
          <w:szCs w:val="20"/>
        </w:rPr>
        <w:t xml:space="preserve"> have chosen not to </w:t>
      </w:r>
      <w:r w:rsidR="002C1B58">
        <w:rPr>
          <w:rFonts w:cs="Arial"/>
          <w:color w:val="000000"/>
          <w:szCs w:val="20"/>
        </w:rPr>
        <w:t xml:space="preserve">perfectly </w:t>
      </w:r>
      <w:r w:rsidR="005131EE">
        <w:rPr>
          <w:rFonts w:cs="Arial"/>
          <w:color w:val="000000"/>
          <w:szCs w:val="20"/>
        </w:rPr>
        <w:t xml:space="preserve">align plan eligibility rules </w:t>
      </w:r>
      <w:r w:rsidR="002C1B58">
        <w:rPr>
          <w:rFonts w:cs="Arial"/>
          <w:color w:val="000000"/>
          <w:szCs w:val="20"/>
        </w:rPr>
        <w:t xml:space="preserve">with the </w:t>
      </w:r>
      <w:r w:rsidR="00797919">
        <w:rPr>
          <w:rFonts w:cs="Arial"/>
          <w:color w:val="000000"/>
          <w:szCs w:val="20"/>
        </w:rPr>
        <w:t xml:space="preserve">§4980H rules. For example, some employers might terminate </w:t>
      </w:r>
      <w:r w:rsidR="0016375D">
        <w:rPr>
          <w:rFonts w:cs="Arial"/>
          <w:color w:val="000000"/>
          <w:szCs w:val="20"/>
        </w:rPr>
        <w:t>eligibility</w:t>
      </w:r>
      <w:r w:rsidR="000C0C09">
        <w:rPr>
          <w:rFonts w:cs="Arial"/>
          <w:color w:val="000000"/>
          <w:szCs w:val="20"/>
        </w:rPr>
        <w:t xml:space="preserve"> immediately</w:t>
      </w:r>
      <w:r w:rsidR="0016375D">
        <w:rPr>
          <w:rFonts w:cs="Arial"/>
          <w:color w:val="000000"/>
          <w:szCs w:val="20"/>
        </w:rPr>
        <w:t xml:space="preserve"> upon a reduction in </w:t>
      </w:r>
      <w:r w:rsidR="000C0C09">
        <w:rPr>
          <w:rFonts w:cs="Arial"/>
          <w:color w:val="000000"/>
          <w:szCs w:val="20"/>
        </w:rPr>
        <w:t>hours</w:t>
      </w:r>
      <w:r w:rsidR="00C85E60">
        <w:rPr>
          <w:rFonts w:cs="Arial"/>
          <w:color w:val="000000"/>
          <w:szCs w:val="20"/>
        </w:rPr>
        <w:t xml:space="preserve"> and offer COBRA continuation coverage</w:t>
      </w:r>
      <w:r w:rsidR="000C0C09">
        <w:rPr>
          <w:rFonts w:cs="Arial"/>
          <w:color w:val="000000"/>
          <w:szCs w:val="20"/>
        </w:rPr>
        <w:t xml:space="preserve"> rather than continuing to offer coverage through the remainder of the</w:t>
      </w:r>
      <w:r w:rsidR="009A44F1">
        <w:rPr>
          <w:rFonts w:cs="Arial"/>
          <w:color w:val="000000"/>
          <w:szCs w:val="20"/>
        </w:rPr>
        <w:t xml:space="preserve"> stability period</w:t>
      </w:r>
      <w:r w:rsidR="000C0C09">
        <w:rPr>
          <w:rFonts w:cs="Arial"/>
          <w:color w:val="000000"/>
          <w:szCs w:val="20"/>
        </w:rPr>
        <w:t>.</w:t>
      </w:r>
      <w:r w:rsidR="00C85E60">
        <w:rPr>
          <w:rFonts w:cs="Arial"/>
          <w:color w:val="000000"/>
          <w:szCs w:val="20"/>
        </w:rPr>
        <w:t xml:space="preserve"> This runs the risk of </w:t>
      </w:r>
      <w:r w:rsidR="00D11FB6">
        <w:rPr>
          <w:rFonts w:cs="Arial"/>
          <w:color w:val="000000"/>
          <w:szCs w:val="20"/>
        </w:rPr>
        <w:t xml:space="preserve">a penalty under §4980H(b) if the continuation coverage is not considered </w:t>
      </w:r>
      <w:r w:rsidR="00D11FB6">
        <w:rPr>
          <w:rFonts w:cs="Arial"/>
          <w:color w:val="000000"/>
          <w:szCs w:val="20"/>
        </w:rPr>
        <w:lastRenderedPageBreak/>
        <w:t xml:space="preserve">“affordable”, but </w:t>
      </w:r>
      <w:r w:rsidR="00624AE6">
        <w:rPr>
          <w:rFonts w:cs="Arial"/>
          <w:color w:val="000000"/>
          <w:szCs w:val="20"/>
        </w:rPr>
        <w:t>the penalty of approximately $320 per month (in 2020) if the employee waives continuation coverage and instead enrolls in subsidized coverage through a public Exchange may be a risk the employer is willing to take.</w:t>
      </w:r>
    </w:p>
    <w:p w14:paraId="4C61D752" w14:textId="77777777" w:rsidR="00C8277D" w:rsidRPr="00C8277D" w:rsidRDefault="00C8277D" w:rsidP="00C8277D">
      <w:pPr>
        <w:ind w:left="0"/>
        <w:rPr>
          <w:rFonts w:cs="Arial"/>
          <w:color w:val="000000"/>
          <w:szCs w:val="20"/>
        </w:rPr>
      </w:pPr>
    </w:p>
    <w:p w14:paraId="5A1BD118" w14:textId="1F16EE83" w:rsidR="001A2BF1" w:rsidRDefault="002B0E56" w:rsidP="00845C37">
      <w:pPr>
        <w:ind w:left="0"/>
        <w:rPr>
          <w:rFonts w:cs="Arial"/>
          <w:b/>
          <w:bCs/>
          <w:color w:val="000000"/>
          <w:szCs w:val="20"/>
        </w:rPr>
      </w:pPr>
      <w:r>
        <w:rPr>
          <w:rFonts w:cs="Arial"/>
          <w:b/>
          <w:bCs/>
          <w:color w:val="000000"/>
          <w:szCs w:val="20"/>
        </w:rPr>
        <w:t xml:space="preserve">Plan Eligibility </w:t>
      </w:r>
      <w:r w:rsidR="00FA2303">
        <w:rPr>
          <w:rFonts w:cs="Arial"/>
          <w:b/>
          <w:bCs/>
          <w:color w:val="000000"/>
          <w:szCs w:val="20"/>
        </w:rPr>
        <w:t>Following</w:t>
      </w:r>
      <w:r w:rsidR="00A92AD3">
        <w:rPr>
          <w:rFonts w:cs="Arial"/>
          <w:b/>
          <w:bCs/>
          <w:color w:val="000000"/>
          <w:szCs w:val="20"/>
        </w:rPr>
        <w:t xml:space="preserve"> </w:t>
      </w:r>
      <w:r w:rsidR="00A9301F">
        <w:rPr>
          <w:rFonts w:cs="Arial"/>
          <w:b/>
          <w:bCs/>
          <w:color w:val="000000"/>
          <w:szCs w:val="20"/>
        </w:rPr>
        <w:t>a Break in Service</w:t>
      </w:r>
    </w:p>
    <w:p w14:paraId="226505A8" w14:textId="2D437C2E" w:rsidR="00CF30A9" w:rsidRDefault="006879C2" w:rsidP="00845C37">
      <w:pPr>
        <w:ind w:left="0"/>
        <w:rPr>
          <w:rFonts w:cs="Arial"/>
          <w:color w:val="000000"/>
          <w:szCs w:val="20"/>
        </w:rPr>
      </w:pPr>
      <w:r>
        <w:rPr>
          <w:rFonts w:cs="Arial"/>
          <w:color w:val="000000"/>
          <w:szCs w:val="20"/>
        </w:rPr>
        <w:t xml:space="preserve">Upon </w:t>
      </w:r>
      <w:r w:rsidR="00C449DE">
        <w:rPr>
          <w:rFonts w:cs="Arial"/>
          <w:color w:val="000000"/>
          <w:szCs w:val="20"/>
        </w:rPr>
        <w:t xml:space="preserve">rehire or a </w:t>
      </w:r>
      <w:r>
        <w:rPr>
          <w:rFonts w:cs="Arial"/>
          <w:color w:val="000000"/>
          <w:szCs w:val="20"/>
        </w:rPr>
        <w:t>retur</w:t>
      </w:r>
      <w:r w:rsidR="00C449DE">
        <w:rPr>
          <w:rFonts w:cs="Arial"/>
          <w:color w:val="000000"/>
          <w:szCs w:val="20"/>
        </w:rPr>
        <w:t>n</w:t>
      </w:r>
      <w:r>
        <w:rPr>
          <w:rFonts w:cs="Arial"/>
          <w:color w:val="000000"/>
          <w:szCs w:val="20"/>
        </w:rPr>
        <w:t xml:space="preserve"> to regular hours following a temporary </w:t>
      </w:r>
      <w:r w:rsidR="00EC3CEA">
        <w:rPr>
          <w:rFonts w:cs="Arial"/>
          <w:color w:val="000000"/>
          <w:szCs w:val="20"/>
        </w:rPr>
        <w:t>leave of absence or termination of employ</w:t>
      </w:r>
      <w:r w:rsidR="00C449DE">
        <w:rPr>
          <w:rFonts w:cs="Arial"/>
          <w:color w:val="000000"/>
          <w:szCs w:val="20"/>
        </w:rPr>
        <w:t>ment</w:t>
      </w:r>
      <w:r w:rsidR="005C6EF0">
        <w:rPr>
          <w:rFonts w:cs="Arial"/>
          <w:color w:val="000000"/>
          <w:szCs w:val="20"/>
        </w:rPr>
        <w:t xml:space="preserve">, </w:t>
      </w:r>
      <w:r w:rsidR="00AE7E33">
        <w:rPr>
          <w:rFonts w:cs="Arial"/>
          <w:color w:val="000000"/>
          <w:szCs w:val="20"/>
        </w:rPr>
        <w:t>eligibility</w:t>
      </w:r>
      <w:r w:rsidR="00EB0FBD">
        <w:rPr>
          <w:rFonts w:cs="Arial"/>
          <w:color w:val="000000"/>
          <w:szCs w:val="20"/>
        </w:rPr>
        <w:t xml:space="preserve"> for coverage</w:t>
      </w:r>
      <w:r w:rsidR="00AE7E33">
        <w:rPr>
          <w:rFonts w:cs="Arial"/>
          <w:color w:val="000000"/>
          <w:szCs w:val="20"/>
        </w:rPr>
        <w:t xml:space="preserve"> may depend upon the length of the break as well as whether the employee was </w:t>
      </w:r>
      <w:r w:rsidR="00E96A0F">
        <w:rPr>
          <w:rFonts w:cs="Arial"/>
          <w:color w:val="000000"/>
          <w:szCs w:val="20"/>
        </w:rPr>
        <w:t xml:space="preserve">enrolled prior </w:t>
      </w:r>
      <w:r w:rsidR="00A0378A">
        <w:rPr>
          <w:rFonts w:cs="Arial"/>
          <w:color w:val="000000"/>
          <w:szCs w:val="20"/>
        </w:rPr>
        <w:t xml:space="preserve">to </w:t>
      </w:r>
      <w:r w:rsidR="005810CC">
        <w:rPr>
          <w:rFonts w:cs="Arial"/>
          <w:color w:val="000000"/>
          <w:szCs w:val="20"/>
        </w:rPr>
        <w:t>the break in service.</w:t>
      </w:r>
    </w:p>
    <w:p w14:paraId="5E7FDF60" w14:textId="6AA94DE0" w:rsidR="00842FCD" w:rsidRDefault="00842FCD" w:rsidP="00845C37">
      <w:pPr>
        <w:ind w:left="0"/>
        <w:rPr>
          <w:rFonts w:cs="Arial"/>
          <w:color w:val="000000"/>
          <w:szCs w:val="20"/>
        </w:rPr>
      </w:pPr>
    </w:p>
    <w:p w14:paraId="7C1D68B5" w14:textId="3A662BD5" w:rsidR="00842FCD" w:rsidRDefault="00842FCD" w:rsidP="00845C37">
      <w:pPr>
        <w:ind w:left="0"/>
        <w:rPr>
          <w:rFonts w:cs="Arial"/>
          <w:color w:val="000000"/>
          <w:szCs w:val="20"/>
        </w:rPr>
      </w:pPr>
      <w:r w:rsidRPr="00164F6A">
        <w:rPr>
          <w:rFonts w:cs="Arial"/>
          <w:color w:val="000000"/>
          <w:szCs w:val="20"/>
          <w:u w:val="single"/>
        </w:rPr>
        <w:t>For employees who previously waived coverage</w:t>
      </w:r>
      <w:r>
        <w:rPr>
          <w:rFonts w:cs="Arial"/>
          <w:color w:val="000000"/>
          <w:szCs w:val="20"/>
        </w:rPr>
        <w:t>, there</w:t>
      </w:r>
      <w:r w:rsidR="00052094">
        <w:rPr>
          <w:rFonts w:cs="Arial"/>
          <w:color w:val="000000"/>
          <w:szCs w:val="20"/>
        </w:rPr>
        <w:t xml:space="preserve"> is no obligation to offer </w:t>
      </w:r>
      <w:r w:rsidR="00D123E5">
        <w:rPr>
          <w:rFonts w:cs="Arial"/>
          <w:color w:val="000000"/>
          <w:szCs w:val="20"/>
        </w:rPr>
        <w:t xml:space="preserve">coverage again upon </w:t>
      </w:r>
      <w:r w:rsidR="00B84E4C">
        <w:rPr>
          <w:rFonts w:cs="Arial"/>
          <w:color w:val="000000"/>
          <w:szCs w:val="20"/>
        </w:rPr>
        <w:t>a return to service or rehire because §4980H</w:t>
      </w:r>
      <w:r w:rsidR="00FE3029">
        <w:rPr>
          <w:rFonts w:cs="Arial"/>
          <w:color w:val="000000"/>
          <w:szCs w:val="20"/>
        </w:rPr>
        <w:t xml:space="preserve"> rules only require an annual opportunity to enroll or waive medical coverage.</w:t>
      </w:r>
      <w:r w:rsidR="00E3713A">
        <w:rPr>
          <w:rFonts w:cs="Arial"/>
          <w:color w:val="000000"/>
          <w:szCs w:val="20"/>
        </w:rPr>
        <w:t xml:space="preserve"> The employer could choose to be more generous and offer another opportunity to enroll following a break in service, subject to any limitations</w:t>
      </w:r>
      <w:r w:rsidR="004D19CD">
        <w:rPr>
          <w:rFonts w:cs="Arial"/>
          <w:color w:val="000000"/>
          <w:szCs w:val="20"/>
        </w:rPr>
        <w:t xml:space="preserve"> in its plan eligibility rules or imposed by the carrier (or stop-loss vendor), but would</w:t>
      </w:r>
      <w:r w:rsidR="0087377B">
        <w:rPr>
          <w:rFonts w:cs="Arial"/>
          <w:color w:val="000000"/>
          <w:szCs w:val="20"/>
        </w:rPr>
        <w:t xml:space="preserve"> not be required to make another </w:t>
      </w:r>
      <w:r w:rsidR="0080579A">
        <w:rPr>
          <w:rFonts w:cs="Arial"/>
          <w:color w:val="000000"/>
          <w:szCs w:val="20"/>
        </w:rPr>
        <w:t>offer of coverage until the next open enrollment period.</w:t>
      </w:r>
      <w:r w:rsidR="004D19CD">
        <w:rPr>
          <w:rFonts w:cs="Arial"/>
          <w:color w:val="000000"/>
          <w:szCs w:val="20"/>
        </w:rPr>
        <w:t xml:space="preserve"> </w:t>
      </w:r>
    </w:p>
    <w:p w14:paraId="7CAC55D4" w14:textId="7A65A2D8" w:rsidR="00CA1FE8" w:rsidRDefault="00CA1FE8" w:rsidP="00845C37">
      <w:pPr>
        <w:ind w:left="0"/>
        <w:rPr>
          <w:rFonts w:cs="Arial"/>
          <w:color w:val="000000"/>
          <w:szCs w:val="20"/>
        </w:rPr>
      </w:pPr>
    </w:p>
    <w:p w14:paraId="282529FD" w14:textId="564FD071" w:rsidR="00CA1FE8" w:rsidRPr="004B53BE" w:rsidRDefault="00CA1FE8" w:rsidP="00845C37">
      <w:pPr>
        <w:ind w:left="0"/>
        <w:rPr>
          <w:rFonts w:cs="Arial"/>
          <w:color w:val="000000"/>
          <w:szCs w:val="20"/>
        </w:rPr>
      </w:pPr>
      <w:r>
        <w:rPr>
          <w:rFonts w:cs="Arial"/>
          <w:color w:val="000000"/>
          <w:szCs w:val="20"/>
          <w:u w:val="single"/>
        </w:rPr>
        <w:t>For employees who</w:t>
      </w:r>
      <w:r w:rsidR="00E7404C">
        <w:rPr>
          <w:rFonts w:cs="Arial"/>
          <w:color w:val="000000"/>
          <w:szCs w:val="20"/>
          <w:u w:val="single"/>
        </w:rPr>
        <w:t xml:space="preserve">se </w:t>
      </w:r>
      <w:r>
        <w:rPr>
          <w:rFonts w:cs="Arial"/>
          <w:color w:val="000000"/>
          <w:szCs w:val="20"/>
          <w:u w:val="single"/>
        </w:rPr>
        <w:t>coverage was terminated</w:t>
      </w:r>
      <w:r w:rsidR="004B53BE">
        <w:rPr>
          <w:rFonts w:cs="Arial"/>
          <w:color w:val="000000"/>
          <w:szCs w:val="20"/>
          <w:u w:val="single"/>
        </w:rPr>
        <w:t xml:space="preserve"> during the break in service</w:t>
      </w:r>
      <w:r w:rsidR="004B53BE">
        <w:rPr>
          <w:rFonts w:cs="Arial"/>
          <w:color w:val="000000"/>
          <w:szCs w:val="20"/>
        </w:rPr>
        <w:t>,</w:t>
      </w:r>
      <w:r w:rsidR="00577B52">
        <w:rPr>
          <w:rFonts w:cs="Arial"/>
          <w:color w:val="000000"/>
          <w:szCs w:val="20"/>
        </w:rPr>
        <w:t xml:space="preserve"> an offer of </w:t>
      </w:r>
      <w:r w:rsidR="00C72D0F">
        <w:rPr>
          <w:rFonts w:cs="Arial"/>
          <w:color w:val="000000"/>
          <w:szCs w:val="20"/>
        </w:rPr>
        <w:t xml:space="preserve">medical </w:t>
      </w:r>
      <w:r w:rsidR="00577B52">
        <w:rPr>
          <w:rFonts w:cs="Arial"/>
          <w:color w:val="000000"/>
          <w:szCs w:val="20"/>
        </w:rPr>
        <w:t>coverage must be made no later than 1</w:t>
      </w:r>
      <w:r w:rsidR="00577B52" w:rsidRPr="00577B52">
        <w:rPr>
          <w:rFonts w:cs="Arial"/>
          <w:color w:val="000000"/>
          <w:szCs w:val="20"/>
          <w:vertAlign w:val="superscript"/>
        </w:rPr>
        <w:t>st</w:t>
      </w:r>
      <w:r w:rsidR="00577B52">
        <w:rPr>
          <w:rFonts w:cs="Arial"/>
          <w:color w:val="000000"/>
          <w:szCs w:val="20"/>
        </w:rPr>
        <w:t xml:space="preserve"> of the month following </w:t>
      </w:r>
      <w:r w:rsidR="009C7B33">
        <w:rPr>
          <w:rFonts w:cs="Arial"/>
          <w:color w:val="000000"/>
          <w:szCs w:val="20"/>
        </w:rPr>
        <w:t>return or rehire</w:t>
      </w:r>
      <w:r w:rsidR="009F7A52">
        <w:rPr>
          <w:rFonts w:cs="Arial"/>
          <w:color w:val="000000"/>
          <w:szCs w:val="20"/>
        </w:rPr>
        <w:t xml:space="preserve"> </w:t>
      </w:r>
      <w:r w:rsidR="00C72D0F">
        <w:rPr>
          <w:rFonts w:cs="Arial"/>
          <w:color w:val="000000"/>
          <w:szCs w:val="20"/>
        </w:rPr>
        <w:t xml:space="preserve">to avoid potential penalties under §4980H if the break </w:t>
      </w:r>
      <w:r w:rsidR="00D46AAD">
        <w:rPr>
          <w:rFonts w:cs="Arial"/>
          <w:color w:val="000000"/>
          <w:szCs w:val="20"/>
        </w:rPr>
        <w:t xml:space="preserve">in service was less than 13 weeks. </w:t>
      </w:r>
      <w:r w:rsidR="0011022F">
        <w:rPr>
          <w:rFonts w:cs="Arial"/>
          <w:color w:val="000000"/>
          <w:szCs w:val="20"/>
        </w:rPr>
        <w:t>If the break was 13 weeks or longer, the employer could impose</w:t>
      </w:r>
      <w:r w:rsidR="00060E8C">
        <w:rPr>
          <w:rFonts w:cs="Arial"/>
          <w:color w:val="000000"/>
          <w:szCs w:val="20"/>
        </w:rPr>
        <w:t xml:space="preserve"> a new waiting period or initial measurement period as applicable.</w:t>
      </w:r>
      <w:r w:rsidR="0023645D">
        <w:rPr>
          <w:rFonts w:cs="Arial"/>
          <w:color w:val="000000"/>
          <w:szCs w:val="20"/>
        </w:rPr>
        <w:t xml:space="preserve"> NOTE: For educational organizations, the rules is 26 rather than 13 weeks.</w:t>
      </w:r>
    </w:p>
    <w:p w14:paraId="76BEAF6E" w14:textId="0C4CB37A" w:rsidR="00DB260B" w:rsidRDefault="00DB260B" w:rsidP="00845C37">
      <w:pPr>
        <w:ind w:left="0"/>
        <w:rPr>
          <w:rFonts w:cs="Arial"/>
          <w:color w:val="000000"/>
          <w:szCs w:val="20"/>
        </w:rPr>
      </w:pPr>
    </w:p>
    <w:p w14:paraId="758E0F88" w14:textId="0E9B04D0" w:rsidR="00060E8C" w:rsidRPr="00060E8C" w:rsidRDefault="00060E8C" w:rsidP="00845C37">
      <w:pPr>
        <w:ind w:left="0"/>
        <w:rPr>
          <w:rFonts w:cs="Arial"/>
          <w:b/>
          <w:bCs/>
          <w:color w:val="000000"/>
          <w:szCs w:val="20"/>
        </w:rPr>
      </w:pPr>
      <w:r>
        <w:rPr>
          <w:rFonts w:cs="Arial"/>
          <w:b/>
          <w:bCs/>
          <w:color w:val="000000"/>
          <w:szCs w:val="20"/>
        </w:rPr>
        <w:t>Counting Hours of Service</w:t>
      </w:r>
    </w:p>
    <w:p w14:paraId="16C567F3" w14:textId="1A423286" w:rsidR="00837783" w:rsidRDefault="00B36FCD" w:rsidP="00845C37">
      <w:pPr>
        <w:ind w:left="0"/>
        <w:rPr>
          <w:rFonts w:cs="Arial"/>
          <w:color w:val="000000"/>
          <w:szCs w:val="20"/>
        </w:rPr>
      </w:pPr>
      <w:r>
        <w:rPr>
          <w:rFonts w:cs="Arial"/>
          <w:color w:val="000000"/>
          <w:szCs w:val="20"/>
        </w:rPr>
        <w:t>ALEs are generally required to count all hours that are paid or payable</w:t>
      </w:r>
      <w:r w:rsidR="006E2CD4">
        <w:rPr>
          <w:rFonts w:cs="Arial"/>
          <w:color w:val="000000"/>
          <w:szCs w:val="20"/>
        </w:rPr>
        <w:t>, including paid leave as required under federal or state mandates</w:t>
      </w:r>
      <w:r w:rsidR="00ED513F">
        <w:rPr>
          <w:rFonts w:cs="Arial"/>
          <w:color w:val="000000"/>
          <w:szCs w:val="20"/>
        </w:rPr>
        <w:t xml:space="preserve"> or offered under employer policies.</w:t>
      </w:r>
      <w:r w:rsidR="005C3EFA">
        <w:rPr>
          <w:rFonts w:cs="Arial"/>
          <w:color w:val="000000"/>
          <w:szCs w:val="20"/>
        </w:rPr>
        <w:t xml:space="preserve"> </w:t>
      </w:r>
      <w:r w:rsidR="00520AFD">
        <w:rPr>
          <w:rFonts w:cs="Arial"/>
          <w:color w:val="000000"/>
          <w:szCs w:val="20"/>
        </w:rPr>
        <w:t>ALEs are not typically required to count</w:t>
      </w:r>
      <w:r w:rsidR="00041E9A">
        <w:rPr>
          <w:rFonts w:cs="Arial"/>
          <w:color w:val="000000"/>
          <w:szCs w:val="20"/>
        </w:rPr>
        <w:t xml:space="preserve"> any time that is unpaid, unless </w:t>
      </w:r>
      <w:r w:rsidR="008E32B3">
        <w:rPr>
          <w:rFonts w:cs="Arial"/>
          <w:color w:val="000000"/>
          <w:szCs w:val="20"/>
        </w:rPr>
        <w:t xml:space="preserve">the unpaid leave </w:t>
      </w:r>
      <w:r w:rsidR="00912986">
        <w:rPr>
          <w:rFonts w:cs="Arial"/>
          <w:color w:val="000000"/>
          <w:szCs w:val="20"/>
        </w:rPr>
        <w:t xml:space="preserve">is </w:t>
      </w:r>
      <w:r w:rsidR="00B51640">
        <w:rPr>
          <w:rFonts w:cs="Arial"/>
          <w:color w:val="000000"/>
          <w:szCs w:val="20"/>
        </w:rPr>
        <w:t>protected under</w:t>
      </w:r>
      <w:r w:rsidR="008E32B3">
        <w:rPr>
          <w:rFonts w:cs="Arial"/>
          <w:color w:val="000000"/>
          <w:szCs w:val="20"/>
        </w:rPr>
        <w:t xml:space="preserve"> FMLA, USERRA or as jury duty</w:t>
      </w:r>
      <w:r w:rsidR="00B4621C">
        <w:rPr>
          <w:rFonts w:cs="Arial"/>
          <w:color w:val="000000"/>
          <w:szCs w:val="20"/>
        </w:rPr>
        <w:t xml:space="preserve"> (“special unpaid leave”)</w:t>
      </w:r>
      <w:r w:rsidR="008E32B3">
        <w:rPr>
          <w:rFonts w:cs="Arial"/>
          <w:color w:val="000000"/>
          <w:szCs w:val="20"/>
        </w:rPr>
        <w:t>.</w:t>
      </w:r>
      <w:r w:rsidR="00837783">
        <w:rPr>
          <w:rFonts w:cs="Arial"/>
          <w:color w:val="000000"/>
          <w:szCs w:val="20"/>
        </w:rPr>
        <w:t xml:space="preserve"> </w:t>
      </w:r>
    </w:p>
    <w:p w14:paraId="3EB11644" w14:textId="77777777" w:rsidR="00837783" w:rsidRDefault="00837783" w:rsidP="00845C37">
      <w:pPr>
        <w:ind w:left="0"/>
        <w:rPr>
          <w:rFonts w:cs="Arial"/>
          <w:color w:val="000000"/>
          <w:szCs w:val="20"/>
        </w:rPr>
      </w:pPr>
    </w:p>
    <w:p w14:paraId="4F2DC849" w14:textId="62B09F8C" w:rsidR="00F50305" w:rsidRDefault="004451C2" w:rsidP="00845C37">
      <w:pPr>
        <w:ind w:left="0"/>
        <w:rPr>
          <w:rFonts w:cs="Arial"/>
          <w:color w:val="000000"/>
          <w:szCs w:val="20"/>
        </w:rPr>
      </w:pPr>
      <w:r>
        <w:rPr>
          <w:rFonts w:cs="Arial"/>
          <w:color w:val="000000"/>
          <w:szCs w:val="20"/>
        </w:rPr>
        <w:t xml:space="preserve">With that being said, </w:t>
      </w:r>
      <w:r w:rsidR="00144D3E">
        <w:rPr>
          <w:rFonts w:cs="Arial"/>
          <w:color w:val="000000"/>
          <w:szCs w:val="20"/>
        </w:rPr>
        <w:t xml:space="preserve">because hours are averaged over the measurement period </w:t>
      </w:r>
      <w:r w:rsidR="00A372D6">
        <w:rPr>
          <w:rFonts w:cs="Arial"/>
          <w:color w:val="000000"/>
          <w:szCs w:val="20"/>
        </w:rPr>
        <w:t xml:space="preserve">for ALEs using the look-back measurement method, </w:t>
      </w:r>
      <w:r>
        <w:rPr>
          <w:rFonts w:cs="Arial"/>
          <w:color w:val="000000"/>
          <w:szCs w:val="20"/>
        </w:rPr>
        <w:t>a reduction in hours</w:t>
      </w:r>
      <w:r w:rsidR="007C145F">
        <w:rPr>
          <w:rFonts w:cs="Arial"/>
          <w:color w:val="000000"/>
          <w:szCs w:val="20"/>
        </w:rPr>
        <w:t xml:space="preserve">, temporary leave of absence or termination of employment followed by rehire </w:t>
      </w:r>
      <w:r w:rsidR="00D54B14">
        <w:rPr>
          <w:rFonts w:cs="Arial"/>
          <w:color w:val="000000"/>
          <w:szCs w:val="20"/>
        </w:rPr>
        <w:t xml:space="preserve">due the COVID-19 public emergency could negatively impact an employee’s </w:t>
      </w:r>
      <w:r w:rsidR="00144D3E">
        <w:rPr>
          <w:rFonts w:cs="Arial"/>
          <w:color w:val="000000"/>
          <w:szCs w:val="20"/>
        </w:rPr>
        <w:t xml:space="preserve">eligibility in the upcoming plan year. </w:t>
      </w:r>
      <w:r w:rsidR="00A372D6">
        <w:rPr>
          <w:rFonts w:cs="Arial"/>
          <w:color w:val="000000"/>
          <w:szCs w:val="20"/>
        </w:rPr>
        <w:t>It’s possible the IRS will provide guidance in the upcoming months</w:t>
      </w:r>
      <w:r w:rsidR="007346D2">
        <w:rPr>
          <w:rFonts w:cs="Arial"/>
          <w:color w:val="000000"/>
          <w:szCs w:val="20"/>
        </w:rPr>
        <w:t xml:space="preserve"> requiring employers to adjust</w:t>
      </w:r>
      <w:r w:rsidR="0011776C">
        <w:rPr>
          <w:rFonts w:cs="Arial"/>
          <w:color w:val="000000"/>
          <w:szCs w:val="20"/>
        </w:rPr>
        <w:t xml:space="preserve"> averages </w:t>
      </w:r>
      <w:r w:rsidR="003143F5">
        <w:rPr>
          <w:rFonts w:cs="Arial"/>
          <w:color w:val="000000"/>
          <w:szCs w:val="20"/>
        </w:rPr>
        <w:t>for those employees with reduced hours or breaks in service related to COVID-19, but without that, th</w:t>
      </w:r>
      <w:r w:rsidR="00F50305">
        <w:rPr>
          <w:rFonts w:cs="Arial"/>
          <w:color w:val="000000"/>
          <w:szCs w:val="20"/>
        </w:rPr>
        <w:t>e rules would apply as follow</w:t>
      </w:r>
      <w:r w:rsidR="00A152ED">
        <w:rPr>
          <w:rFonts w:cs="Arial"/>
          <w:color w:val="000000"/>
          <w:szCs w:val="20"/>
        </w:rPr>
        <w:t>s</w:t>
      </w:r>
      <w:r w:rsidR="00F50305">
        <w:rPr>
          <w:rFonts w:cs="Arial"/>
          <w:color w:val="000000"/>
          <w:szCs w:val="20"/>
        </w:rPr>
        <w:t>:</w:t>
      </w:r>
    </w:p>
    <w:p w14:paraId="2A0D2854" w14:textId="77777777" w:rsidR="00F50305" w:rsidRDefault="00F50305" w:rsidP="00845C37">
      <w:pPr>
        <w:ind w:left="0"/>
        <w:rPr>
          <w:rFonts w:cs="Arial"/>
          <w:color w:val="000000"/>
          <w:szCs w:val="20"/>
        </w:rPr>
      </w:pPr>
    </w:p>
    <w:p w14:paraId="6F7B4C19" w14:textId="77CE211B" w:rsidR="00991C4E" w:rsidRDefault="001C1B50" w:rsidP="001C1B50">
      <w:pPr>
        <w:pStyle w:val="ListParagraph"/>
        <w:numPr>
          <w:ilvl w:val="0"/>
          <w:numId w:val="27"/>
        </w:numPr>
        <w:rPr>
          <w:rFonts w:cs="Arial"/>
          <w:color w:val="000000"/>
          <w:szCs w:val="20"/>
        </w:rPr>
      </w:pPr>
      <w:r>
        <w:rPr>
          <w:rFonts w:cs="Arial"/>
          <w:color w:val="000000"/>
          <w:szCs w:val="20"/>
        </w:rPr>
        <w:t xml:space="preserve">For </w:t>
      </w:r>
      <w:r w:rsidR="00E80811">
        <w:rPr>
          <w:rFonts w:cs="Arial"/>
          <w:color w:val="000000"/>
          <w:szCs w:val="20"/>
        </w:rPr>
        <w:t xml:space="preserve">employees who continue to work, but hours are temporarily reduced, </w:t>
      </w:r>
      <w:r w:rsidR="00887A72">
        <w:rPr>
          <w:rFonts w:cs="Arial"/>
          <w:color w:val="000000"/>
          <w:szCs w:val="20"/>
        </w:rPr>
        <w:t xml:space="preserve">the employee may average part-time over the measurement period </w:t>
      </w:r>
      <w:r w:rsidR="00E32267">
        <w:rPr>
          <w:rFonts w:cs="Arial"/>
          <w:color w:val="000000"/>
          <w:szCs w:val="20"/>
        </w:rPr>
        <w:t>depending upon the length of time hours are reduced.</w:t>
      </w:r>
    </w:p>
    <w:p w14:paraId="39D8EDF6" w14:textId="77777777" w:rsidR="004504DB" w:rsidRDefault="004504DB" w:rsidP="004504DB">
      <w:pPr>
        <w:pStyle w:val="ListParagraph"/>
        <w:ind w:left="780"/>
        <w:rPr>
          <w:rFonts w:cs="Arial"/>
          <w:color w:val="000000"/>
          <w:szCs w:val="20"/>
        </w:rPr>
      </w:pPr>
    </w:p>
    <w:p w14:paraId="6411469A" w14:textId="4C4DBD6C" w:rsidR="007F27C1" w:rsidRDefault="00F44660" w:rsidP="001C1B50">
      <w:pPr>
        <w:pStyle w:val="ListParagraph"/>
        <w:numPr>
          <w:ilvl w:val="0"/>
          <w:numId w:val="27"/>
        </w:numPr>
        <w:rPr>
          <w:rFonts w:cs="Arial"/>
          <w:color w:val="000000"/>
          <w:szCs w:val="20"/>
        </w:rPr>
      </w:pPr>
      <w:r>
        <w:rPr>
          <w:rFonts w:cs="Arial"/>
          <w:color w:val="000000"/>
          <w:szCs w:val="20"/>
        </w:rPr>
        <w:t xml:space="preserve">For employees </w:t>
      </w:r>
      <w:r w:rsidR="00253785">
        <w:rPr>
          <w:rFonts w:cs="Arial"/>
          <w:color w:val="000000"/>
          <w:szCs w:val="20"/>
        </w:rPr>
        <w:t xml:space="preserve">who </w:t>
      </w:r>
      <w:r w:rsidR="00533BFC">
        <w:rPr>
          <w:rFonts w:cs="Arial"/>
          <w:color w:val="000000"/>
          <w:szCs w:val="20"/>
        </w:rPr>
        <w:t>take a leave of absence</w:t>
      </w:r>
      <w:r w:rsidR="0023645D">
        <w:rPr>
          <w:rFonts w:cs="Arial"/>
          <w:color w:val="000000"/>
          <w:szCs w:val="20"/>
        </w:rPr>
        <w:t xml:space="preserve"> of less than 13 weeks</w:t>
      </w:r>
      <w:r w:rsidR="003C5885">
        <w:rPr>
          <w:rFonts w:cs="Arial"/>
          <w:color w:val="000000"/>
          <w:szCs w:val="20"/>
        </w:rPr>
        <w:t xml:space="preserve"> (</w:t>
      </w:r>
      <w:r w:rsidR="00477FB8">
        <w:rPr>
          <w:rFonts w:cs="Arial"/>
          <w:color w:val="000000"/>
          <w:szCs w:val="20"/>
        </w:rPr>
        <w:t>26 weeks for education</w:t>
      </w:r>
      <w:r w:rsidR="005A21B2">
        <w:rPr>
          <w:rFonts w:cs="Arial"/>
          <w:color w:val="000000"/>
          <w:szCs w:val="20"/>
        </w:rPr>
        <w:t>al</w:t>
      </w:r>
      <w:r w:rsidR="00477FB8">
        <w:rPr>
          <w:rFonts w:cs="Arial"/>
          <w:color w:val="000000"/>
          <w:szCs w:val="20"/>
        </w:rPr>
        <w:t xml:space="preserve"> organizations) </w:t>
      </w:r>
      <w:r w:rsidR="003C5885">
        <w:rPr>
          <w:rFonts w:cs="Arial"/>
          <w:color w:val="000000"/>
          <w:szCs w:val="20"/>
        </w:rPr>
        <w:t>and therefore the measurement period continues</w:t>
      </w:r>
      <w:r w:rsidR="007F27C1">
        <w:rPr>
          <w:rFonts w:cs="Arial"/>
          <w:color w:val="000000"/>
          <w:szCs w:val="20"/>
        </w:rPr>
        <w:t>:</w:t>
      </w:r>
      <w:r w:rsidR="00581E82">
        <w:rPr>
          <w:rFonts w:cs="Arial"/>
          <w:color w:val="000000"/>
          <w:szCs w:val="20"/>
        </w:rPr>
        <w:t xml:space="preserve"> </w:t>
      </w:r>
    </w:p>
    <w:p w14:paraId="481D56A2" w14:textId="5C1842A9" w:rsidR="00DE5FD1" w:rsidRDefault="007F27C1" w:rsidP="007F27C1">
      <w:pPr>
        <w:pStyle w:val="ListParagraph"/>
        <w:numPr>
          <w:ilvl w:val="1"/>
          <w:numId w:val="27"/>
        </w:numPr>
        <w:rPr>
          <w:rFonts w:cs="Arial"/>
          <w:color w:val="000000"/>
          <w:szCs w:val="20"/>
        </w:rPr>
      </w:pPr>
      <w:r>
        <w:rPr>
          <w:rFonts w:cs="Arial"/>
          <w:color w:val="000000"/>
          <w:szCs w:val="20"/>
        </w:rPr>
        <w:t xml:space="preserve">If the employee </w:t>
      </w:r>
      <w:r w:rsidR="00581E82">
        <w:rPr>
          <w:rFonts w:cs="Arial"/>
          <w:color w:val="000000"/>
          <w:szCs w:val="20"/>
        </w:rPr>
        <w:t>continu</w:t>
      </w:r>
      <w:r w:rsidR="00FE2EAE">
        <w:rPr>
          <w:rFonts w:cs="Arial"/>
          <w:color w:val="000000"/>
          <w:szCs w:val="20"/>
        </w:rPr>
        <w:t>es</w:t>
      </w:r>
      <w:r w:rsidR="00581E82">
        <w:rPr>
          <w:rFonts w:cs="Arial"/>
          <w:color w:val="000000"/>
          <w:szCs w:val="20"/>
        </w:rPr>
        <w:t xml:space="preserve"> to receive pay </w:t>
      </w:r>
      <w:r>
        <w:rPr>
          <w:rFonts w:cs="Arial"/>
          <w:color w:val="000000"/>
          <w:szCs w:val="20"/>
        </w:rPr>
        <w:t xml:space="preserve">(even partial pay) </w:t>
      </w:r>
      <w:r w:rsidR="00581E82">
        <w:rPr>
          <w:rFonts w:cs="Arial"/>
          <w:color w:val="000000"/>
          <w:szCs w:val="20"/>
        </w:rPr>
        <w:t xml:space="preserve">during the leave of absence, </w:t>
      </w:r>
      <w:r>
        <w:rPr>
          <w:rFonts w:cs="Arial"/>
          <w:color w:val="000000"/>
          <w:szCs w:val="20"/>
        </w:rPr>
        <w:t>hours will be credited during the leave of absence just like if the employee was actively working.</w:t>
      </w:r>
    </w:p>
    <w:p w14:paraId="7801DD1C" w14:textId="6A636576" w:rsidR="007F27C1" w:rsidRDefault="007F27C1" w:rsidP="007F27C1">
      <w:pPr>
        <w:pStyle w:val="ListParagraph"/>
        <w:numPr>
          <w:ilvl w:val="1"/>
          <w:numId w:val="27"/>
        </w:numPr>
        <w:rPr>
          <w:rFonts w:cs="Arial"/>
          <w:color w:val="000000"/>
          <w:szCs w:val="20"/>
        </w:rPr>
      </w:pPr>
      <w:r>
        <w:rPr>
          <w:rFonts w:cs="Arial"/>
          <w:color w:val="000000"/>
          <w:szCs w:val="20"/>
        </w:rPr>
        <w:t xml:space="preserve">If the </w:t>
      </w:r>
      <w:r w:rsidR="00243396">
        <w:rPr>
          <w:rFonts w:cs="Arial"/>
          <w:color w:val="000000"/>
          <w:szCs w:val="20"/>
        </w:rPr>
        <w:t>leave</w:t>
      </w:r>
      <w:r>
        <w:rPr>
          <w:rFonts w:cs="Arial"/>
          <w:color w:val="000000"/>
          <w:szCs w:val="20"/>
        </w:rPr>
        <w:t xml:space="preserve"> </w:t>
      </w:r>
      <w:r w:rsidR="00FE2EAE">
        <w:rPr>
          <w:rFonts w:cs="Arial"/>
          <w:color w:val="000000"/>
          <w:szCs w:val="20"/>
        </w:rPr>
        <w:t>is</w:t>
      </w:r>
      <w:r w:rsidR="00441113">
        <w:rPr>
          <w:rFonts w:cs="Arial"/>
          <w:color w:val="000000"/>
          <w:szCs w:val="20"/>
        </w:rPr>
        <w:t xml:space="preserve"> unpaid, but the leave is protected under FMLA (e.g. due to a serious health condition of the employee or a family member), </w:t>
      </w:r>
      <w:r w:rsidR="00297B20">
        <w:rPr>
          <w:rFonts w:cs="Arial"/>
          <w:color w:val="000000"/>
          <w:szCs w:val="20"/>
        </w:rPr>
        <w:t>the leave must be excluded from the measurement period or hours must be imputed during such time as if the employee was being paid.</w:t>
      </w:r>
    </w:p>
    <w:p w14:paraId="365B2D62" w14:textId="4F935F9A" w:rsidR="00297B20" w:rsidRDefault="00223CA7" w:rsidP="007F27C1">
      <w:pPr>
        <w:pStyle w:val="ListParagraph"/>
        <w:numPr>
          <w:ilvl w:val="1"/>
          <w:numId w:val="27"/>
        </w:numPr>
        <w:rPr>
          <w:rFonts w:cs="Arial"/>
          <w:color w:val="000000"/>
          <w:szCs w:val="20"/>
        </w:rPr>
      </w:pPr>
      <w:r>
        <w:rPr>
          <w:rFonts w:cs="Arial"/>
          <w:color w:val="000000"/>
          <w:szCs w:val="20"/>
        </w:rPr>
        <w:t xml:space="preserve">If the </w:t>
      </w:r>
      <w:r w:rsidR="00243396">
        <w:rPr>
          <w:rFonts w:cs="Arial"/>
          <w:color w:val="000000"/>
          <w:szCs w:val="20"/>
        </w:rPr>
        <w:t>leave is unpaid</w:t>
      </w:r>
      <w:r w:rsidR="00B4621C">
        <w:rPr>
          <w:rFonts w:cs="Arial"/>
          <w:color w:val="000000"/>
          <w:szCs w:val="20"/>
        </w:rPr>
        <w:t xml:space="preserve"> and </w:t>
      </w:r>
      <w:r w:rsidR="000B29AB">
        <w:rPr>
          <w:rFonts w:cs="Arial"/>
          <w:color w:val="000000"/>
          <w:szCs w:val="20"/>
        </w:rPr>
        <w:t xml:space="preserve">not </w:t>
      </w:r>
      <w:r w:rsidR="00B4621C">
        <w:rPr>
          <w:rFonts w:cs="Arial"/>
          <w:color w:val="000000"/>
          <w:szCs w:val="20"/>
        </w:rPr>
        <w:t xml:space="preserve">considered “special </w:t>
      </w:r>
      <w:r w:rsidR="00952D3E">
        <w:rPr>
          <w:rFonts w:cs="Arial"/>
          <w:color w:val="000000"/>
          <w:szCs w:val="20"/>
        </w:rPr>
        <w:t>un</w:t>
      </w:r>
      <w:r w:rsidR="00B4621C">
        <w:rPr>
          <w:rFonts w:cs="Arial"/>
          <w:color w:val="000000"/>
          <w:szCs w:val="20"/>
        </w:rPr>
        <w:t>paid leave</w:t>
      </w:r>
      <w:r w:rsidR="000B29AB">
        <w:rPr>
          <w:rFonts w:cs="Arial"/>
          <w:color w:val="000000"/>
          <w:szCs w:val="20"/>
        </w:rPr>
        <w:t>,</w:t>
      </w:r>
      <w:r w:rsidR="00B4621C">
        <w:rPr>
          <w:rFonts w:cs="Arial"/>
          <w:color w:val="000000"/>
          <w:szCs w:val="20"/>
        </w:rPr>
        <w:t>”</w:t>
      </w:r>
      <w:r w:rsidR="000B29AB">
        <w:rPr>
          <w:rFonts w:cs="Arial"/>
          <w:color w:val="000000"/>
          <w:szCs w:val="20"/>
        </w:rPr>
        <w:t xml:space="preserve"> no hours of service are credited during the leave of absence, which may cause the employee to average part-time hours during the measurement period</w:t>
      </w:r>
      <w:r w:rsidR="006021D3">
        <w:rPr>
          <w:rFonts w:cs="Arial"/>
          <w:color w:val="000000"/>
          <w:szCs w:val="20"/>
        </w:rPr>
        <w:t>.</w:t>
      </w:r>
    </w:p>
    <w:p w14:paraId="50C6C099" w14:textId="77777777" w:rsidR="00015DD2" w:rsidRDefault="00015DD2" w:rsidP="00015DD2">
      <w:pPr>
        <w:pStyle w:val="ListParagraph"/>
        <w:ind w:left="1500"/>
        <w:rPr>
          <w:rFonts w:cs="Arial"/>
          <w:color w:val="000000"/>
          <w:szCs w:val="20"/>
        </w:rPr>
      </w:pPr>
    </w:p>
    <w:p w14:paraId="4D4CEFF0" w14:textId="7FDC957B" w:rsidR="00015DD2" w:rsidRDefault="00015DD2" w:rsidP="00015DD2">
      <w:pPr>
        <w:pStyle w:val="ListParagraph"/>
        <w:numPr>
          <w:ilvl w:val="0"/>
          <w:numId w:val="27"/>
        </w:numPr>
        <w:rPr>
          <w:rFonts w:cs="Arial"/>
          <w:color w:val="000000"/>
          <w:szCs w:val="20"/>
        </w:rPr>
      </w:pPr>
      <w:r>
        <w:rPr>
          <w:rFonts w:cs="Arial"/>
          <w:color w:val="000000"/>
          <w:szCs w:val="20"/>
        </w:rPr>
        <w:t>For employees who are terminated and rehired</w:t>
      </w:r>
      <w:r w:rsidR="005A21B2">
        <w:rPr>
          <w:rFonts w:cs="Arial"/>
          <w:color w:val="000000"/>
          <w:szCs w:val="20"/>
        </w:rPr>
        <w:t xml:space="preserve"> </w:t>
      </w:r>
      <w:r w:rsidR="009B2272">
        <w:rPr>
          <w:rFonts w:cs="Arial"/>
          <w:color w:val="000000"/>
          <w:szCs w:val="20"/>
        </w:rPr>
        <w:t xml:space="preserve">within less than </w:t>
      </w:r>
      <w:r w:rsidR="005A21B2">
        <w:rPr>
          <w:rFonts w:cs="Arial"/>
          <w:color w:val="000000"/>
          <w:szCs w:val="20"/>
        </w:rPr>
        <w:t>13 weeks</w:t>
      </w:r>
      <w:r w:rsidR="009B2272">
        <w:rPr>
          <w:rFonts w:cs="Arial"/>
          <w:color w:val="000000"/>
          <w:szCs w:val="20"/>
        </w:rPr>
        <w:t xml:space="preserve"> </w:t>
      </w:r>
      <w:r w:rsidR="005A21B2">
        <w:rPr>
          <w:rFonts w:cs="Arial"/>
          <w:color w:val="000000"/>
          <w:szCs w:val="20"/>
        </w:rPr>
        <w:t>(26 weeks for educational organizations)</w:t>
      </w:r>
      <w:r w:rsidR="00EA1F11">
        <w:rPr>
          <w:rFonts w:cs="Arial"/>
          <w:color w:val="000000"/>
          <w:szCs w:val="20"/>
        </w:rPr>
        <w:t xml:space="preserve">, </w:t>
      </w:r>
      <w:r w:rsidR="009B2272">
        <w:rPr>
          <w:rFonts w:cs="Arial"/>
          <w:color w:val="000000"/>
          <w:szCs w:val="20"/>
        </w:rPr>
        <w:t>the measurement period continues</w:t>
      </w:r>
      <w:r w:rsidR="00E67962">
        <w:rPr>
          <w:rFonts w:cs="Arial"/>
          <w:color w:val="000000"/>
          <w:szCs w:val="20"/>
        </w:rPr>
        <w:t xml:space="preserve"> with</w:t>
      </w:r>
      <w:r w:rsidR="00D7079F">
        <w:rPr>
          <w:rFonts w:cs="Arial"/>
          <w:color w:val="000000"/>
          <w:szCs w:val="20"/>
        </w:rPr>
        <w:t xml:space="preserve"> </w:t>
      </w:r>
      <w:r w:rsidR="009B2272">
        <w:rPr>
          <w:rFonts w:cs="Arial"/>
          <w:color w:val="000000"/>
          <w:szCs w:val="20"/>
        </w:rPr>
        <w:t>no hours of service credited during the break in employment, which may cause the employee to average part-time hours during the measurement period.</w:t>
      </w:r>
    </w:p>
    <w:p w14:paraId="3FB57D05" w14:textId="77777777" w:rsidR="00C63B2D" w:rsidRDefault="00C63B2D" w:rsidP="00C63B2D">
      <w:pPr>
        <w:pStyle w:val="ListParagraph"/>
        <w:ind w:left="780"/>
        <w:rPr>
          <w:rFonts w:cs="Arial"/>
          <w:color w:val="000000"/>
          <w:szCs w:val="20"/>
        </w:rPr>
      </w:pPr>
    </w:p>
    <w:p w14:paraId="4FA92276" w14:textId="2FFC2C56" w:rsidR="00671247" w:rsidRPr="00015DD2" w:rsidRDefault="00C63B2D" w:rsidP="00015DD2">
      <w:pPr>
        <w:pStyle w:val="ListParagraph"/>
        <w:numPr>
          <w:ilvl w:val="0"/>
          <w:numId w:val="27"/>
        </w:numPr>
        <w:rPr>
          <w:rFonts w:cs="Arial"/>
          <w:color w:val="000000"/>
          <w:szCs w:val="20"/>
        </w:rPr>
      </w:pPr>
      <w:r>
        <w:rPr>
          <w:rFonts w:cs="Arial"/>
          <w:color w:val="000000"/>
          <w:szCs w:val="20"/>
        </w:rPr>
        <w:lastRenderedPageBreak/>
        <w:t>For employees who take an unpaid leave of absence or are terminated and rehired after 13 weeks or more, the employees are considered</w:t>
      </w:r>
      <w:r w:rsidR="00E363F7">
        <w:rPr>
          <w:rFonts w:cs="Arial"/>
          <w:color w:val="000000"/>
          <w:szCs w:val="20"/>
        </w:rPr>
        <w:t xml:space="preserve"> new hires </w:t>
      </w:r>
      <w:r w:rsidR="00A835F3">
        <w:rPr>
          <w:rFonts w:cs="Arial"/>
          <w:color w:val="000000"/>
          <w:szCs w:val="20"/>
        </w:rPr>
        <w:t>allowing the employer to impose a</w:t>
      </w:r>
      <w:r w:rsidR="00E363F7">
        <w:rPr>
          <w:rFonts w:cs="Arial"/>
          <w:color w:val="000000"/>
          <w:szCs w:val="20"/>
        </w:rPr>
        <w:t xml:space="preserve"> new waiting period or initial measurement period as applicable.</w:t>
      </w:r>
    </w:p>
    <w:p w14:paraId="27317C52" w14:textId="2103762C" w:rsidR="00D4529C" w:rsidRDefault="00D4529C" w:rsidP="007D1706">
      <w:pPr>
        <w:ind w:left="0"/>
        <w:rPr>
          <w:rFonts w:cs="Arial"/>
          <w:szCs w:val="20"/>
        </w:rPr>
      </w:pPr>
    </w:p>
    <w:p w14:paraId="1CD92B7C" w14:textId="34352852" w:rsidR="00E5309F" w:rsidRDefault="00DF7FEE" w:rsidP="007D1706">
      <w:pPr>
        <w:ind w:left="0"/>
        <w:rPr>
          <w:rFonts w:cs="Arial"/>
          <w:szCs w:val="20"/>
        </w:rPr>
      </w:pPr>
      <w:r>
        <w:rPr>
          <w:rFonts w:cs="Arial"/>
          <w:szCs w:val="20"/>
        </w:rPr>
        <w:t xml:space="preserve">Without guidance allowing or requiring employers </w:t>
      </w:r>
      <w:r w:rsidR="00EE24D4">
        <w:rPr>
          <w:rFonts w:cs="Arial"/>
          <w:szCs w:val="20"/>
        </w:rPr>
        <w:t>to adjust averages</w:t>
      </w:r>
      <w:r w:rsidR="00153AF2">
        <w:rPr>
          <w:rFonts w:cs="Arial"/>
          <w:szCs w:val="20"/>
        </w:rPr>
        <w:t xml:space="preserve">, employees who are normally considered full-time eligible employees may not be eligible for coverage </w:t>
      </w:r>
      <w:r w:rsidR="000372D4">
        <w:rPr>
          <w:rFonts w:cs="Arial"/>
          <w:szCs w:val="20"/>
        </w:rPr>
        <w:t xml:space="preserve">for the upcoming plan year. Employers who want to </w:t>
      </w:r>
      <w:r w:rsidR="00A47E5D">
        <w:rPr>
          <w:rFonts w:cs="Arial"/>
          <w:szCs w:val="20"/>
        </w:rPr>
        <w:t xml:space="preserve">offer coverage in spite of employees not </w:t>
      </w:r>
      <w:r w:rsidR="00F44660">
        <w:rPr>
          <w:rFonts w:cs="Arial"/>
          <w:szCs w:val="20"/>
        </w:rPr>
        <w:t>averaging full-time hours</w:t>
      </w:r>
      <w:r w:rsidR="00E363F7">
        <w:rPr>
          <w:rFonts w:cs="Arial"/>
          <w:szCs w:val="20"/>
        </w:rPr>
        <w:t xml:space="preserve"> in the previous measurement period </w:t>
      </w:r>
      <w:r w:rsidR="00582DC8">
        <w:rPr>
          <w:rFonts w:cs="Arial"/>
          <w:szCs w:val="20"/>
        </w:rPr>
        <w:t>related to COVID-19</w:t>
      </w:r>
      <w:r w:rsidR="00F44660">
        <w:rPr>
          <w:rFonts w:cs="Arial"/>
          <w:szCs w:val="20"/>
        </w:rPr>
        <w:t xml:space="preserve"> should coordinate with the carrier (or stop-loss vendor) before choosing to offer coverage to such individuals</w:t>
      </w:r>
      <w:r w:rsidR="00582DC8">
        <w:rPr>
          <w:rFonts w:cs="Arial"/>
          <w:szCs w:val="20"/>
        </w:rPr>
        <w:t xml:space="preserve"> to ensure there are no issues with claims coverage.</w:t>
      </w:r>
    </w:p>
    <w:p w14:paraId="3C2C0956" w14:textId="006EF785" w:rsidR="00153AF2" w:rsidRDefault="00153AF2" w:rsidP="007D1706">
      <w:pPr>
        <w:ind w:left="0"/>
        <w:rPr>
          <w:rFonts w:cs="Arial"/>
          <w:szCs w:val="20"/>
        </w:rPr>
      </w:pPr>
    </w:p>
    <w:p w14:paraId="3C1A6389" w14:textId="77777777" w:rsidR="00153AF2" w:rsidRDefault="00153AF2"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DF69" w14:textId="77777777" w:rsidR="005A31BD" w:rsidRDefault="005A31BD" w:rsidP="006C7EC1">
      <w:r>
        <w:separator/>
      </w:r>
    </w:p>
  </w:endnote>
  <w:endnote w:type="continuationSeparator" w:id="0">
    <w:p w14:paraId="3C25D264" w14:textId="77777777" w:rsidR="005A31BD" w:rsidRDefault="005A31BD" w:rsidP="006C7EC1">
      <w:r>
        <w:continuationSeparator/>
      </w:r>
    </w:p>
  </w:endnote>
  <w:endnote w:type="continuationNotice" w:id="1">
    <w:p w14:paraId="6B595026" w14:textId="77777777" w:rsidR="005A31BD" w:rsidRDefault="005A3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5CE7" w14:textId="77777777" w:rsidR="005A31BD" w:rsidRDefault="005A31BD" w:rsidP="006C7EC1">
      <w:r>
        <w:separator/>
      </w:r>
    </w:p>
  </w:footnote>
  <w:footnote w:type="continuationSeparator" w:id="0">
    <w:p w14:paraId="455FBA80" w14:textId="77777777" w:rsidR="005A31BD" w:rsidRDefault="005A31BD" w:rsidP="006C7EC1">
      <w:r>
        <w:continuationSeparator/>
      </w:r>
    </w:p>
  </w:footnote>
  <w:footnote w:type="continuationNotice" w:id="1">
    <w:p w14:paraId="23FFDADE" w14:textId="77777777" w:rsidR="005A31BD" w:rsidRDefault="005A3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D08F2"/>
    <w:multiLevelType w:val="hybridMultilevel"/>
    <w:tmpl w:val="B2A2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65591"/>
    <w:multiLevelType w:val="hybridMultilevel"/>
    <w:tmpl w:val="C48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4F2C"/>
    <w:multiLevelType w:val="hybridMultilevel"/>
    <w:tmpl w:val="452AA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26"/>
  </w:num>
  <w:num w:numId="4">
    <w:abstractNumId w:val="6"/>
  </w:num>
  <w:num w:numId="5">
    <w:abstractNumId w:val="15"/>
  </w:num>
  <w:num w:numId="6">
    <w:abstractNumId w:val="9"/>
  </w:num>
  <w:num w:numId="7">
    <w:abstractNumId w:val="7"/>
  </w:num>
  <w:num w:numId="8">
    <w:abstractNumId w:val="18"/>
  </w:num>
  <w:num w:numId="9">
    <w:abstractNumId w:val="0"/>
  </w:num>
  <w:num w:numId="10">
    <w:abstractNumId w:val="16"/>
  </w:num>
  <w:num w:numId="11">
    <w:abstractNumId w:val="20"/>
  </w:num>
  <w:num w:numId="12">
    <w:abstractNumId w:val="14"/>
  </w:num>
  <w:num w:numId="13">
    <w:abstractNumId w:val="13"/>
  </w:num>
  <w:num w:numId="14">
    <w:abstractNumId w:val="2"/>
  </w:num>
  <w:num w:numId="15">
    <w:abstractNumId w:val="5"/>
  </w:num>
  <w:num w:numId="16">
    <w:abstractNumId w:val="24"/>
  </w:num>
  <w:num w:numId="17">
    <w:abstractNumId w:val="23"/>
  </w:num>
  <w:num w:numId="18">
    <w:abstractNumId w:val="1"/>
  </w:num>
  <w:num w:numId="19">
    <w:abstractNumId w:val="17"/>
  </w:num>
  <w:num w:numId="20">
    <w:abstractNumId w:val="8"/>
  </w:num>
  <w:num w:numId="21">
    <w:abstractNumId w:val="25"/>
  </w:num>
  <w:num w:numId="22">
    <w:abstractNumId w:val="22"/>
  </w:num>
  <w:num w:numId="23">
    <w:abstractNumId w:val="19"/>
  </w:num>
  <w:num w:numId="24">
    <w:abstractNumId w:val="11"/>
  </w:num>
  <w:num w:numId="25">
    <w:abstractNumId w:val="21"/>
  </w:num>
  <w:num w:numId="26">
    <w:abstractNumId w:val="10"/>
  </w:num>
  <w:num w:numId="27">
    <w:abstractNumId w:val="12"/>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drawingGridHorizontalSpacing w:val="80"/>
  <w:drawingGridVerticalSpacing w:val="109"/>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5DD2"/>
    <w:rsid w:val="000166F5"/>
    <w:rsid w:val="00017813"/>
    <w:rsid w:val="00020C39"/>
    <w:rsid w:val="00027ACB"/>
    <w:rsid w:val="00035EF2"/>
    <w:rsid w:val="000372D4"/>
    <w:rsid w:val="0004025E"/>
    <w:rsid w:val="00040AB3"/>
    <w:rsid w:val="00041D34"/>
    <w:rsid w:val="00041E9A"/>
    <w:rsid w:val="00042D2A"/>
    <w:rsid w:val="00045F42"/>
    <w:rsid w:val="00047242"/>
    <w:rsid w:val="00052094"/>
    <w:rsid w:val="00056762"/>
    <w:rsid w:val="00057C3B"/>
    <w:rsid w:val="0006084A"/>
    <w:rsid w:val="00060E8C"/>
    <w:rsid w:val="0006208C"/>
    <w:rsid w:val="00065F15"/>
    <w:rsid w:val="00066FF6"/>
    <w:rsid w:val="0007136F"/>
    <w:rsid w:val="00071F3D"/>
    <w:rsid w:val="00074479"/>
    <w:rsid w:val="000824BA"/>
    <w:rsid w:val="00090998"/>
    <w:rsid w:val="00093B13"/>
    <w:rsid w:val="00096B1E"/>
    <w:rsid w:val="000A697A"/>
    <w:rsid w:val="000A746E"/>
    <w:rsid w:val="000B29AB"/>
    <w:rsid w:val="000B4DEA"/>
    <w:rsid w:val="000B68D9"/>
    <w:rsid w:val="000C0C09"/>
    <w:rsid w:val="000C3603"/>
    <w:rsid w:val="000C409F"/>
    <w:rsid w:val="000C41B5"/>
    <w:rsid w:val="000C442C"/>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3F85"/>
    <w:rsid w:val="00103FD3"/>
    <w:rsid w:val="00104680"/>
    <w:rsid w:val="00107969"/>
    <w:rsid w:val="0011022F"/>
    <w:rsid w:val="00112649"/>
    <w:rsid w:val="001134BA"/>
    <w:rsid w:val="00113F23"/>
    <w:rsid w:val="0011776C"/>
    <w:rsid w:val="001216D1"/>
    <w:rsid w:val="00124F43"/>
    <w:rsid w:val="001432A3"/>
    <w:rsid w:val="00144A9C"/>
    <w:rsid w:val="00144D3E"/>
    <w:rsid w:val="00146F88"/>
    <w:rsid w:val="00152412"/>
    <w:rsid w:val="00153AF2"/>
    <w:rsid w:val="00155720"/>
    <w:rsid w:val="00160EF0"/>
    <w:rsid w:val="0016375D"/>
    <w:rsid w:val="00164F6A"/>
    <w:rsid w:val="00172882"/>
    <w:rsid w:val="001824D9"/>
    <w:rsid w:val="001831CC"/>
    <w:rsid w:val="0018386C"/>
    <w:rsid w:val="00185E4E"/>
    <w:rsid w:val="00187547"/>
    <w:rsid w:val="00194FD3"/>
    <w:rsid w:val="001956A4"/>
    <w:rsid w:val="001A01BC"/>
    <w:rsid w:val="001A2BF1"/>
    <w:rsid w:val="001A4388"/>
    <w:rsid w:val="001A569D"/>
    <w:rsid w:val="001A7955"/>
    <w:rsid w:val="001B1A88"/>
    <w:rsid w:val="001C1B50"/>
    <w:rsid w:val="001C1E40"/>
    <w:rsid w:val="001C256F"/>
    <w:rsid w:val="001C4860"/>
    <w:rsid w:val="001C64ED"/>
    <w:rsid w:val="001C68CC"/>
    <w:rsid w:val="001D1761"/>
    <w:rsid w:val="001D2CD5"/>
    <w:rsid w:val="001D58D8"/>
    <w:rsid w:val="001D5990"/>
    <w:rsid w:val="001D745D"/>
    <w:rsid w:val="001D77F4"/>
    <w:rsid w:val="001E2972"/>
    <w:rsid w:val="001E622E"/>
    <w:rsid w:val="001F00ED"/>
    <w:rsid w:val="001F0404"/>
    <w:rsid w:val="001F20E5"/>
    <w:rsid w:val="001F3F58"/>
    <w:rsid w:val="001F50F8"/>
    <w:rsid w:val="001F55BC"/>
    <w:rsid w:val="00200664"/>
    <w:rsid w:val="0020244B"/>
    <w:rsid w:val="002111B2"/>
    <w:rsid w:val="00211FC6"/>
    <w:rsid w:val="00212623"/>
    <w:rsid w:val="00212E4A"/>
    <w:rsid w:val="002136F8"/>
    <w:rsid w:val="00223CA7"/>
    <w:rsid w:val="002241F3"/>
    <w:rsid w:val="00224D07"/>
    <w:rsid w:val="00226283"/>
    <w:rsid w:val="00231306"/>
    <w:rsid w:val="00232ED4"/>
    <w:rsid w:val="002330A5"/>
    <w:rsid w:val="0023645D"/>
    <w:rsid w:val="00236C0D"/>
    <w:rsid w:val="00243396"/>
    <w:rsid w:val="00244635"/>
    <w:rsid w:val="00244C01"/>
    <w:rsid w:val="00247077"/>
    <w:rsid w:val="00250761"/>
    <w:rsid w:val="00253785"/>
    <w:rsid w:val="00254D8A"/>
    <w:rsid w:val="00255A5D"/>
    <w:rsid w:val="00264869"/>
    <w:rsid w:val="00266771"/>
    <w:rsid w:val="00267C12"/>
    <w:rsid w:val="00270D0F"/>
    <w:rsid w:val="00273B33"/>
    <w:rsid w:val="00273D4E"/>
    <w:rsid w:val="002742E6"/>
    <w:rsid w:val="00277CAA"/>
    <w:rsid w:val="002815D9"/>
    <w:rsid w:val="00297B20"/>
    <w:rsid w:val="002A761A"/>
    <w:rsid w:val="002B0E56"/>
    <w:rsid w:val="002B4D4C"/>
    <w:rsid w:val="002B72B6"/>
    <w:rsid w:val="002C1B58"/>
    <w:rsid w:val="002C4834"/>
    <w:rsid w:val="002C4ADB"/>
    <w:rsid w:val="002D2CAD"/>
    <w:rsid w:val="002D68CA"/>
    <w:rsid w:val="002D6E4B"/>
    <w:rsid w:val="002D6F6F"/>
    <w:rsid w:val="002E0CD0"/>
    <w:rsid w:val="002E12F2"/>
    <w:rsid w:val="002E280D"/>
    <w:rsid w:val="002E52E2"/>
    <w:rsid w:val="002E69BE"/>
    <w:rsid w:val="002F023E"/>
    <w:rsid w:val="002F1D78"/>
    <w:rsid w:val="002F3FBC"/>
    <w:rsid w:val="002F5B6A"/>
    <w:rsid w:val="002F5FCD"/>
    <w:rsid w:val="00306EAD"/>
    <w:rsid w:val="00311D22"/>
    <w:rsid w:val="00314066"/>
    <w:rsid w:val="003143F5"/>
    <w:rsid w:val="00315F0E"/>
    <w:rsid w:val="0031698C"/>
    <w:rsid w:val="0032527D"/>
    <w:rsid w:val="0032681D"/>
    <w:rsid w:val="0033168B"/>
    <w:rsid w:val="00332855"/>
    <w:rsid w:val="00333257"/>
    <w:rsid w:val="00335F51"/>
    <w:rsid w:val="00337651"/>
    <w:rsid w:val="00341F9B"/>
    <w:rsid w:val="00346D40"/>
    <w:rsid w:val="003507D0"/>
    <w:rsid w:val="00350A7D"/>
    <w:rsid w:val="00351DAE"/>
    <w:rsid w:val="003536E9"/>
    <w:rsid w:val="0035725D"/>
    <w:rsid w:val="003606B3"/>
    <w:rsid w:val="00360DD3"/>
    <w:rsid w:val="00366731"/>
    <w:rsid w:val="00373838"/>
    <w:rsid w:val="0037534B"/>
    <w:rsid w:val="00375AC7"/>
    <w:rsid w:val="00376897"/>
    <w:rsid w:val="00376D4E"/>
    <w:rsid w:val="00377A73"/>
    <w:rsid w:val="00380E82"/>
    <w:rsid w:val="0038451C"/>
    <w:rsid w:val="003902B9"/>
    <w:rsid w:val="0039272A"/>
    <w:rsid w:val="00393B70"/>
    <w:rsid w:val="003964A9"/>
    <w:rsid w:val="00397F1D"/>
    <w:rsid w:val="003A0931"/>
    <w:rsid w:val="003A15A0"/>
    <w:rsid w:val="003A2F66"/>
    <w:rsid w:val="003A7120"/>
    <w:rsid w:val="003B0730"/>
    <w:rsid w:val="003B2F3D"/>
    <w:rsid w:val="003B7105"/>
    <w:rsid w:val="003C2C45"/>
    <w:rsid w:val="003C50C6"/>
    <w:rsid w:val="003C5885"/>
    <w:rsid w:val="003C61A1"/>
    <w:rsid w:val="003D0C70"/>
    <w:rsid w:val="003D3ABE"/>
    <w:rsid w:val="003D5BB6"/>
    <w:rsid w:val="003D6019"/>
    <w:rsid w:val="003E1F9E"/>
    <w:rsid w:val="003E7F11"/>
    <w:rsid w:val="004019B7"/>
    <w:rsid w:val="004132DF"/>
    <w:rsid w:val="00421453"/>
    <w:rsid w:val="0042217C"/>
    <w:rsid w:val="00431FC0"/>
    <w:rsid w:val="00440FAD"/>
    <w:rsid w:val="00441113"/>
    <w:rsid w:val="00441B20"/>
    <w:rsid w:val="0044224C"/>
    <w:rsid w:val="004451C2"/>
    <w:rsid w:val="0044576D"/>
    <w:rsid w:val="004504DB"/>
    <w:rsid w:val="00450D6A"/>
    <w:rsid w:val="00453723"/>
    <w:rsid w:val="00453816"/>
    <w:rsid w:val="004547A6"/>
    <w:rsid w:val="00460299"/>
    <w:rsid w:val="00461B0E"/>
    <w:rsid w:val="00464CBE"/>
    <w:rsid w:val="0046786C"/>
    <w:rsid w:val="00467E2A"/>
    <w:rsid w:val="00470E94"/>
    <w:rsid w:val="004767AA"/>
    <w:rsid w:val="00476F72"/>
    <w:rsid w:val="00477FB8"/>
    <w:rsid w:val="00480728"/>
    <w:rsid w:val="00484888"/>
    <w:rsid w:val="004870C3"/>
    <w:rsid w:val="00490D5F"/>
    <w:rsid w:val="0049425B"/>
    <w:rsid w:val="004A2300"/>
    <w:rsid w:val="004A51E3"/>
    <w:rsid w:val="004B2781"/>
    <w:rsid w:val="004B4147"/>
    <w:rsid w:val="004B4C6A"/>
    <w:rsid w:val="004B53BE"/>
    <w:rsid w:val="004B6441"/>
    <w:rsid w:val="004B7C6C"/>
    <w:rsid w:val="004C2946"/>
    <w:rsid w:val="004C660E"/>
    <w:rsid w:val="004C685A"/>
    <w:rsid w:val="004C69AE"/>
    <w:rsid w:val="004C7E74"/>
    <w:rsid w:val="004D0666"/>
    <w:rsid w:val="004D19CD"/>
    <w:rsid w:val="004E1B3E"/>
    <w:rsid w:val="004E2D50"/>
    <w:rsid w:val="004E530D"/>
    <w:rsid w:val="004E77C4"/>
    <w:rsid w:val="004F0122"/>
    <w:rsid w:val="004F12B3"/>
    <w:rsid w:val="004F1328"/>
    <w:rsid w:val="004F38E5"/>
    <w:rsid w:val="004F4484"/>
    <w:rsid w:val="00502802"/>
    <w:rsid w:val="005131EE"/>
    <w:rsid w:val="00514672"/>
    <w:rsid w:val="00520AFD"/>
    <w:rsid w:val="005222EC"/>
    <w:rsid w:val="00524D6D"/>
    <w:rsid w:val="0053017A"/>
    <w:rsid w:val="00532F84"/>
    <w:rsid w:val="00533BFC"/>
    <w:rsid w:val="0053484C"/>
    <w:rsid w:val="0053695B"/>
    <w:rsid w:val="005378A2"/>
    <w:rsid w:val="00540CCF"/>
    <w:rsid w:val="0054208E"/>
    <w:rsid w:val="00544C20"/>
    <w:rsid w:val="005460AD"/>
    <w:rsid w:val="00554D66"/>
    <w:rsid w:val="0055764A"/>
    <w:rsid w:val="0056000B"/>
    <w:rsid w:val="005611AC"/>
    <w:rsid w:val="00563300"/>
    <w:rsid w:val="005660E9"/>
    <w:rsid w:val="005718A9"/>
    <w:rsid w:val="005718C3"/>
    <w:rsid w:val="005724A0"/>
    <w:rsid w:val="00572A67"/>
    <w:rsid w:val="00573C67"/>
    <w:rsid w:val="00577B52"/>
    <w:rsid w:val="005808F7"/>
    <w:rsid w:val="005810CC"/>
    <w:rsid w:val="00581E82"/>
    <w:rsid w:val="00582DC8"/>
    <w:rsid w:val="00583F06"/>
    <w:rsid w:val="00586252"/>
    <w:rsid w:val="00586571"/>
    <w:rsid w:val="005900FA"/>
    <w:rsid w:val="00591725"/>
    <w:rsid w:val="005918A5"/>
    <w:rsid w:val="005921C3"/>
    <w:rsid w:val="005926DA"/>
    <w:rsid w:val="005965B8"/>
    <w:rsid w:val="005A21B2"/>
    <w:rsid w:val="005A227E"/>
    <w:rsid w:val="005A31BD"/>
    <w:rsid w:val="005A631F"/>
    <w:rsid w:val="005B0103"/>
    <w:rsid w:val="005B59D9"/>
    <w:rsid w:val="005B59FC"/>
    <w:rsid w:val="005C2382"/>
    <w:rsid w:val="005C3EFA"/>
    <w:rsid w:val="005C6EF0"/>
    <w:rsid w:val="005D1626"/>
    <w:rsid w:val="005D297F"/>
    <w:rsid w:val="005D6D8C"/>
    <w:rsid w:val="005E1161"/>
    <w:rsid w:val="005E17F7"/>
    <w:rsid w:val="005E27CD"/>
    <w:rsid w:val="005E4301"/>
    <w:rsid w:val="005F1993"/>
    <w:rsid w:val="005F2269"/>
    <w:rsid w:val="005F26CE"/>
    <w:rsid w:val="005F4D3F"/>
    <w:rsid w:val="005F6CE2"/>
    <w:rsid w:val="005F7A6D"/>
    <w:rsid w:val="006002FE"/>
    <w:rsid w:val="00600FC4"/>
    <w:rsid w:val="006021D3"/>
    <w:rsid w:val="006034D7"/>
    <w:rsid w:val="00604972"/>
    <w:rsid w:val="00605355"/>
    <w:rsid w:val="006102F4"/>
    <w:rsid w:val="00613988"/>
    <w:rsid w:val="006149F2"/>
    <w:rsid w:val="00616FD0"/>
    <w:rsid w:val="00624AE6"/>
    <w:rsid w:val="006259C0"/>
    <w:rsid w:val="00630D64"/>
    <w:rsid w:val="006325DB"/>
    <w:rsid w:val="00632623"/>
    <w:rsid w:val="00633D0E"/>
    <w:rsid w:val="00644A0B"/>
    <w:rsid w:val="0064520C"/>
    <w:rsid w:val="006466D7"/>
    <w:rsid w:val="00651512"/>
    <w:rsid w:val="00651B68"/>
    <w:rsid w:val="006577E9"/>
    <w:rsid w:val="00657FA9"/>
    <w:rsid w:val="00661E3F"/>
    <w:rsid w:val="006634A7"/>
    <w:rsid w:val="00665FB5"/>
    <w:rsid w:val="00671247"/>
    <w:rsid w:val="006717AA"/>
    <w:rsid w:val="00675439"/>
    <w:rsid w:val="006756CB"/>
    <w:rsid w:val="00684225"/>
    <w:rsid w:val="00685C8D"/>
    <w:rsid w:val="006879C2"/>
    <w:rsid w:val="00694AEC"/>
    <w:rsid w:val="006954EF"/>
    <w:rsid w:val="006A2EBF"/>
    <w:rsid w:val="006A3A71"/>
    <w:rsid w:val="006B1545"/>
    <w:rsid w:val="006B23FC"/>
    <w:rsid w:val="006B28BC"/>
    <w:rsid w:val="006B3A19"/>
    <w:rsid w:val="006B5260"/>
    <w:rsid w:val="006B649F"/>
    <w:rsid w:val="006C7B72"/>
    <w:rsid w:val="006C7EC1"/>
    <w:rsid w:val="006E1247"/>
    <w:rsid w:val="006E2CD4"/>
    <w:rsid w:val="006E3AEC"/>
    <w:rsid w:val="006E4439"/>
    <w:rsid w:val="006F01EE"/>
    <w:rsid w:val="006F72AD"/>
    <w:rsid w:val="007022C4"/>
    <w:rsid w:val="0070365B"/>
    <w:rsid w:val="007047B7"/>
    <w:rsid w:val="00712328"/>
    <w:rsid w:val="00713909"/>
    <w:rsid w:val="00722CCA"/>
    <w:rsid w:val="00726F77"/>
    <w:rsid w:val="0072721D"/>
    <w:rsid w:val="00733A52"/>
    <w:rsid w:val="007346D2"/>
    <w:rsid w:val="007358F5"/>
    <w:rsid w:val="00736A9B"/>
    <w:rsid w:val="007403EB"/>
    <w:rsid w:val="007414D8"/>
    <w:rsid w:val="00744C75"/>
    <w:rsid w:val="007508F7"/>
    <w:rsid w:val="007623D3"/>
    <w:rsid w:val="007626B8"/>
    <w:rsid w:val="00764AED"/>
    <w:rsid w:val="00773AE3"/>
    <w:rsid w:val="00776816"/>
    <w:rsid w:val="00777B7B"/>
    <w:rsid w:val="007832BF"/>
    <w:rsid w:val="007908B7"/>
    <w:rsid w:val="00792F14"/>
    <w:rsid w:val="007956BD"/>
    <w:rsid w:val="00797919"/>
    <w:rsid w:val="007A40FF"/>
    <w:rsid w:val="007A47CD"/>
    <w:rsid w:val="007A7A8C"/>
    <w:rsid w:val="007B4885"/>
    <w:rsid w:val="007C145F"/>
    <w:rsid w:val="007C77AA"/>
    <w:rsid w:val="007C7C7C"/>
    <w:rsid w:val="007C7D72"/>
    <w:rsid w:val="007D1706"/>
    <w:rsid w:val="007D3E8C"/>
    <w:rsid w:val="007D41B2"/>
    <w:rsid w:val="007D5827"/>
    <w:rsid w:val="007E2565"/>
    <w:rsid w:val="007E4772"/>
    <w:rsid w:val="007E4BD6"/>
    <w:rsid w:val="007E582F"/>
    <w:rsid w:val="007F1010"/>
    <w:rsid w:val="007F27C1"/>
    <w:rsid w:val="007F34B4"/>
    <w:rsid w:val="007F57CF"/>
    <w:rsid w:val="007F634F"/>
    <w:rsid w:val="00800533"/>
    <w:rsid w:val="00800A0A"/>
    <w:rsid w:val="0080349F"/>
    <w:rsid w:val="00803687"/>
    <w:rsid w:val="008052A3"/>
    <w:rsid w:val="0080579A"/>
    <w:rsid w:val="0080584F"/>
    <w:rsid w:val="008104EC"/>
    <w:rsid w:val="008203E8"/>
    <w:rsid w:val="00822C04"/>
    <w:rsid w:val="00824D22"/>
    <w:rsid w:val="0082678E"/>
    <w:rsid w:val="00827418"/>
    <w:rsid w:val="008302ED"/>
    <w:rsid w:val="00830417"/>
    <w:rsid w:val="0083063B"/>
    <w:rsid w:val="008362F4"/>
    <w:rsid w:val="00837783"/>
    <w:rsid w:val="00840509"/>
    <w:rsid w:val="00840DD1"/>
    <w:rsid w:val="008415B9"/>
    <w:rsid w:val="00842FCD"/>
    <w:rsid w:val="008437FB"/>
    <w:rsid w:val="00845C37"/>
    <w:rsid w:val="008477BE"/>
    <w:rsid w:val="008537F8"/>
    <w:rsid w:val="00855D5C"/>
    <w:rsid w:val="00856A54"/>
    <w:rsid w:val="00857C9A"/>
    <w:rsid w:val="00857FDC"/>
    <w:rsid w:val="008615C4"/>
    <w:rsid w:val="0086304F"/>
    <w:rsid w:val="008645AC"/>
    <w:rsid w:val="00865D88"/>
    <w:rsid w:val="00866B99"/>
    <w:rsid w:val="0087377B"/>
    <w:rsid w:val="00880137"/>
    <w:rsid w:val="00880BA3"/>
    <w:rsid w:val="008828FF"/>
    <w:rsid w:val="00883F9F"/>
    <w:rsid w:val="008874B8"/>
    <w:rsid w:val="00887A72"/>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32B3"/>
    <w:rsid w:val="008E4B3D"/>
    <w:rsid w:val="008E7038"/>
    <w:rsid w:val="008F2B0B"/>
    <w:rsid w:val="008F69A2"/>
    <w:rsid w:val="00912986"/>
    <w:rsid w:val="00913F40"/>
    <w:rsid w:val="00914A8A"/>
    <w:rsid w:val="00916C51"/>
    <w:rsid w:val="00920347"/>
    <w:rsid w:val="00921C1B"/>
    <w:rsid w:val="00922BDC"/>
    <w:rsid w:val="00923103"/>
    <w:rsid w:val="00930A4F"/>
    <w:rsid w:val="009312C4"/>
    <w:rsid w:val="0093597C"/>
    <w:rsid w:val="00942EA1"/>
    <w:rsid w:val="00943165"/>
    <w:rsid w:val="00947696"/>
    <w:rsid w:val="00951D03"/>
    <w:rsid w:val="00952D3E"/>
    <w:rsid w:val="009536DD"/>
    <w:rsid w:val="009629D1"/>
    <w:rsid w:val="0096422B"/>
    <w:rsid w:val="00966B82"/>
    <w:rsid w:val="0096744A"/>
    <w:rsid w:val="00967C19"/>
    <w:rsid w:val="0097001D"/>
    <w:rsid w:val="009704FD"/>
    <w:rsid w:val="00972BD4"/>
    <w:rsid w:val="00976EE7"/>
    <w:rsid w:val="00977B85"/>
    <w:rsid w:val="00991C4E"/>
    <w:rsid w:val="00997C14"/>
    <w:rsid w:val="009A44F1"/>
    <w:rsid w:val="009A4AD6"/>
    <w:rsid w:val="009B2272"/>
    <w:rsid w:val="009B47F1"/>
    <w:rsid w:val="009C3F26"/>
    <w:rsid w:val="009C6FD1"/>
    <w:rsid w:val="009C7B33"/>
    <w:rsid w:val="009D2536"/>
    <w:rsid w:val="009D30FA"/>
    <w:rsid w:val="009D6B8F"/>
    <w:rsid w:val="009D71FC"/>
    <w:rsid w:val="009E2006"/>
    <w:rsid w:val="009F0EFE"/>
    <w:rsid w:val="009F1035"/>
    <w:rsid w:val="009F381D"/>
    <w:rsid w:val="009F5809"/>
    <w:rsid w:val="009F67B4"/>
    <w:rsid w:val="009F7649"/>
    <w:rsid w:val="009F7A52"/>
    <w:rsid w:val="00A0378A"/>
    <w:rsid w:val="00A04FB0"/>
    <w:rsid w:val="00A0509F"/>
    <w:rsid w:val="00A05A38"/>
    <w:rsid w:val="00A152ED"/>
    <w:rsid w:val="00A15764"/>
    <w:rsid w:val="00A21DC4"/>
    <w:rsid w:val="00A34FC3"/>
    <w:rsid w:val="00A36CA9"/>
    <w:rsid w:val="00A36D84"/>
    <w:rsid w:val="00A372D6"/>
    <w:rsid w:val="00A4314E"/>
    <w:rsid w:val="00A47E5D"/>
    <w:rsid w:val="00A50245"/>
    <w:rsid w:val="00A51D54"/>
    <w:rsid w:val="00A55870"/>
    <w:rsid w:val="00A56BB2"/>
    <w:rsid w:val="00A60F14"/>
    <w:rsid w:val="00A6121E"/>
    <w:rsid w:val="00A6352B"/>
    <w:rsid w:val="00A66E09"/>
    <w:rsid w:val="00A671B6"/>
    <w:rsid w:val="00A67A5C"/>
    <w:rsid w:val="00A67C0D"/>
    <w:rsid w:val="00A745E7"/>
    <w:rsid w:val="00A752A0"/>
    <w:rsid w:val="00A80821"/>
    <w:rsid w:val="00A835F3"/>
    <w:rsid w:val="00A84C0E"/>
    <w:rsid w:val="00A90172"/>
    <w:rsid w:val="00A92AD3"/>
    <w:rsid w:val="00A9301F"/>
    <w:rsid w:val="00A94DC8"/>
    <w:rsid w:val="00A953DD"/>
    <w:rsid w:val="00A9585D"/>
    <w:rsid w:val="00AA0AC2"/>
    <w:rsid w:val="00AA3E90"/>
    <w:rsid w:val="00AA6A57"/>
    <w:rsid w:val="00AB0F84"/>
    <w:rsid w:val="00AB2DCF"/>
    <w:rsid w:val="00AB4D8B"/>
    <w:rsid w:val="00AB5E46"/>
    <w:rsid w:val="00AB66C0"/>
    <w:rsid w:val="00AC0700"/>
    <w:rsid w:val="00AC0F82"/>
    <w:rsid w:val="00AC276A"/>
    <w:rsid w:val="00AC5CC4"/>
    <w:rsid w:val="00AC60D1"/>
    <w:rsid w:val="00AD0E64"/>
    <w:rsid w:val="00AD0FF5"/>
    <w:rsid w:val="00AD32EA"/>
    <w:rsid w:val="00AD5E20"/>
    <w:rsid w:val="00AD764F"/>
    <w:rsid w:val="00AE1425"/>
    <w:rsid w:val="00AE2B47"/>
    <w:rsid w:val="00AE33B8"/>
    <w:rsid w:val="00AE5194"/>
    <w:rsid w:val="00AE67A4"/>
    <w:rsid w:val="00AE6854"/>
    <w:rsid w:val="00AE7C27"/>
    <w:rsid w:val="00AE7E33"/>
    <w:rsid w:val="00AF0B9D"/>
    <w:rsid w:val="00B015C5"/>
    <w:rsid w:val="00B02C89"/>
    <w:rsid w:val="00B05B7A"/>
    <w:rsid w:val="00B06E74"/>
    <w:rsid w:val="00B1136D"/>
    <w:rsid w:val="00B1142F"/>
    <w:rsid w:val="00B14799"/>
    <w:rsid w:val="00B15106"/>
    <w:rsid w:val="00B15861"/>
    <w:rsid w:val="00B16E4B"/>
    <w:rsid w:val="00B2077C"/>
    <w:rsid w:val="00B23D44"/>
    <w:rsid w:val="00B2474E"/>
    <w:rsid w:val="00B347E4"/>
    <w:rsid w:val="00B36FCD"/>
    <w:rsid w:val="00B448AB"/>
    <w:rsid w:val="00B4621C"/>
    <w:rsid w:val="00B46867"/>
    <w:rsid w:val="00B46ADF"/>
    <w:rsid w:val="00B51640"/>
    <w:rsid w:val="00B51719"/>
    <w:rsid w:val="00B53BC7"/>
    <w:rsid w:val="00B554D2"/>
    <w:rsid w:val="00B55BBA"/>
    <w:rsid w:val="00B568F6"/>
    <w:rsid w:val="00B57B5E"/>
    <w:rsid w:val="00B57CD8"/>
    <w:rsid w:val="00B6090B"/>
    <w:rsid w:val="00B66B60"/>
    <w:rsid w:val="00B76B82"/>
    <w:rsid w:val="00B803FC"/>
    <w:rsid w:val="00B84E4C"/>
    <w:rsid w:val="00B90848"/>
    <w:rsid w:val="00B92A03"/>
    <w:rsid w:val="00B954EF"/>
    <w:rsid w:val="00B965CC"/>
    <w:rsid w:val="00BA1B50"/>
    <w:rsid w:val="00BA3246"/>
    <w:rsid w:val="00BA6FBA"/>
    <w:rsid w:val="00BB01DD"/>
    <w:rsid w:val="00BB04D8"/>
    <w:rsid w:val="00BB1852"/>
    <w:rsid w:val="00BB478E"/>
    <w:rsid w:val="00BC004D"/>
    <w:rsid w:val="00BC1E4F"/>
    <w:rsid w:val="00BC3B75"/>
    <w:rsid w:val="00BC505C"/>
    <w:rsid w:val="00BC5BB5"/>
    <w:rsid w:val="00BD1121"/>
    <w:rsid w:val="00BD2EC1"/>
    <w:rsid w:val="00BD3888"/>
    <w:rsid w:val="00BD3EE9"/>
    <w:rsid w:val="00BE0984"/>
    <w:rsid w:val="00BE0BDC"/>
    <w:rsid w:val="00BE0C19"/>
    <w:rsid w:val="00BE398F"/>
    <w:rsid w:val="00BE4C26"/>
    <w:rsid w:val="00BE5D51"/>
    <w:rsid w:val="00BF434C"/>
    <w:rsid w:val="00BF49EF"/>
    <w:rsid w:val="00C07F42"/>
    <w:rsid w:val="00C13AA4"/>
    <w:rsid w:val="00C14560"/>
    <w:rsid w:val="00C162DF"/>
    <w:rsid w:val="00C24151"/>
    <w:rsid w:val="00C24BAE"/>
    <w:rsid w:val="00C26A3B"/>
    <w:rsid w:val="00C365DB"/>
    <w:rsid w:val="00C37360"/>
    <w:rsid w:val="00C42140"/>
    <w:rsid w:val="00C444A8"/>
    <w:rsid w:val="00C449DE"/>
    <w:rsid w:val="00C52F29"/>
    <w:rsid w:val="00C5571B"/>
    <w:rsid w:val="00C60F20"/>
    <w:rsid w:val="00C62071"/>
    <w:rsid w:val="00C63B2D"/>
    <w:rsid w:val="00C662A3"/>
    <w:rsid w:val="00C70F5A"/>
    <w:rsid w:val="00C72D0F"/>
    <w:rsid w:val="00C73EB8"/>
    <w:rsid w:val="00C8277D"/>
    <w:rsid w:val="00C85E60"/>
    <w:rsid w:val="00C87533"/>
    <w:rsid w:val="00C87D79"/>
    <w:rsid w:val="00C91641"/>
    <w:rsid w:val="00C91C53"/>
    <w:rsid w:val="00C9399D"/>
    <w:rsid w:val="00CA1FE8"/>
    <w:rsid w:val="00CA22F6"/>
    <w:rsid w:val="00CA680B"/>
    <w:rsid w:val="00CB08F7"/>
    <w:rsid w:val="00CB2087"/>
    <w:rsid w:val="00CB28AF"/>
    <w:rsid w:val="00CB2A7B"/>
    <w:rsid w:val="00CB530C"/>
    <w:rsid w:val="00CB73CF"/>
    <w:rsid w:val="00CB7F8B"/>
    <w:rsid w:val="00CC17E3"/>
    <w:rsid w:val="00CC3CD7"/>
    <w:rsid w:val="00CC3EBB"/>
    <w:rsid w:val="00CC45E1"/>
    <w:rsid w:val="00CC7A01"/>
    <w:rsid w:val="00CD0405"/>
    <w:rsid w:val="00CD3AB1"/>
    <w:rsid w:val="00CD4988"/>
    <w:rsid w:val="00CE15AE"/>
    <w:rsid w:val="00CF30A9"/>
    <w:rsid w:val="00CF3647"/>
    <w:rsid w:val="00CF44F7"/>
    <w:rsid w:val="00D00064"/>
    <w:rsid w:val="00D0013D"/>
    <w:rsid w:val="00D00F60"/>
    <w:rsid w:val="00D0224C"/>
    <w:rsid w:val="00D06F47"/>
    <w:rsid w:val="00D079FD"/>
    <w:rsid w:val="00D11FB6"/>
    <w:rsid w:val="00D123E5"/>
    <w:rsid w:val="00D12D97"/>
    <w:rsid w:val="00D147A9"/>
    <w:rsid w:val="00D14868"/>
    <w:rsid w:val="00D1630B"/>
    <w:rsid w:val="00D20571"/>
    <w:rsid w:val="00D23F45"/>
    <w:rsid w:val="00D25E06"/>
    <w:rsid w:val="00D26205"/>
    <w:rsid w:val="00D31672"/>
    <w:rsid w:val="00D34186"/>
    <w:rsid w:val="00D3714F"/>
    <w:rsid w:val="00D448E1"/>
    <w:rsid w:val="00D44E36"/>
    <w:rsid w:val="00D4529C"/>
    <w:rsid w:val="00D46AAD"/>
    <w:rsid w:val="00D51343"/>
    <w:rsid w:val="00D52271"/>
    <w:rsid w:val="00D54B14"/>
    <w:rsid w:val="00D60251"/>
    <w:rsid w:val="00D636DB"/>
    <w:rsid w:val="00D669F2"/>
    <w:rsid w:val="00D7079F"/>
    <w:rsid w:val="00D74E3F"/>
    <w:rsid w:val="00D76D80"/>
    <w:rsid w:val="00D80B8E"/>
    <w:rsid w:val="00D80E1E"/>
    <w:rsid w:val="00D9231D"/>
    <w:rsid w:val="00D975E7"/>
    <w:rsid w:val="00D97ECB"/>
    <w:rsid w:val="00DA1860"/>
    <w:rsid w:val="00DA1EF8"/>
    <w:rsid w:val="00DA1F14"/>
    <w:rsid w:val="00DA5084"/>
    <w:rsid w:val="00DA6314"/>
    <w:rsid w:val="00DA7C19"/>
    <w:rsid w:val="00DB00D9"/>
    <w:rsid w:val="00DB1126"/>
    <w:rsid w:val="00DB260B"/>
    <w:rsid w:val="00DB42E7"/>
    <w:rsid w:val="00DB46C3"/>
    <w:rsid w:val="00DB553D"/>
    <w:rsid w:val="00DC34B1"/>
    <w:rsid w:val="00DC376D"/>
    <w:rsid w:val="00DC50F5"/>
    <w:rsid w:val="00DC5D5A"/>
    <w:rsid w:val="00DD04FD"/>
    <w:rsid w:val="00DD1020"/>
    <w:rsid w:val="00DD1F73"/>
    <w:rsid w:val="00DD2734"/>
    <w:rsid w:val="00DD6331"/>
    <w:rsid w:val="00DD69C1"/>
    <w:rsid w:val="00DE428B"/>
    <w:rsid w:val="00DE4E19"/>
    <w:rsid w:val="00DE5FD1"/>
    <w:rsid w:val="00DF24C0"/>
    <w:rsid w:val="00DF345A"/>
    <w:rsid w:val="00DF5D23"/>
    <w:rsid w:val="00DF7B11"/>
    <w:rsid w:val="00DF7FEE"/>
    <w:rsid w:val="00E023A7"/>
    <w:rsid w:val="00E03088"/>
    <w:rsid w:val="00E03522"/>
    <w:rsid w:val="00E0400B"/>
    <w:rsid w:val="00E04630"/>
    <w:rsid w:val="00E10762"/>
    <w:rsid w:val="00E32267"/>
    <w:rsid w:val="00E33680"/>
    <w:rsid w:val="00E363F7"/>
    <w:rsid w:val="00E368CF"/>
    <w:rsid w:val="00E3713A"/>
    <w:rsid w:val="00E377FE"/>
    <w:rsid w:val="00E419E1"/>
    <w:rsid w:val="00E429E7"/>
    <w:rsid w:val="00E44F0B"/>
    <w:rsid w:val="00E457E7"/>
    <w:rsid w:val="00E462E7"/>
    <w:rsid w:val="00E46F87"/>
    <w:rsid w:val="00E47F52"/>
    <w:rsid w:val="00E50650"/>
    <w:rsid w:val="00E5309F"/>
    <w:rsid w:val="00E53468"/>
    <w:rsid w:val="00E537E1"/>
    <w:rsid w:val="00E55C77"/>
    <w:rsid w:val="00E67648"/>
    <w:rsid w:val="00E67962"/>
    <w:rsid w:val="00E67AB9"/>
    <w:rsid w:val="00E7404C"/>
    <w:rsid w:val="00E74803"/>
    <w:rsid w:val="00E76581"/>
    <w:rsid w:val="00E773C4"/>
    <w:rsid w:val="00E80811"/>
    <w:rsid w:val="00E830A5"/>
    <w:rsid w:val="00E83744"/>
    <w:rsid w:val="00E83CD0"/>
    <w:rsid w:val="00E84917"/>
    <w:rsid w:val="00E85FF7"/>
    <w:rsid w:val="00E96A0F"/>
    <w:rsid w:val="00E9764E"/>
    <w:rsid w:val="00EA12F5"/>
    <w:rsid w:val="00EA1F11"/>
    <w:rsid w:val="00EB0FBD"/>
    <w:rsid w:val="00EB2B80"/>
    <w:rsid w:val="00EB4518"/>
    <w:rsid w:val="00EB46F5"/>
    <w:rsid w:val="00EB54CD"/>
    <w:rsid w:val="00EB6293"/>
    <w:rsid w:val="00EB6674"/>
    <w:rsid w:val="00EB7532"/>
    <w:rsid w:val="00EC3CEA"/>
    <w:rsid w:val="00EC6C15"/>
    <w:rsid w:val="00ED513F"/>
    <w:rsid w:val="00ED645B"/>
    <w:rsid w:val="00EE24D4"/>
    <w:rsid w:val="00EE2BF7"/>
    <w:rsid w:val="00EE2F1D"/>
    <w:rsid w:val="00EE5111"/>
    <w:rsid w:val="00EF1C04"/>
    <w:rsid w:val="00EF5910"/>
    <w:rsid w:val="00EF7919"/>
    <w:rsid w:val="00F04E3C"/>
    <w:rsid w:val="00F059AB"/>
    <w:rsid w:val="00F06079"/>
    <w:rsid w:val="00F11EC0"/>
    <w:rsid w:val="00F12F1B"/>
    <w:rsid w:val="00F14F76"/>
    <w:rsid w:val="00F208D8"/>
    <w:rsid w:val="00F256AC"/>
    <w:rsid w:val="00F36451"/>
    <w:rsid w:val="00F3716F"/>
    <w:rsid w:val="00F440C1"/>
    <w:rsid w:val="00F44660"/>
    <w:rsid w:val="00F50305"/>
    <w:rsid w:val="00F51BB5"/>
    <w:rsid w:val="00F51DF1"/>
    <w:rsid w:val="00F535E7"/>
    <w:rsid w:val="00F55CEF"/>
    <w:rsid w:val="00F562CC"/>
    <w:rsid w:val="00F57124"/>
    <w:rsid w:val="00F57782"/>
    <w:rsid w:val="00F617E4"/>
    <w:rsid w:val="00F63CAB"/>
    <w:rsid w:val="00F64D3B"/>
    <w:rsid w:val="00F65565"/>
    <w:rsid w:val="00F70102"/>
    <w:rsid w:val="00F7135C"/>
    <w:rsid w:val="00F80D9C"/>
    <w:rsid w:val="00F83367"/>
    <w:rsid w:val="00F877B8"/>
    <w:rsid w:val="00F909F2"/>
    <w:rsid w:val="00F949F2"/>
    <w:rsid w:val="00F97E77"/>
    <w:rsid w:val="00FA0739"/>
    <w:rsid w:val="00FA1426"/>
    <w:rsid w:val="00FA1BD0"/>
    <w:rsid w:val="00FA2303"/>
    <w:rsid w:val="00FA4C44"/>
    <w:rsid w:val="00FA4FD2"/>
    <w:rsid w:val="00FA5593"/>
    <w:rsid w:val="00FB0360"/>
    <w:rsid w:val="00FB6812"/>
    <w:rsid w:val="00FC1066"/>
    <w:rsid w:val="00FC2561"/>
    <w:rsid w:val="00FC4834"/>
    <w:rsid w:val="00FC6987"/>
    <w:rsid w:val="00FC69CE"/>
    <w:rsid w:val="00FC70FE"/>
    <w:rsid w:val="00FD0F26"/>
    <w:rsid w:val="00FD20BF"/>
    <w:rsid w:val="00FE27B6"/>
    <w:rsid w:val="00FE2B1C"/>
    <w:rsid w:val="00FE2EAE"/>
    <w:rsid w:val="00FE3029"/>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5708-5A26-4929-9974-66F954B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B9314-D11D-446D-96A6-7E5D22C6D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F720A-FF4E-4417-BB83-30CB17D4A2EB}">
  <ds:schemaRefs>
    <ds:schemaRef ds:uri="http://schemas.microsoft.com/sharepoint/v3/contenttype/forms"/>
  </ds:schemaRefs>
</ds:datastoreItem>
</file>

<file path=customXml/itemProps4.xml><?xml version="1.0" encoding="utf-8"?>
<ds:datastoreItem xmlns:ds="http://schemas.openxmlformats.org/officeDocument/2006/customXml" ds:itemID="{C29BDDFF-02E8-7846-AA91-75019D26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3</cp:revision>
  <cp:lastPrinted>2015-06-13T20:42:00Z</cp:lastPrinted>
  <dcterms:created xsi:type="dcterms:W3CDTF">2020-04-09T16:31:00Z</dcterms:created>
  <dcterms:modified xsi:type="dcterms:W3CDTF">2020-04-09T16:31:00Z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