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640831CF" w:rsidR="00102C3F" w:rsidRDefault="00521168" w:rsidP="00D20E25">
      <w:r>
        <w:rPr>
          <w:noProof/>
        </w:rPr>
        <mc:AlternateContent>
          <mc:Choice Requires="wps">
            <w:drawing>
              <wp:anchor distT="0" distB="0" distL="114300" distR="114300" simplePos="0" relativeHeight="251657216" behindDoc="0" locked="0" layoutInCell="1" allowOverlap="1" wp14:anchorId="1F050ED3" wp14:editId="48D665B2">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E26818F">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7F2A01A5" w:rsidR="00AF0B9D" w:rsidRPr="00D20E25" w:rsidRDefault="00EE57CF" w:rsidP="00D20E25">
      <w:pPr>
        <w:pStyle w:val="Heading1"/>
      </w:pPr>
      <w:r>
        <w:t>Agency</w:t>
      </w:r>
      <w:r w:rsidR="00DC76EB">
        <w:t xml:space="preserve"> Guidance</w:t>
      </w:r>
      <w:r w:rsidR="00777C72">
        <w:t xml:space="preserve"> – </w:t>
      </w:r>
      <w:r>
        <w:t xml:space="preserve">National Emergency </w:t>
      </w:r>
      <w:r w:rsidR="00777C72">
        <w:t>Extended Time Frames</w:t>
      </w:r>
    </w:p>
    <w:p w14:paraId="7CF3A7DC" w14:textId="77777777" w:rsidR="00807B7A" w:rsidRDefault="00807B7A" w:rsidP="00D20E25"/>
    <w:p w14:paraId="49CE0426" w14:textId="65D40652" w:rsidR="000E03AB" w:rsidRPr="00D20E25" w:rsidRDefault="00DB46C3" w:rsidP="00D20E25">
      <w:r w:rsidRPr="00D20E25">
        <w:t>Issue</w:t>
      </w:r>
      <w:r w:rsidR="00AF0B9D" w:rsidRPr="00D20E25">
        <w:t xml:space="preserve"> Date: </w:t>
      </w:r>
      <w:r w:rsidR="00BE24DE">
        <w:t xml:space="preserve">April </w:t>
      </w:r>
      <w:r w:rsidR="0047037D">
        <w:t>30</w:t>
      </w:r>
      <w:r w:rsidR="00D05C20">
        <w:t>,</w:t>
      </w:r>
      <w:r w:rsidR="00807B7A">
        <w:t xml:space="preserve"> 2020</w:t>
      </w:r>
    </w:p>
    <w:p w14:paraId="0E76EE4F" w14:textId="77777777" w:rsidR="0047037D" w:rsidRDefault="0047037D" w:rsidP="00D20E25">
      <w:pPr>
        <w:pStyle w:val="MediumGrid2-Accent11"/>
        <w:rPr>
          <w:lang w:val="en-US"/>
        </w:rPr>
      </w:pPr>
    </w:p>
    <w:p w14:paraId="1CFDDC22" w14:textId="552C0922" w:rsidR="002D198D" w:rsidRDefault="00DC76EB" w:rsidP="00D20E25">
      <w:pPr>
        <w:pStyle w:val="MediumGrid2-Accent11"/>
        <w:rPr>
          <w:lang w:val="en-US"/>
        </w:rPr>
      </w:pPr>
      <w:r>
        <w:rPr>
          <w:lang w:val="en-US"/>
        </w:rPr>
        <w:t>The Department of Labor (DOL)</w:t>
      </w:r>
      <w:r w:rsidR="00171AD4">
        <w:rPr>
          <w:lang w:val="en-US"/>
        </w:rPr>
        <w:t xml:space="preserve"> and </w:t>
      </w:r>
      <w:r w:rsidR="00A20097">
        <w:rPr>
          <w:lang w:val="en-US"/>
        </w:rPr>
        <w:t xml:space="preserve">the </w:t>
      </w:r>
      <w:r w:rsidR="00171AD4">
        <w:rPr>
          <w:lang w:val="en-US"/>
        </w:rPr>
        <w:t>Department of Treasury (IRS) jointly</w:t>
      </w:r>
      <w:r>
        <w:rPr>
          <w:lang w:val="en-US"/>
        </w:rPr>
        <w:t xml:space="preserve"> issued a final rule</w:t>
      </w:r>
      <w:r w:rsidR="00073F99">
        <w:rPr>
          <w:lang w:val="en-US"/>
        </w:rPr>
        <w:t xml:space="preserve"> extending </w:t>
      </w:r>
      <w:r w:rsidR="00C83A55">
        <w:rPr>
          <w:lang w:val="en-US"/>
        </w:rPr>
        <w:t xml:space="preserve">several </w:t>
      </w:r>
      <w:r w:rsidR="00584C07">
        <w:rPr>
          <w:lang w:val="en-US"/>
        </w:rPr>
        <w:t xml:space="preserve">specific </w:t>
      </w:r>
      <w:r w:rsidR="00073F99">
        <w:rPr>
          <w:lang w:val="en-US"/>
        </w:rPr>
        <w:t>notice</w:t>
      </w:r>
      <w:r w:rsidR="00171AD4">
        <w:rPr>
          <w:lang w:val="en-US"/>
        </w:rPr>
        <w:t xml:space="preserve"> time frames </w:t>
      </w:r>
      <w:r w:rsidR="00584C07">
        <w:rPr>
          <w:lang w:val="en-US"/>
        </w:rPr>
        <w:t>applicable under HIPAA, COBRA</w:t>
      </w:r>
      <w:r w:rsidR="00A20097">
        <w:rPr>
          <w:lang w:val="en-US"/>
        </w:rPr>
        <w:t>,</w:t>
      </w:r>
      <w:r w:rsidR="00584C07">
        <w:rPr>
          <w:lang w:val="en-US"/>
        </w:rPr>
        <w:t xml:space="preserve"> and ERISA. </w:t>
      </w:r>
      <w:r w:rsidR="009832FD">
        <w:rPr>
          <w:lang w:val="en-US"/>
        </w:rPr>
        <w:t xml:space="preserve">The rule also extends the time frames for COBRA elections, COBRA payments, and HIPAA special enrollments. </w:t>
      </w:r>
      <w:r w:rsidR="00584C07">
        <w:rPr>
          <w:lang w:val="en-US"/>
        </w:rPr>
        <w:t>In addition</w:t>
      </w:r>
      <w:r w:rsidR="00FB3435">
        <w:rPr>
          <w:lang w:val="en-US"/>
        </w:rPr>
        <w:t xml:space="preserve"> to the final rule</w:t>
      </w:r>
      <w:r w:rsidR="00584C07">
        <w:rPr>
          <w:lang w:val="en-US"/>
        </w:rPr>
        <w:t xml:space="preserve">, the </w:t>
      </w:r>
      <w:r w:rsidR="001A7C6F">
        <w:rPr>
          <w:lang w:val="en-US"/>
        </w:rPr>
        <w:t xml:space="preserve">DOL issued </w:t>
      </w:r>
      <w:r w:rsidR="001E68E8">
        <w:rPr>
          <w:lang w:val="en-US"/>
        </w:rPr>
        <w:t xml:space="preserve">Disaster Relief </w:t>
      </w:r>
      <w:r w:rsidR="001A7C6F">
        <w:rPr>
          <w:lang w:val="en-US"/>
        </w:rPr>
        <w:t>Notice 2020-01</w:t>
      </w:r>
      <w:r w:rsidR="00FB3435">
        <w:rPr>
          <w:lang w:val="en-US"/>
        </w:rPr>
        <w:t>,</w:t>
      </w:r>
      <w:r w:rsidR="001E68E8">
        <w:rPr>
          <w:lang w:val="en-US"/>
        </w:rPr>
        <w:t xml:space="preserve"> indicating there will be leniency </w:t>
      </w:r>
      <w:r w:rsidR="00A32D97">
        <w:rPr>
          <w:lang w:val="en-US"/>
        </w:rPr>
        <w:t>regarding</w:t>
      </w:r>
      <w:r w:rsidR="00C62CC2">
        <w:rPr>
          <w:lang w:val="en-US"/>
        </w:rPr>
        <w:t xml:space="preserve"> enforcement of</w:t>
      </w:r>
      <w:r w:rsidR="001E68E8">
        <w:rPr>
          <w:lang w:val="en-US"/>
        </w:rPr>
        <w:t xml:space="preserve"> </w:t>
      </w:r>
      <w:r w:rsidR="00A32D97">
        <w:rPr>
          <w:lang w:val="en-US"/>
        </w:rPr>
        <w:t>the</w:t>
      </w:r>
      <w:r w:rsidR="001E68E8">
        <w:rPr>
          <w:lang w:val="en-US"/>
        </w:rPr>
        <w:t xml:space="preserve"> timing</w:t>
      </w:r>
      <w:r w:rsidR="00A32D97">
        <w:rPr>
          <w:lang w:val="en-US"/>
        </w:rPr>
        <w:t xml:space="preserve"> and delivery method</w:t>
      </w:r>
      <w:r w:rsidR="00C83A55">
        <w:rPr>
          <w:lang w:val="en-US"/>
        </w:rPr>
        <w:t xml:space="preserve"> </w:t>
      </w:r>
      <w:r w:rsidR="00C62CC2">
        <w:rPr>
          <w:lang w:val="en-US"/>
        </w:rPr>
        <w:t>for</w:t>
      </w:r>
      <w:r w:rsidR="00A32D97">
        <w:rPr>
          <w:lang w:val="en-US"/>
        </w:rPr>
        <w:t xml:space="preserve"> </w:t>
      </w:r>
      <w:r w:rsidR="00C62CC2">
        <w:rPr>
          <w:lang w:val="en-US"/>
        </w:rPr>
        <w:t xml:space="preserve">all </w:t>
      </w:r>
      <w:r w:rsidR="00954AA6">
        <w:rPr>
          <w:lang w:val="en-US"/>
        </w:rPr>
        <w:t>disclosures required under ERISA</w:t>
      </w:r>
      <w:r w:rsidR="00A92AE3">
        <w:rPr>
          <w:lang w:val="en-US"/>
        </w:rPr>
        <w:t xml:space="preserve"> and confirming </w:t>
      </w:r>
      <w:r w:rsidR="00F942A1">
        <w:rPr>
          <w:lang w:val="en-US"/>
        </w:rPr>
        <w:t>the extended filing deadline of July 15, 2020</w:t>
      </w:r>
      <w:r w:rsidR="00A20097">
        <w:rPr>
          <w:lang w:val="en-US"/>
        </w:rPr>
        <w:t>,</w:t>
      </w:r>
      <w:r w:rsidR="00F942A1">
        <w:rPr>
          <w:lang w:val="en-US"/>
        </w:rPr>
        <w:t xml:space="preserve"> for Form 5500 and Form M-1 filings due between April 1</w:t>
      </w:r>
      <w:r w:rsidR="00F942A1" w:rsidRPr="00F942A1">
        <w:rPr>
          <w:vertAlign w:val="superscript"/>
          <w:lang w:val="en-US"/>
        </w:rPr>
        <w:t>st</w:t>
      </w:r>
      <w:r w:rsidR="00F942A1">
        <w:rPr>
          <w:lang w:val="en-US"/>
        </w:rPr>
        <w:t xml:space="preserve"> and July 15</w:t>
      </w:r>
      <w:r w:rsidR="00F942A1" w:rsidRPr="00F942A1">
        <w:rPr>
          <w:vertAlign w:val="superscript"/>
          <w:lang w:val="en-US"/>
        </w:rPr>
        <w:t>th</w:t>
      </w:r>
      <w:r w:rsidR="00F942A1">
        <w:rPr>
          <w:lang w:val="en-US"/>
        </w:rPr>
        <w:t>, 2020</w:t>
      </w:r>
      <w:r w:rsidR="00954AA6">
        <w:rPr>
          <w:lang w:val="en-US"/>
        </w:rPr>
        <w:t>.</w:t>
      </w:r>
      <w:r w:rsidR="001E68E8">
        <w:rPr>
          <w:lang w:val="en-US"/>
        </w:rPr>
        <w:t xml:space="preserve"> </w:t>
      </w:r>
    </w:p>
    <w:p w14:paraId="69887A68" w14:textId="77777777" w:rsidR="002D198D" w:rsidRDefault="002D198D" w:rsidP="00D20E25">
      <w:pPr>
        <w:pStyle w:val="MediumGrid2-Accent11"/>
        <w:rPr>
          <w:lang w:val="en-US"/>
        </w:rPr>
      </w:pPr>
    </w:p>
    <w:p w14:paraId="5FC4405B" w14:textId="03A10F51" w:rsidR="005F683F" w:rsidRDefault="005F683F" w:rsidP="00D20E25">
      <w:pPr>
        <w:pStyle w:val="MediumGrid2-Accent11"/>
        <w:rPr>
          <w:b/>
          <w:bCs/>
          <w:lang w:val="en-US"/>
        </w:rPr>
      </w:pPr>
      <w:r>
        <w:rPr>
          <w:b/>
          <w:bCs/>
          <w:lang w:val="en-US"/>
        </w:rPr>
        <w:t>Final Rule</w:t>
      </w:r>
    </w:p>
    <w:p w14:paraId="778CF4D4" w14:textId="77777777" w:rsidR="00EC7661" w:rsidRDefault="00EC7661" w:rsidP="00D20E25">
      <w:pPr>
        <w:pStyle w:val="MediumGrid2-Accent11"/>
        <w:rPr>
          <w:lang w:val="en-US"/>
        </w:rPr>
      </w:pPr>
    </w:p>
    <w:p w14:paraId="35BC9615" w14:textId="237DE444" w:rsidR="009B3D09" w:rsidRDefault="00DE2CB3" w:rsidP="00D20E25">
      <w:pPr>
        <w:pStyle w:val="MediumGrid2-Accent11"/>
        <w:rPr>
          <w:lang w:val="en-US"/>
        </w:rPr>
      </w:pPr>
      <w:r>
        <w:rPr>
          <w:lang w:val="en-US"/>
        </w:rPr>
        <w:t xml:space="preserve">A National Emergency was declared as of March 1, 2020. </w:t>
      </w:r>
      <w:r w:rsidR="00AA285A">
        <w:rPr>
          <w:lang w:val="en-US"/>
        </w:rPr>
        <w:t>During th</w:t>
      </w:r>
      <w:r w:rsidR="00B76EE4">
        <w:rPr>
          <w:lang w:val="en-US"/>
        </w:rPr>
        <w:t>e current</w:t>
      </w:r>
      <w:r w:rsidR="00AA285A">
        <w:rPr>
          <w:lang w:val="en-US"/>
        </w:rPr>
        <w:t xml:space="preserve"> National Emergency, t</w:t>
      </w:r>
      <w:r w:rsidR="00E30F4F">
        <w:rPr>
          <w:lang w:val="en-US"/>
        </w:rPr>
        <w:t>he final rule</w:t>
      </w:r>
      <w:r w:rsidR="00C61CCE">
        <w:rPr>
          <w:lang w:val="en-US"/>
        </w:rPr>
        <w:t xml:space="preserve"> </w:t>
      </w:r>
      <w:r w:rsidR="00CB0C4C">
        <w:rPr>
          <w:lang w:val="en-US"/>
        </w:rPr>
        <w:t xml:space="preserve">allows </w:t>
      </w:r>
      <w:r w:rsidR="006D14FE">
        <w:rPr>
          <w:lang w:val="en-US"/>
        </w:rPr>
        <w:t xml:space="preserve">additional time for </w:t>
      </w:r>
      <w:r w:rsidR="00CE6B1B">
        <w:rPr>
          <w:lang w:val="en-US"/>
        </w:rPr>
        <w:t xml:space="preserve">certain </w:t>
      </w:r>
      <w:r w:rsidR="006D14FE">
        <w:rPr>
          <w:lang w:val="en-US"/>
        </w:rPr>
        <w:t xml:space="preserve">notices to be provided </w:t>
      </w:r>
      <w:r w:rsidR="00705AFD">
        <w:rPr>
          <w:lang w:val="en-US"/>
        </w:rPr>
        <w:t xml:space="preserve">by </w:t>
      </w:r>
      <w:r w:rsidR="00696ABA">
        <w:rPr>
          <w:lang w:val="en-US"/>
        </w:rPr>
        <w:t xml:space="preserve">employers, administrators, </w:t>
      </w:r>
      <w:r w:rsidR="00171AD4">
        <w:rPr>
          <w:lang w:val="en-US"/>
        </w:rPr>
        <w:t>employees</w:t>
      </w:r>
      <w:r w:rsidR="006F6C41">
        <w:rPr>
          <w:lang w:val="en-US"/>
        </w:rPr>
        <w:t>,</w:t>
      </w:r>
      <w:r w:rsidR="00171AD4">
        <w:rPr>
          <w:lang w:val="en-US"/>
        </w:rPr>
        <w:t xml:space="preserve"> and other plan participants</w:t>
      </w:r>
      <w:r w:rsidR="00B76EE4">
        <w:rPr>
          <w:lang w:val="en-US"/>
        </w:rPr>
        <w:t>. The rules apply</w:t>
      </w:r>
      <w:r w:rsidR="008928A9">
        <w:rPr>
          <w:lang w:val="en-US"/>
        </w:rPr>
        <w:t xml:space="preserve"> broadly</w:t>
      </w:r>
      <w:r w:rsidR="00B76EE4">
        <w:rPr>
          <w:lang w:val="en-US"/>
        </w:rPr>
        <w:t xml:space="preserve"> to all </w:t>
      </w:r>
      <w:r w:rsidR="001152AA">
        <w:rPr>
          <w:lang w:val="en-US"/>
        </w:rPr>
        <w:t>employer-sponsored benefits subject to ERISA and COBRA. The Department of Health &amp; Human Services (HHS) has indicated that similar relief will be available to non-federal governmental plans as well.</w:t>
      </w:r>
    </w:p>
    <w:p w14:paraId="33A894E7" w14:textId="77777777" w:rsidR="00EC7661" w:rsidRDefault="00EC7661" w:rsidP="00D20E25">
      <w:pPr>
        <w:pStyle w:val="MediumGrid2-Accent11"/>
        <w:rPr>
          <w:lang w:val="en-US"/>
        </w:rPr>
      </w:pPr>
    </w:p>
    <w:p w14:paraId="26C8E88F" w14:textId="6DD225F6" w:rsidR="009B3D09" w:rsidRDefault="009B3D09" w:rsidP="00D20E25">
      <w:pPr>
        <w:pStyle w:val="MediumGrid2-Accent11"/>
        <w:rPr>
          <w:lang w:val="en-US"/>
        </w:rPr>
      </w:pPr>
      <w:r>
        <w:rPr>
          <w:lang w:val="en-US"/>
        </w:rPr>
        <w:t>For the period of time beginning March 1, 2020</w:t>
      </w:r>
      <w:r w:rsidR="006F6C41">
        <w:rPr>
          <w:lang w:val="en-US"/>
        </w:rPr>
        <w:t>,</w:t>
      </w:r>
      <w:r>
        <w:rPr>
          <w:lang w:val="en-US"/>
        </w:rPr>
        <w:t xml:space="preserve"> until </w:t>
      </w:r>
      <w:r w:rsidR="00EC224B">
        <w:rPr>
          <w:lang w:val="en-US"/>
        </w:rPr>
        <w:t>60 days after the National Emergency is over (or such other date as announced by the agencies)</w:t>
      </w:r>
      <w:r w:rsidR="003C5B3D">
        <w:rPr>
          <w:lang w:val="en-US"/>
        </w:rPr>
        <w:t xml:space="preserve">, all group health plans, disability plans, other employee welfare benefit plans, and employee pension plans must </w:t>
      </w:r>
      <w:r w:rsidR="00C23BF9">
        <w:rPr>
          <w:lang w:val="en-US"/>
        </w:rPr>
        <w:t xml:space="preserve">disregard this </w:t>
      </w:r>
      <w:r w:rsidR="001E37F9">
        <w:rPr>
          <w:lang w:val="en-US"/>
        </w:rPr>
        <w:t xml:space="preserve">time period </w:t>
      </w:r>
      <w:r w:rsidR="003B2A42">
        <w:rPr>
          <w:lang w:val="en-US"/>
        </w:rPr>
        <w:t>(the “</w:t>
      </w:r>
      <w:r w:rsidR="0020023D">
        <w:rPr>
          <w:lang w:val="en-US"/>
        </w:rPr>
        <w:t>O</w:t>
      </w:r>
      <w:r w:rsidR="003B2A42">
        <w:rPr>
          <w:lang w:val="en-US"/>
        </w:rPr>
        <w:t xml:space="preserve">utbreak </w:t>
      </w:r>
      <w:r w:rsidR="0020023D">
        <w:rPr>
          <w:lang w:val="en-US"/>
        </w:rPr>
        <w:t>P</w:t>
      </w:r>
      <w:r w:rsidR="003B2A42">
        <w:rPr>
          <w:lang w:val="en-US"/>
        </w:rPr>
        <w:t xml:space="preserve">eriod”) </w:t>
      </w:r>
      <w:r w:rsidR="001E37F9">
        <w:rPr>
          <w:lang w:val="en-US"/>
        </w:rPr>
        <w:t xml:space="preserve">when </w:t>
      </w:r>
      <w:r w:rsidR="00D36388">
        <w:rPr>
          <w:lang w:val="en-US"/>
        </w:rPr>
        <w:t xml:space="preserve">administering plans and </w:t>
      </w:r>
      <w:r w:rsidR="001E37F9">
        <w:rPr>
          <w:lang w:val="en-US"/>
        </w:rPr>
        <w:t xml:space="preserve">allowing employees and other plan participants to exercise certain rights as described below. </w:t>
      </w:r>
    </w:p>
    <w:p w14:paraId="4ADC675E" w14:textId="04766A94" w:rsidR="001152AA" w:rsidRDefault="001152AA" w:rsidP="00D20E25">
      <w:pPr>
        <w:pStyle w:val="MediumGrid2-Accent11"/>
        <w:rPr>
          <w:lang w:val="en-US"/>
        </w:rPr>
      </w:pPr>
    </w:p>
    <w:p w14:paraId="4DE352AF" w14:textId="40A07833" w:rsidR="001152AA" w:rsidRPr="00941C8D" w:rsidRDefault="001152AA" w:rsidP="00D20E25">
      <w:pPr>
        <w:pStyle w:val="MediumGrid2-Accent11"/>
        <w:rPr>
          <w:u w:val="single"/>
          <w:lang w:val="en-US"/>
        </w:rPr>
      </w:pPr>
      <w:r w:rsidRPr="00941C8D">
        <w:rPr>
          <w:u w:val="single"/>
          <w:lang w:val="en-US"/>
        </w:rPr>
        <w:t>HIPAA Special Enrollment Rights</w:t>
      </w:r>
    </w:p>
    <w:p w14:paraId="6730019C" w14:textId="741F4385" w:rsidR="001152AA" w:rsidRDefault="00A20097" w:rsidP="00D20E25">
      <w:pPr>
        <w:pStyle w:val="MediumGrid2-Accent11"/>
        <w:rPr>
          <w:lang w:val="en-US"/>
        </w:rPr>
      </w:pPr>
      <w:r>
        <w:rPr>
          <w:lang w:val="en-US"/>
        </w:rPr>
        <w:t>Under existing rules, e</w:t>
      </w:r>
      <w:r w:rsidR="00613D28">
        <w:rPr>
          <w:lang w:val="en-US"/>
        </w:rPr>
        <w:t>mployees who want to exercise HIPAA special enrollment rights upon a loss of coverage or acquisition of a dependent through marriage or birth/adoption are typically required to provide notice to the plan within 30 days of the event in order to enroll mid-plan year.</w:t>
      </w:r>
      <w:r w:rsidR="00941C8D">
        <w:rPr>
          <w:lang w:val="en-US"/>
        </w:rPr>
        <w:t xml:space="preserve"> For loss of Medicaid/CHIP coverage</w:t>
      </w:r>
      <w:r w:rsidR="004F2946">
        <w:rPr>
          <w:lang w:val="en-US"/>
        </w:rPr>
        <w:t>,</w:t>
      </w:r>
      <w:r w:rsidR="00941C8D">
        <w:rPr>
          <w:lang w:val="en-US"/>
        </w:rPr>
        <w:t xml:space="preserve"> or becoming newly eligible for a Medicaid/CHIP subsidy,</w:t>
      </w:r>
      <w:r w:rsidR="00584F1A">
        <w:rPr>
          <w:lang w:val="en-US"/>
        </w:rPr>
        <w:t xml:space="preserve"> the</w:t>
      </w:r>
      <w:r w:rsidR="00941C8D">
        <w:rPr>
          <w:lang w:val="en-US"/>
        </w:rPr>
        <w:t xml:space="preserve"> notice must be provided within 60 days of the event in order to enroll mid-plan year.</w:t>
      </w:r>
      <w:r w:rsidR="004F2946">
        <w:rPr>
          <w:lang w:val="en-US"/>
        </w:rPr>
        <w:t xml:space="preserve"> If enrollment is requested within </w:t>
      </w:r>
      <w:r w:rsidR="00B61220">
        <w:rPr>
          <w:lang w:val="en-US"/>
        </w:rPr>
        <w:t xml:space="preserve">the required time frame, coverage must be made available no later than </w:t>
      </w:r>
      <w:r w:rsidR="006F6C41">
        <w:rPr>
          <w:lang w:val="en-US"/>
        </w:rPr>
        <w:t>the</w:t>
      </w:r>
      <w:r w:rsidR="00B61220">
        <w:rPr>
          <w:lang w:val="en-US"/>
        </w:rPr>
        <w:t>1</w:t>
      </w:r>
      <w:r w:rsidR="00B61220" w:rsidRPr="00B61220">
        <w:rPr>
          <w:vertAlign w:val="superscript"/>
          <w:lang w:val="en-US"/>
        </w:rPr>
        <w:t>st</w:t>
      </w:r>
      <w:r w:rsidR="00B61220">
        <w:rPr>
          <w:lang w:val="en-US"/>
        </w:rPr>
        <w:t xml:space="preserve"> of the month following receipt of the notice, except in the case of a birth/adoption, in which case coverage must be made available retroactively to the date of birth or adoption.</w:t>
      </w:r>
    </w:p>
    <w:p w14:paraId="5B93758F" w14:textId="4311DBAC" w:rsidR="00136B3A" w:rsidRDefault="00136B3A" w:rsidP="00D20E25">
      <w:pPr>
        <w:pStyle w:val="MediumGrid2-Accent11"/>
        <w:rPr>
          <w:lang w:val="en-US"/>
        </w:rPr>
      </w:pPr>
    </w:p>
    <w:p w14:paraId="1F251E78" w14:textId="0C7E04E1" w:rsidR="00136B3A" w:rsidRPr="00317F9F" w:rsidRDefault="00317F9F" w:rsidP="00D20E25">
      <w:pPr>
        <w:pStyle w:val="MediumGrid2-Accent11"/>
        <w:rPr>
          <w:b/>
          <w:bCs/>
          <w:lang w:val="en-US"/>
        </w:rPr>
      </w:pPr>
      <w:r w:rsidRPr="00317F9F">
        <w:rPr>
          <w:b/>
          <w:bCs/>
          <w:lang w:val="en-US"/>
        </w:rPr>
        <w:t xml:space="preserve">NOTE: </w:t>
      </w:r>
      <w:r w:rsidR="00136B3A" w:rsidRPr="00317F9F">
        <w:rPr>
          <w:b/>
          <w:bCs/>
          <w:lang w:val="en-US"/>
        </w:rPr>
        <w:t xml:space="preserve">The extension of notice timelines due to the National Emergency </w:t>
      </w:r>
      <w:r w:rsidR="009832FD">
        <w:rPr>
          <w:b/>
          <w:bCs/>
          <w:lang w:val="en-US"/>
        </w:rPr>
        <w:t xml:space="preserve"> </w:t>
      </w:r>
      <w:r w:rsidR="00136B3A" w:rsidRPr="00317F9F">
        <w:rPr>
          <w:b/>
          <w:bCs/>
          <w:lang w:val="en-US"/>
        </w:rPr>
        <w:t>means that eligible employees would be able to request a HIPAA special enrollment for a much longer period of time tha</w:t>
      </w:r>
      <w:r w:rsidR="00584F1A">
        <w:rPr>
          <w:b/>
          <w:bCs/>
          <w:lang w:val="en-US"/>
        </w:rPr>
        <w:t>n</w:t>
      </w:r>
      <w:r w:rsidR="00136B3A" w:rsidRPr="00317F9F">
        <w:rPr>
          <w:b/>
          <w:bCs/>
          <w:lang w:val="en-US"/>
        </w:rPr>
        <w:t xml:space="preserve"> normally allowed</w:t>
      </w:r>
      <w:r w:rsidR="006F6C41">
        <w:rPr>
          <w:b/>
          <w:bCs/>
          <w:lang w:val="en-US"/>
        </w:rPr>
        <w:t>,</w:t>
      </w:r>
      <w:r w:rsidR="00136B3A" w:rsidRPr="00317F9F">
        <w:rPr>
          <w:b/>
          <w:bCs/>
          <w:lang w:val="en-US"/>
        </w:rPr>
        <w:t xml:space="preserve"> and the </w:t>
      </w:r>
      <w:r w:rsidR="009832FD">
        <w:rPr>
          <w:b/>
          <w:bCs/>
          <w:lang w:val="en-US"/>
        </w:rPr>
        <w:t xml:space="preserve">group </w:t>
      </w:r>
      <w:r w:rsidR="00136B3A" w:rsidRPr="00317F9F">
        <w:rPr>
          <w:b/>
          <w:bCs/>
          <w:lang w:val="en-US"/>
        </w:rPr>
        <w:t>health plan would be required to allow a mid-plan year enrollment for eligible participants.</w:t>
      </w:r>
    </w:p>
    <w:p w14:paraId="5864EDB8" w14:textId="3300A3BB" w:rsidR="007705AC" w:rsidRPr="00317F9F" w:rsidRDefault="007705AC" w:rsidP="00D20E25">
      <w:pPr>
        <w:pStyle w:val="MediumGrid2-Accent11"/>
        <w:rPr>
          <w:b/>
          <w:bCs/>
          <w:lang w:val="en-US"/>
        </w:rPr>
      </w:pPr>
    </w:p>
    <w:p w14:paraId="3A960863" w14:textId="6E6E3AF4" w:rsidR="007705AC" w:rsidRDefault="007705AC" w:rsidP="00D20E25">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and therefore </w:t>
      </w:r>
      <w:r w:rsidR="0056690A">
        <w:rPr>
          <w:i/>
          <w:iCs/>
          <w:lang w:val="en-US"/>
        </w:rPr>
        <w:t xml:space="preserve">March 1, 2020 – July </w:t>
      </w:r>
      <w:r w:rsidR="00820177">
        <w:rPr>
          <w:i/>
          <w:iCs/>
          <w:lang w:val="en-US"/>
        </w:rPr>
        <w:t>30</w:t>
      </w:r>
      <w:r w:rsidR="0056690A">
        <w:rPr>
          <w:i/>
          <w:iCs/>
          <w:lang w:val="en-US"/>
        </w:rPr>
        <w:t>, 2020</w:t>
      </w:r>
      <w:r w:rsidR="00820177">
        <w:rPr>
          <w:i/>
          <w:iCs/>
          <w:lang w:val="en-US"/>
        </w:rPr>
        <w:t xml:space="preserve"> is disregarded</w:t>
      </w:r>
      <w:r w:rsidR="006E7E55">
        <w:rPr>
          <w:i/>
          <w:iCs/>
          <w:lang w:val="en-US"/>
        </w:rPr>
        <w:t xml:space="preserve"> as the </w:t>
      </w:r>
      <w:r w:rsidR="0020023D">
        <w:rPr>
          <w:i/>
          <w:iCs/>
          <w:lang w:val="en-US"/>
        </w:rPr>
        <w:t>O</w:t>
      </w:r>
      <w:r w:rsidR="006E7E55">
        <w:rPr>
          <w:i/>
          <w:iCs/>
          <w:lang w:val="en-US"/>
        </w:rPr>
        <w:t xml:space="preserve">utbreak </w:t>
      </w:r>
      <w:r w:rsidR="0020023D">
        <w:rPr>
          <w:i/>
          <w:iCs/>
          <w:lang w:val="en-US"/>
        </w:rPr>
        <w:t>P</w:t>
      </w:r>
      <w:r w:rsidR="006E7E55">
        <w:rPr>
          <w:i/>
          <w:iCs/>
          <w:lang w:val="en-US"/>
        </w:rPr>
        <w:t>eriod</w:t>
      </w:r>
      <w:r w:rsidR="00820177">
        <w:rPr>
          <w:i/>
          <w:iCs/>
          <w:lang w:val="en-US"/>
        </w:rPr>
        <w:t xml:space="preserve"> for purposes of counting</w:t>
      </w:r>
      <w:r w:rsidR="00E34058">
        <w:rPr>
          <w:i/>
          <w:iCs/>
          <w:lang w:val="en-US"/>
        </w:rPr>
        <w:t xml:space="preserve"> the 30-day (or 60-day) notice requirement.</w:t>
      </w:r>
      <w:r w:rsidR="00413426">
        <w:rPr>
          <w:i/>
          <w:iCs/>
          <w:lang w:val="en-US"/>
        </w:rPr>
        <w:t xml:space="preserve"> </w:t>
      </w:r>
      <w:r w:rsidR="00090F22">
        <w:rPr>
          <w:i/>
          <w:iCs/>
          <w:lang w:val="en-US"/>
        </w:rPr>
        <w:t xml:space="preserve">If </w:t>
      </w:r>
      <w:r w:rsidR="006E7E55">
        <w:rPr>
          <w:i/>
          <w:iCs/>
          <w:lang w:val="en-US"/>
        </w:rPr>
        <w:t xml:space="preserve">an </w:t>
      </w:r>
      <w:r w:rsidR="00090F22">
        <w:rPr>
          <w:i/>
          <w:iCs/>
          <w:lang w:val="en-US"/>
        </w:rPr>
        <w:t>employee has a baby May 15, 2020</w:t>
      </w:r>
      <w:r w:rsidR="0046122B">
        <w:rPr>
          <w:i/>
          <w:iCs/>
          <w:lang w:val="en-US"/>
        </w:rPr>
        <w:t xml:space="preserve">, </w:t>
      </w:r>
      <w:r w:rsidR="006E7E55">
        <w:rPr>
          <w:i/>
          <w:iCs/>
          <w:lang w:val="en-US"/>
        </w:rPr>
        <w:t xml:space="preserve">the </w:t>
      </w:r>
      <w:r w:rsidR="00090F22">
        <w:rPr>
          <w:i/>
          <w:iCs/>
          <w:lang w:val="en-US"/>
        </w:rPr>
        <w:t>employee could request enrollment for herself, her spouse</w:t>
      </w:r>
      <w:r w:rsidR="006F6C41">
        <w:rPr>
          <w:i/>
          <w:iCs/>
          <w:lang w:val="en-US"/>
        </w:rPr>
        <w:t>,</w:t>
      </w:r>
      <w:r w:rsidR="00090F22">
        <w:rPr>
          <w:i/>
          <w:iCs/>
          <w:lang w:val="en-US"/>
        </w:rPr>
        <w:t xml:space="preserve"> and the child (retroactive to May 15, 2020)</w:t>
      </w:r>
      <w:r w:rsidR="0046122B">
        <w:rPr>
          <w:i/>
          <w:iCs/>
          <w:lang w:val="en-US"/>
        </w:rPr>
        <w:t xml:space="preserve"> as late as August</w:t>
      </w:r>
      <w:r w:rsidR="00B53A94">
        <w:rPr>
          <w:i/>
          <w:iCs/>
          <w:lang w:val="en-US"/>
        </w:rPr>
        <w:t xml:space="preserve"> 29, 2020</w:t>
      </w:r>
      <w:r w:rsidR="00B37088">
        <w:rPr>
          <w:i/>
          <w:iCs/>
          <w:lang w:val="en-US"/>
        </w:rPr>
        <w:t xml:space="preserve"> (30 days after July 30, 2020)</w:t>
      </w:r>
      <w:r w:rsidR="00B53A94">
        <w:rPr>
          <w:i/>
          <w:iCs/>
          <w:lang w:val="en-US"/>
        </w:rPr>
        <w:t xml:space="preserve">. </w:t>
      </w:r>
      <w:r w:rsidR="00D53AA5">
        <w:rPr>
          <w:i/>
          <w:iCs/>
          <w:lang w:val="en-US"/>
        </w:rPr>
        <w:t>However, the e</w:t>
      </w:r>
      <w:r w:rsidR="00B53A94">
        <w:rPr>
          <w:i/>
          <w:iCs/>
          <w:lang w:val="en-US"/>
        </w:rPr>
        <w:t>mployee</w:t>
      </w:r>
      <w:r w:rsidR="00B37088">
        <w:rPr>
          <w:i/>
          <w:iCs/>
          <w:lang w:val="en-US"/>
        </w:rPr>
        <w:t xml:space="preserve"> would be responsible for </w:t>
      </w:r>
      <w:r w:rsidR="003F1194">
        <w:rPr>
          <w:i/>
          <w:iCs/>
          <w:lang w:val="en-US"/>
        </w:rPr>
        <w:t xml:space="preserve">any </w:t>
      </w:r>
      <w:r w:rsidR="00B37088">
        <w:rPr>
          <w:i/>
          <w:iCs/>
          <w:lang w:val="en-US"/>
        </w:rPr>
        <w:t>employee contributions for coverage back to</w:t>
      </w:r>
      <w:r w:rsidR="00F63D69">
        <w:rPr>
          <w:i/>
          <w:iCs/>
          <w:lang w:val="en-US"/>
        </w:rPr>
        <w:t xml:space="preserve"> May 15, 2020.</w:t>
      </w:r>
      <w:r w:rsidR="00DC5B8F">
        <w:rPr>
          <w:i/>
          <w:iCs/>
          <w:lang w:val="en-US"/>
        </w:rPr>
        <w:t xml:space="preserve"> </w:t>
      </w:r>
    </w:p>
    <w:p w14:paraId="3AE46FED" w14:textId="68A6A578" w:rsidR="009E7E96" w:rsidRDefault="009E7E96" w:rsidP="00D20E25">
      <w:pPr>
        <w:pStyle w:val="MediumGrid2-Accent11"/>
        <w:rPr>
          <w:lang w:val="en-US"/>
        </w:rPr>
      </w:pPr>
    </w:p>
    <w:p w14:paraId="5C26ECA5" w14:textId="2AEE4DAF" w:rsidR="009E7E96" w:rsidRDefault="00FA7D1E" w:rsidP="00D20E25">
      <w:pPr>
        <w:pStyle w:val="MediumGrid2-Accent11"/>
        <w:rPr>
          <w:u w:val="single"/>
          <w:lang w:val="en-US"/>
        </w:rPr>
      </w:pPr>
      <w:r>
        <w:rPr>
          <w:u w:val="single"/>
          <w:lang w:val="en-US"/>
        </w:rPr>
        <w:t>COBRA</w:t>
      </w:r>
    </w:p>
    <w:p w14:paraId="04E171DF" w14:textId="5CC2E96B" w:rsidR="001C1FBC" w:rsidRDefault="00A20097" w:rsidP="00D20E25">
      <w:pPr>
        <w:pStyle w:val="MediumGrid2-Accent11"/>
        <w:rPr>
          <w:lang w:val="en-US"/>
        </w:rPr>
      </w:pPr>
      <w:r>
        <w:rPr>
          <w:lang w:val="en-US"/>
        </w:rPr>
        <w:t>According to current COBRA rules, a</w:t>
      </w:r>
      <w:r w:rsidR="00830ADC">
        <w:rPr>
          <w:lang w:val="en-US"/>
        </w:rPr>
        <w:t xml:space="preserve"> variety of timing requirements apply in the administration of COBRA continuation</w:t>
      </w:r>
      <w:r w:rsidR="001C1FBC">
        <w:rPr>
          <w:lang w:val="en-US"/>
        </w:rPr>
        <w:t xml:space="preserve"> coverage.</w:t>
      </w:r>
    </w:p>
    <w:p w14:paraId="73579100" w14:textId="5D92EC97" w:rsidR="001C1FBC" w:rsidRDefault="001C1FBC" w:rsidP="001C1FBC">
      <w:pPr>
        <w:pStyle w:val="MediumGrid2-Accent11"/>
        <w:numPr>
          <w:ilvl w:val="0"/>
          <w:numId w:val="39"/>
        </w:numPr>
        <w:rPr>
          <w:lang w:val="en-US"/>
        </w:rPr>
      </w:pPr>
      <w:r>
        <w:rPr>
          <w:lang w:val="en-US"/>
        </w:rPr>
        <w:t>Notification of qualifying events is typically required by the employer within 30 days of the qualifying event, or by the employees (or dependent) within 60 days of the qualifying event.</w:t>
      </w:r>
      <w:r w:rsidR="00615DB3">
        <w:rPr>
          <w:lang w:val="en-US"/>
        </w:rPr>
        <w:t xml:space="preserve"> Notification of </w:t>
      </w:r>
      <w:r w:rsidR="0070115B">
        <w:rPr>
          <w:lang w:val="en-US"/>
        </w:rPr>
        <w:t>a disability determination is also required within 60 days.</w:t>
      </w:r>
      <w:r>
        <w:rPr>
          <w:lang w:val="en-US"/>
        </w:rPr>
        <w:t xml:space="preserve"> </w:t>
      </w:r>
    </w:p>
    <w:p w14:paraId="71710E4F" w14:textId="24710CC2" w:rsidR="00A54B1E" w:rsidRDefault="00A54B1E" w:rsidP="001C1FBC">
      <w:pPr>
        <w:pStyle w:val="MediumGrid2-Accent11"/>
        <w:numPr>
          <w:ilvl w:val="0"/>
          <w:numId w:val="39"/>
        </w:numPr>
        <w:rPr>
          <w:lang w:val="en-US"/>
        </w:rPr>
      </w:pPr>
      <w:r>
        <w:rPr>
          <w:lang w:val="en-US"/>
        </w:rPr>
        <w:t xml:space="preserve">The plan administrator is then required to provide an election notice to qualified beneficiaries </w:t>
      </w:r>
      <w:r w:rsidR="00A20097">
        <w:rPr>
          <w:lang w:val="en-US"/>
        </w:rPr>
        <w:t xml:space="preserve">(QB) </w:t>
      </w:r>
      <w:r>
        <w:rPr>
          <w:lang w:val="en-US"/>
        </w:rPr>
        <w:t>within 14 days of receiving notice of a qualifying event.</w:t>
      </w:r>
    </w:p>
    <w:p w14:paraId="13270021" w14:textId="0BFBB56A" w:rsidR="00701E9A" w:rsidRDefault="00701E9A" w:rsidP="001C1FBC">
      <w:pPr>
        <w:pStyle w:val="MediumGrid2-Accent11"/>
        <w:numPr>
          <w:ilvl w:val="0"/>
          <w:numId w:val="39"/>
        </w:numPr>
        <w:rPr>
          <w:lang w:val="en-US"/>
        </w:rPr>
      </w:pPr>
      <w:r>
        <w:rPr>
          <w:lang w:val="en-US"/>
        </w:rPr>
        <w:lastRenderedPageBreak/>
        <w:t xml:space="preserve">Upon triggering COBRA continuation rights, </w:t>
      </w:r>
      <w:r w:rsidR="00A20097">
        <w:rPr>
          <w:lang w:val="en-US"/>
        </w:rPr>
        <w:t xml:space="preserve">QBs </w:t>
      </w:r>
      <w:r>
        <w:rPr>
          <w:lang w:val="en-US"/>
        </w:rPr>
        <w:t xml:space="preserve">must be </w:t>
      </w:r>
      <w:r w:rsidR="00652E75">
        <w:rPr>
          <w:lang w:val="en-US"/>
        </w:rPr>
        <w:t xml:space="preserve">given at least 60 days to elect COBRA continuation coverage. If COBRA coverage is elected, </w:t>
      </w:r>
      <w:r w:rsidR="008100A8">
        <w:rPr>
          <w:lang w:val="en-US"/>
        </w:rPr>
        <w:t>COBRA participants must be provided with at least 45 days from the date of electing COBRA to make the first premium payment; and thereafter, a 30-day grace period must be provided for COBRA premium payments.</w:t>
      </w:r>
    </w:p>
    <w:p w14:paraId="1FA4EA07" w14:textId="14B2CE29" w:rsidR="00136B3A" w:rsidRDefault="00136B3A" w:rsidP="00136B3A">
      <w:pPr>
        <w:pStyle w:val="MediumGrid2-Accent11"/>
        <w:rPr>
          <w:lang w:val="en-US"/>
        </w:rPr>
      </w:pPr>
    </w:p>
    <w:p w14:paraId="08939EAB" w14:textId="77777777" w:rsidR="0085510B" w:rsidRPr="0085510B" w:rsidRDefault="0085510B" w:rsidP="0085510B">
      <w:pPr>
        <w:pStyle w:val="MediumGrid2-Accent11"/>
        <w:rPr>
          <w:b/>
          <w:bCs/>
          <w:lang w:val="en-US"/>
        </w:rPr>
      </w:pPr>
      <w:r w:rsidRPr="0085510B">
        <w:rPr>
          <w:b/>
          <w:bCs/>
          <w:lang w:val="en-US"/>
        </w:rPr>
        <w:t>NOTE: The extension of COBRA election and payment timelines due to the National Emergency means</w:t>
      </w:r>
    </w:p>
    <w:p w14:paraId="223AC79C" w14:textId="77777777" w:rsidR="0085510B" w:rsidRPr="0085510B" w:rsidRDefault="0085510B" w:rsidP="0085510B">
      <w:pPr>
        <w:pStyle w:val="MediumGrid2-Accent11"/>
        <w:rPr>
          <w:b/>
          <w:bCs/>
          <w:lang w:val="en-US"/>
        </w:rPr>
      </w:pPr>
      <w:r w:rsidRPr="0085510B">
        <w:rPr>
          <w:b/>
          <w:bCs/>
          <w:lang w:val="en-US"/>
        </w:rPr>
        <w:t>that eligible participants will be able to wait to elect COBRA for longer than is normally allowed, and</w:t>
      </w:r>
    </w:p>
    <w:p w14:paraId="44087C12" w14:textId="77777777" w:rsidR="0085510B" w:rsidRPr="0085510B" w:rsidRDefault="0085510B" w:rsidP="0085510B">
      <w:pPr>
        <w:pStyle w:val="MediumGrid2-Accent11"/>
        <w:rPr>
          <w:b/>
          <w:bCs/>
          <w:lang w:val="en-US"/>
        </w:rPr>
      </w:pPr>
      <w:r w:rsidRPr="0085510B">
        <w:rPr>
          <w:b/>
          <w:bCs/>
          <w:lang w:val="en-US"/>
        </w:rPr>
        <w:t>employers will not be permitted to terminate COBRA coverage due to nonpayment for extended periods</w:t>
      </w:r>
    </w:p>
    <w:p w14:paraId="148C948F" w14:textId="77777777" w:rsidR="0085510B" w:rsidRPr="0085510B" w:rsidRDefault="0085510B" w:rsidP="0085510B">
      <w:pPr>
        <w:pStyle w:val="MediumGrid2-Accent11"/>
        <w:rPr>
          <w:b/>
          <w:bCs/>
          <w:lang w:val="en-US"/>
        </w:rPr>
      </w:pPr>
      <w:r w:rsidRPr="0085510B">
        <w:rPr>
          <w:b/>
          <w:bCs/>
          <w:lang w:val="en-US"/>
        </w:rPr>
        <w:t>of time. Employers should work closely with their insurance carriers, and stop loss carriers, to coordinate</w:t>
      </w:r>
    </w:p>
    <w:p w14:paraId="702BF981" w14:textId="77777777" w:rsidR="0085510B" w:rsidRPr="0085510B" w:rsidRDefault="0085510B" w:rsidP="0085510B">
      <w:pPr>
        <w:pStyle w:val="MediumGrid2-Accent11"/>
        <w:rPr>
          <w:b/>
          <w:bCs/>
          <w:lang w:val="en-US"/>
        </w:rPr>
      </w:pPr>
      <w:r w:rsidRPr="0085510B">
        <w:rPr>
          <w:b/>
          <w:bCs/>
          <w:lang w:val="en-US"/>
        </w:rPr>
        <w:t>how to handle coverage for COBRA participants who do not pay their COBRA premiums by the normal</w:t>
      </w:r>
    </w:p>
    <w:p w14:paraId="58AE2E60" w14:textId="0FB7034F" w:rsidR="00317F9F" w:rsidRDefault="0085510B" w:rsidP="0085510B">
      <w:pPr>
        <w:pStyle w:val="MediumGrid2-Accent11"/>
        <w:rPr>
          <w:b/>
          <w:bCs/>
          <w:lang w:val="en-US"/>
        </w:rPr>
      </w:pPr>
      <w:r w:rsidRPr="0085510B">
        <w:rPr>
          <w:b/>
          <w:bCs/>
          <w:lang w:val="en-US"/>
        </w:rPr>
        <w:t>duedate or make elections after the typical election period.</w:t>
      </w:r>
    </w:p>
    <w:p w14:paraId="7B0694CF" w14:textId="77777777" w:rsidR="0085510B" w:rsidRDefault="0085510B" w:rsidP="0085510B">
      <w:pPr>
        <w:pStyle w:val="MediumGrid2-Accent11"/>
        <w:rPr>
          <w:lang w:val="en-US"/>
        </w:rPr>
      </w:pPr>
    </w:p>
    <w:p w14:paraId="6D5BAA5C" w14:textId="58F87D7E" w:rsidR="008A2216" w:rsidRDefault="00A960B0" w:rsidP="00A960B0">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and therefore March 1, 2020 – July 30, 2020 is disregarded</w:t>
      </w:r>
      <w:r w:rsidR="00D951AF">
        <w:rPr>
          <w:i/>
          <w:iCs/>
          <w:lang w:val="en-US"/>
        </w:rPr>
        <w:t xml:space="preserve"> as the </w:t>
      </w:r>
      <w:r w:rsidR="0020023D">
        <w:rPr>
          <w:i/>
          <w:iCs/>
          <w:lang w:val="en-US"/>
        </w:rPr>
        <w:t>O</w:t>
      </w:r>
      <w:r w:rsidR="00D951AF">
        <w:rPr>
          <w:i/>
          <w:iCs/>
          <w:lang w:val="en-US"/>
        </w:rPr>
        <w:t xml:space="preserve">utbreak </w:t>
      </w:r>
      <w:r w:rsidR="0020023D">
        <w:rPr>
          <w:i/>
          <w:iCs/>
          <w:lang w:val="en-US"/>
        </w:rPr>
        <w:t>P</w:t>
      </w:r>
      <w:r w:rsidR="00D951AF">
        <w:rPr>
          <w:i/>
          <w:iCs/>
          <w:lang w:val="en-US"/>
        </w:rPr>
        <w:t>eriod</w:t>
      </w:r>
      <w:r>
        <w:rPr>
          <w:i/>
          <w:iCs/>
          <w:lang w:val="en-US"/>
        </w:rPr>
        <w:t xml:space="preserve"> for purposes of counting applicable notice and payment requirements under COBRA rules.</w:t>
      </w:r>
    </w:p>
    <w:p w14:paraId="4019A2F1" w14:textId="317E5CE1" w:rsidR="00A960B0" w:rsidRDefault="0075284B" w:rsidP="008A2216">
      <w:pPr>
        <w:pStyle w:val="MediumGrid2-Accent11"/>
        <w:numPr>
          <w:ilvl w:val="0"/>
          <w:numId w:val="40"/>
        </w:numPr>
        <w:rPr>
          <w:i/>
          <w:iCs/>
          <w:lang w:val="en-US"/>
        </w:rPr>
      </w:pPr>
      <w:r>
        <w:rPr>
          <w:i/>
          <w:iCs/>
          <w:lang w:val="en-US"/>
        </w:rPr>
        <w:t xml:space="preserve">If a qualifying event (e.g. loss of coverage due to a reduction in hours) occurs </w:t>
      </w:r>
      <w:r w:rsidR="00564D20">
        <w:rPr>
          <w:i/>
          <w:iCs/>
          <w:lang w:val="en-US"/>
        </w:rPr>
        <w:t xml:space="preserve">April 30, 2020, requirements to notify </w:t>
      </w:r>
      <w:r w:rsidR="00BA0FD3">
        <w:rPr>
          <w:i/>
          <w:iCs/>
          <w:lang w:val="en-US"/>
        </w:rPr>
        <w:t>the administrator and provide an election notice would be considered timely so long as an election notice is provi</w:t>
      </w:r>
      <w:r w:rsidR="002B12A4">
        <w:rPr>
          <w:i/>
          <w:iCs/>
          <w:lang w:val="en-US"/>
        </w:rPr>
        <w:t xml:space="preserve">ded to qualified beneficiaries by September </w:t>
      </w:r>
      <w:r w:rsidR="00861448">
        <w:rPr>
          <w:i/>
          <w:iCs/>
          <w:lang w:val="en-US"/>
        </w:rPr>
        <w:t>12, 2020</w:t>
      </w:r>
      <w:r w:rsidR="003A234A">
        <w:rPr>
          <w:i/>
          <w:iCs/>
          <w:lang w:val="en-US"/>
        </w:rPr>
        <w:t xml:space="preserve"> (44 days following the qualifying event). The qualified beneficiaries would have 60 days from </w:t>
      </w:r>
      <w:r w:rsidR="00007BBE">
        <w:rPr>
          <w:i/>
          <w:iCs/>
          <w:lang w:val="en-US"/>
        </w:rPr>
        <w:t>July 30, 2020</w:t>
      </w:r>
      <w:r w:rsidR="006F6C41">
        <w:rPr>
          <w:i/>
          <w:iCs/>
          <w:lang w:val="en-US"/>
        </w:rPr>
        <w:t>,</w:t>
      </w:r>
      <w:r w:rsidR="00007BBE">
        <w:rPr>
          <w:i/>
          <w:iCs/>
          <w:lang w:val="en-US"/>
        </w:rPr>
        <w:t xml:space="preserve"> or from when the election notice is provided, whichever is later…and then an additional 45 days from that time to make the initial payment f</w:t>
      </w:r>
      <w:r w:rsidR="008A2216">
        <w:rPr>
          <w:i/>
          <w:iCs/>
          <w:lang w:val="en-US"/>
        </w:rPr>
        <w:t>or COBRA premiums due.</w:t>
      </w:r>
    </w:p>
    <w:p w14:paraId="6E85E473" w14:textId="62E188DA" w:rsidR="008A2216" w:rsidRDefault="008A2216" w:rsidP="008A2216">
      <w:pPr>
        <w:pStyle w:val="MediumGrid2-Accent11"/>
        <w:numPr>
          <w:ilvl w:val="0"/>
          <w:numId w:val="40"/>
        </w:numPr>
        <w:rPr>
          <w:i/>
          <w:iCs/>
          <w:lang w:val="en-US"/>
        </w:rPr>
      </w:pPr>
      <w:r>
        <w:rPr>
          <w:i/>
          <w:iCs/>
          <w:lang w:val="en-US"/>
        </w:rPr>
        <w:t>COBRA participants p</w:t>
      </w:r>
      <w:r w:rsidR="00D10175">
        <w:rPr>
          <w:i/>
          <w:iCs/>
          <w:lang w:val="en-US"/>
        </w:rPr>
        <w:t xml:space="preserve">rior to March 1, 2020 could fail to make monthly COBRA premiums for March through the end of this National Emergency. So long as a COBRA participant makes premium payments for March – July </w:t>
      </w:r>
      <w:r w:rsidR="0087409B">
        <w:rPr>
          <w:i/>
          <w:iCs/>
          <w:lang w:val="en-US"/>
        </w:rPr>
        <w:t xml:space="preserve">no later than August 29, 2020 (30 days after July 30, 2020), COBRA coverage must be available for all months </w:t>
      </w:r>
      <w:r w:rsidR="007F74EB">
        <w:rPr>
          <w:i/>
          <w:iCs/>
          <w:lang w:val="en-US"/>
        </w:rPr>
        <w:t>for</w:t>
      </w:r>
      <w:r w:rsidR="0087409B">
        <w:rPr>
          <w:i/>
          <w:iCs/>
          <w:lang w:val="en-US"/>
        </w:rPr>
        <w:t xml:space="preserve"> which</w:t>
      </w:r>
      <w:r w:rsidR="007F74EB">
        <w:rPr>
          <w:i/>
          <w:iCs/>
          <w:lang w:val="en-US"/>
        </w:rPr>
        <w:t xml:space="preserve"> the premium is paid.</w:t>
      </w:r>
    </w:p>
    <w:p w14:paraId="1E9BEEBB" w14:textId="77777777" w:rsidR="00A960B0" w:rsidRDefault="00A960B0" w:rsidP="00D20E25">
      <w:pPr>
        <w:pStyle w:val="MediumGrid2-Accent11"/>
        <w:rPr>
          <w:lang w:val="en-US"/>
        </w:rPr>
      </w:pPr>
    </w:p>
    <w:p w14:paraId="39E7F04C" w14:textId="7B0A1E1F" w:rsidR="00A72ADC" w:rsidRPr="00A72ADC" w:rsidRDefault="00A72ADC" w:rsidP="00D20E25">
      <w:pPr>
        <w:pStyle w:val="MediumGrid2-Accent11"/>
        <w:rPr>
          <w:u w:val="single"/>
          <w:lang w:val="en-US"/>
        </w:rPr>
      </w:pPr>
      <w:r>
        <w:rPr>
          <w:u w:val="single"/>
          <w:lang w:val="en-US"/>
        </w:rPr>
        <w:t>Claims Procedures</w:t>
      </w:r>
      <w:r w:rsidR="009F1736">
        <w:rPr>
          <w:u w:val="single"/>
          <w:lang w:val="en-US"/>
        </w:rPr>
        <w:t xml:space="preserve"> &amp; External Review Processes</w:t>
      </w:r>
    </w:p>
    <w:p w14:paraId="38DE4144" w14:textId="38CB0643" w:rsidR="009E7E96" w:rsidRDefault="007571ED" w:rsidP="00D20E25">
      <w:pPr>
        <w:pStyle w:val="MediumGrid2-Accent11"/>
        <w:rPr>
          <w:lang w:val="en-US"/>
        </w:rPr>
      </w:pPr>
      <w:r>
        <w:rPr>
          <w:lang w:val="en-US"/>
        </w:rPr>
        <w:t>Plans subject to ERISA and non-grandfathered group health plans are subject to rules addressing</w:t>
      </w:r>
      <w:r w:rsidR="009D3637">
        <w:rPr>
          <w:lang w:val="en-US"/>
        </w:rPr>
        <w:t xml:space="preserve"> procedures</w:t>
      </w:r>
      <w:r w:rsidR="00A04BF4">
        <w:rPr>
          <w:lang w:val="en-US"/>
        </w:rPr>
        <w:t xml:space="preserve"> and time frames</w:t>
      </w:r>
      <w:r w:rsidR="009D3637">
        <w:rPr>
          <w:lang w:val="en-US"/>
        </w:rPr>
        <w:t xml:space="preserve"> for filing benefit claims, appealing adverse benefit determinations</w:t>
      </w:r>
      <w:r w:rsidR="00A04BF4">
        <w:rPr>
          <w:lang w:val="en-US"/>
        </w:rPr>
        <w:t>, and requesting</w:t>
      </w:r>
      <w:r w:rsidR="001D2D6E">
        <w:rPr>
          <w:lang w:val="en-US"/>
        </w:rPr>
        <w:t xml:space="preserve"> external reviews.</w:t>
      </w:r>
      <w:r w:rsidR="002F7E7A">
        <w:rPr>
          <w:lang w:val="en-US"/>
        </w:rPr>
        <w:t xml:space="preserve"> Most employers rely on their carrier or </w:t>
      </w:r>
      <w:r w:rsidR="006F6C41">
        <w:rPr>
          <w:lang w:val="en-US"/>
        </w:rPr>
        <w:t>third-party administrator (</w:t>
      </w:r>
      <w:r w:rsidR="002F7E7A">
        <w:rPr>
          <w:lang w:val="en-US"/>
        </w:rPr>
        <w:t>TPA</w:t>
      </w:r>
      <w:r w:rsidR="006F6C41">
        <w:rPr>
          <w:lang w:val="en-US"/>
        </w:rPr>
        <w:t>)</w:t>
      </w:r>
      <w:r w:rsidR="002F7E7A">
        <w:rPr>
          <w:lang w:val="en-US"/>
        </w:rPr>
        <w:t xml:space="preserve"> to </w:t>
      </w:r>
      <w:r w:rsidR="00317F9F">
        <w:rPr>
          <w:lang w:val="en-US"/>
        </w:rPr>
        <w:t>administer</w:t>
      </w:r>
      <w:r w:rsidR="002F7E7A">
        <w:rPr>
          <w:lang w:val="en-US"/>
        </w:rPr>
        <w:t xml:space="preserve"> claims appeals. Employers should check with their carrier or TPA to make sure that they are extending appeal timelines for participants.</w:t>
      </w:r>
    </w:p>
    <w:p w14:paraId="316A808D" w14:textId="5DD2633C" w:rsidR="007F74EB" w:rsidRDefault="007F74EB" w:rsidP="00D20E25">
      <w:pPr>
        <w:pStyle w:val="MediumGrid2-Accent11"/>
        <w:rPr>
          <w:lang w:val="en-US"/>
        </w:rPr>
      </w:pPr>
    </w:p>
    <w:p w14:paraId="30D28282" w14:textId="5FBBFE8C" w:rsidR="007F74EB" w:rsidRDefault="007F74EB" w:rsidP="007F74EB">
      <w:pPr>
        <w:pStyle w:val="MediumGrid2-Accent11"/>
        <w:rPr>
          <w:i/>
          <w:iCs/>
          <w:lang w:val="en-US"/>
        </w:rPr>
      </w:pPr>
      <w:r>
        <w:rPr>
          <w:i/>
          <w:iCs/>
          <w:lang w:val="en-US"/>
        </w:rPr>
        <w:t xml:space="preserve">Example: Assume </w:t>
      </w:r>
      <w:r w:rsidRPr="007705AC">
        <w:rPr>
          <w:i/>
          <w:iCs/>
          <w:lang w:val="en-US"/>
        </w:rPr>
        <w:t>the National Emergency ends</w:t>
      </w:r>
      <w:r>
        <w:rPr>
          <w:i/>
          <w:iCs/>
          <w:lang w:val="en-US"/>
        </w:rPr>
        <w:t xml:space="preserve"> May 31, 2020, </w:t>
      </w:r>
      <w:r w:rsidR="00355C5F">
        <w:rPr>
          <w:i/>
          <w:iCs/>
          <w:lang w:val="en-US"/>
        </w:rPr>
        <w:t>in which case</w:t>
      </w:r>
      <w:r>
        <w:rPr>
          <w:i/>
          <w:iCs/>
          <w:lang w:val="en-US"/>
        </w:rPr>
        <w:t xml:space="preserve"> March 1, 2020 – July 30, 2020 is disregarded </w:t>
      </w:r>
      <w:r w:rsidR="0078577D">
        <w:rPr>
          <w:i/>
          <w:iCs/>
          <w:lang w:val="en-US"/>
        </w:rPr>
        <w:t xml:space="preserve">as the </w:t>
      </w:r>
      <w:r w:rsidR="0020023D">
        <w:rPr>
          <w:i/>
          <w:iCs/>
          <w:lang w:val="en-US"/>
        </w:rPr>
        <w:t>O</w:t>
      </w:r>
      <w:r w:rsidR="0078577D">
        <w:rPr>
          <w:i/>
          <w:iCs/>
          <w:lang w:val="en-US"/>
        </w:rPr>
        <w:t xml:space="preserve">utbreak </w:t>
      </w:r>
      <w:r w:rsidR="0020023D">
        <w:rPr>
          <w:i/>
          <w:iCs/>
          <w:lang w:val="en-US"/>
        </w:rPr>
        <w:t>P</w:t>
      </w:r>
      <w:r w:rsidR="0078577D">
        <w:rPr>
          <w:i/>
          <w:iCs/>
          <w:lang w:val="en-US"/>
        </w:rPr>
        <w:t xml:space="preserve">eriod </w:t>
      </w:r>
      <w:r>
        <w:rPr>
          <w:i/>
          <w:iCs/>
          <w:lang w:val="en-US"/>
        </w:rPr>
        <w:t xml:space="preserve">for purposes of </w:t>
      </w:r>
      <w:r w:rsidR="00355C5F">
        <w:rPr>
          <w:i/>
          <w:iCs/>
          <w:lang w:val="en-US"/>
        </w:rPr>
        <w:t xml:space="preserve">any time frames which apply </w:t>
      </w:r>
      <w:r w:rsidR="006F6C41">
        <w:rPr>
          <w:i/>
          <w:iCs/>
          <w:lang w:val="en-US"/>
        </w:rPr>
        <w:t xml:space="preserve">to </w:t>
      </w:r>
      <w:r w:rsidR="00355C5F">
        <w:rPr>
          <w:i/>
          <w:iCs/>
          <w:lang w:val="en-US"/>
        </w:rPr>
        <w:t>filing benefit claims</w:t>
      </w:r>
      <w:r w:rsidR="00F04145">
        <w:rPr>
          <w:i/>
          <w:iCs/>
          <w:lang w:val="en-US"/>
        </w:rPr>
        <w:t>,</w:t>
      </w:r>
      <w:r w:rsidR="00355C5F">
        <w:rPr>
          <w:i/>
          <w:iCs/>
          <w:lang w:val="en-US"/>
        </w:rPr>
        <w:t xml:space="preserve"> appealing adverse benefit determinations</w:t>
      </w:r>
      <w:r w:rsidR="00F04145">
        <w:rPr>
          <w:i/>
          <w:iCs/>
          <w:lang w:val="en-US"/>
        </w:rPr>
        <w:t xml:space="preserve"> or requesting external reviews</w:t>
      </w:r>
      <w:r>
        <w:rPr>
          <w:i/>
          <w:iCs/>
          <w:lang w:val="en-US"/>
        </w:rPr>
        <w:t>.</w:t>
      </w:r>
      <w:r w:rsidR="00B9310B">
        <w:rPr>
          <w:i/>
          <w:iCs/>
          <w:lang w:val="en-US"/>
        </w:rPr>
        <w:t xml:space="preserve"> Claims filed or appeals requested </w:t>
      </w:r>
      <w:r w:rsidR="00453012">
        <w:rPr>
          <w:i/>
          <w:iCs/>
          <w:lang w:val="en-US"/>
        </w:rPr>
        <w:t xml:space="preserve">within the required time frames </w:t>
      </w:r>
      <w:r w:rsidR="006E0D2A">
        <w:rPr>
          <w:i/>
          <w:iCs/>
          <w:lang w:val="en-US"/>
        </w:rPr>
        <w:t xml:space="preserve">following </w:t>
      </w:r>
      <w:r w:rsidR="000A1DB6">
        <w:rPr>
          <w:i/>
          <w:iCs/>
          <w:lang w:val="en-US"/>
        </w:rPr>
        <w:t>July 31, 2020</w:t>
      </w:r>
      <w:r w:rsidR="006E0D2A">
        <w:rPr>
          <w:i/>
          <w:iCs/>
          <w:lang w:val="en-US"/>
        </w:rPr>
        <w:t xml:space="preserve"> would be considered timely and should be processed accordingly.</w:t>
      </w:r>
    </w:p>
    <w:p w14:paraId="6B35CF9C" w14:textId="22BD84CA" w:rsidR="007F74EB" w:rsidRDefault="007F74EB" w:rsidP="00D20E25">
      <w:pPr>
        <w:pStyle w:val="MediumGrid2-Accent11"/>
        <w:rPr>
          <w:lang w:val="en-US"/>
        </w:rPr>
      </w:pPr>
    </w:p>
    <w:p w14:paraId="5B9BEE0E" w14:textId="4598644F" w:rsidR="000A797E" w:rsidRDefault="00391C98" w:rsidP="00D20E25">
      <w:pPr>
        <w:pStyle w:val="MediumGrid2-Accent11"/>
        <w:rPr>
          <w:b/>
          <w:bCs/>
          <w:lang w:val="en-US"/>
        </w:rPr>
      </w:pPr>
      <w:r>
        <w:rPr>
          <w:b/>
          <w:bCs/>
          <w:lang w:val="en-US"/>
        </w:rPr>
        <w:t>Disaster Relief Notice 2020-01</w:t>
      </w:r>
    </w:p>
    <w:p w14:paraId="15DCE3C2" w14:textId="77777777" w:rsidR="00EC7661" w:rsidRDefault="00EC7661" w:rsidP="00D20E25">
      <w:pPr>
        <w:pStyle w:val="MediumGrid2-Accent11"/>
        <w:rPr>
          <w:lang w:val="en-US"/>
        </w:rPr>
      </w:pPr>
    </w:p>
    <w:p w14:paraId="32D10A1C" w14:textId="0BC3AD71" w:rsidR="009832FD" w:rsidRDefault="00B63C1D" w:rsidP="00D20E25">
      <w:pPr>
        <w:pStyle w:val="MediumGrid2-Accent11"/>
        <w:rPr>
          <w:lang w:val="en-US"/>
        </w:rPr>
      </w:pPr>
      <w:r>
        <w:rPr>
          <w:lang w:val="en-US"/>
        </w:rPr>
        <w:t xml:space="preserve">In addition to the specific relief provided in the </w:t>
      </w:r>
      <w:r w:rsidR="007E6C1D">
        <w:rPr>
          <w:lang w:val="en-US"/>
        </w:rPr>
        <w:t>final rule described above</w:t>
      </w:r>
      <w:r>
        <w:rPr>
          <w:lang w:val="en-US"/>
        </w:rPr>
        <w:t xml:space="preserve">, </w:t>
      </w:r>
      <w:r w:rsidR="007E6C1D">
        <w:rPr>
          <w:lang w:val="en-US"/>
        </w:rPr>
        <w:t>t</w:t>
      </w:r>
      <w:r w:rsidR="00376E7C">
        <w:rPr>
          <w:lang w:val="en-US"/>
        </w:rPr>
        <w:t xml:space="preserve">he DOL also provided a broad </w:t>
      </w:r>
      <w:r>
        <w:rPr>
          <w:lang w:val="en-US"/>
        </w:rPr>
        <w:t xml:space="preserve">extension </w:t>
      </w:r>
      <w:r w:rsidR="00E27423">
        <w:rPr>
          <w:lang w:val="en-US"/>
        </w:rPr>
        <w:t xml:space="preserve">for all other </w:t>
      </w:r>
      <w:r>
        <w:rPr>
          <w:lang w:val="en-US"/>
        </w:rPr>
        <w:t>notices and disclosures required under ERISA</w:t>
      </w:r>
      <w:r w:rsidR="00150684">
        <w:rPr>
          <w:lang w:val="en-US"/>
        </w:rPr>
        <w:t xml:space="preserve"> (e.g. SPDs, SBCs, </w:t>
      </w:r>
      <w:r w:rsidR="0045000F">
        <w:rPr>
          <w:lang w:val="en-US"/>
        </w:rPr>
        <w:t xml:space="preserve">initial COBRA notice, SARs, </w:t>
      </w:r>
      <w:r w:rsidR="00D04A21">
        <w:rPr>
          <w:lang w:val="en-US"/>
        </w:rPr>
        <w:t>WHCRA notice</w:t>
      </w:r>
      <w:r w:rsidR="0045000F">
        <w:rPr>
          <w:lang w:val="en-US"/>
        </w:rPr>
        <w:t>)</w:t>
      </w:r>
      <w:r>
        <w:rPr>
          <w:lang w:val="en-US"/>
        </w:rPr>
        <w:t>.</w:t>
      </w:r>
      <w:r w:rsidR="0045000F">
        <w:rPr>
          <w:lang w:val="en-US"/>
        </w:rPr>
        <w:t xml:space="preserve"> Plan sponsors will not be</w:t>
      </w:r>
      <w:r w:rsidR="007C7637">
        <w:rPr>
          <w:lang w:val="en-US"/>
        </w:rPr>
        <w:t xml:space="preserve"> considered non-compliant during the </w:t>
      </w:r>
      <w:r w:rsidR="0020023D">
        <w:rPr>
          <w:lang w:val="en-US"/>
        </w:rPr>
        <w:t>O</w:t>
      </w:r>
      <w:r w:rsidR="007C7637">
        <w:rPr>
          <w:lang w:val="en-US"/>
        </w:rPr>
        <w:t xml:space="preserve">utbreak </w:t>
      </w:r>
      <w:r w:rsidR="0020023D">
        <w:rPr>
          <w:lang w:val="en-US"/>
        </w:rPr>
        <w:t>P</w:t>
      </w:r>
      <w:r w:rsidR="007C7637">
        <w:rPr>
          <w:lang w:val="en-US"/>
        </w:rPr>
        <w:t>eriod for failing to provide ERISA-required notices and disclosures</w:t>
      </w:r>
      <w:r w:rsidR="004D6488">
        <w:rPr>
          <w:lang w:val="en-US"/>
        </w:rPr>
        <w:t xml:space="preserve"> within generally required time frames so long as the plan sponsor acts in</w:t>
      </w:r>
      <w:r w:rsidR="0045000F" w:rsidRPr="0045000F">
        <w:rPr>
          <w:lang w:val="en-US"/>
        </w:rPr>
        <w:t xml:space="preserve"> good faith and furnish</w:t>
      </w:r>
      <w:r w:rsidR="004D6488">
        <w:rPr>
          <w:lang w:val="en-US"/>
        </w:rPr>
        <w:t>es</w:t>
      </w:r>
      <w:r w:rsidR="0045000F" w:rsidRPr="0045000F">
        <w:rPr>
          <w:lang w:val="en-US"/>
        </w:rPr>
        <w:t xml:space="preserve"> </w:t>
      </w:r>
      <w:r w:rsidR="0020023D">
        <w:rPr>
          <w:lang w:val="en-US"/>
        </w:rPr>
        <w:t>the notice or disclosure</w:t>
      </w:r>
      <w:r w:rsidR="0045000F" w:rsidRPr="0045000F">
        <w:rPr>
          <w:lang w:val="en-US"/>
        </w:rPr>
        <w:t xml:space="preserve"> </w:t>
      </w:r>
      <w:r w:rsidR="0020023D">
        <w:rPr>
          <w:lang w:val="en-US"/>
        </w:rPr>
        <w:t>“</w:t>
      </w:r>
      <w:r w:rsidR="0045000F" w:rsidRPr="0045000F">
        <w:rPr>
          <w:lang w:val="en-US"/>
        </w:rPr>
        <w:t>as soon as administratively practicable under the circumstances</w:t>
      </w:r>
      <w:r w:rsidR="006F6C41">
        <w:rPr>
          <w:lang w:val="en-US"/>
        </w:rPr>
        <w:t>”</w:t>
      </w:r>
      <w:r w:rsidR="0045000F" w:rsidRPr="0045000F">
        <w:rPr>
          <w:lang w:val="en-US"/>
        </w:rPr>
        <w:t xml:space="preserve">. </w:t>
      </w:r>
      <w:r w:rsidR="00D67829">
        <w:rPr>
          <w:lang w:val="en-US"/>
        </w:rPr>
        <w:t>Plan sponsors are permitted to</w:t>
      </w:r>
      <w:r w:rsidR="0045000F" w:rsidRPr="0045000F">
        <w:rPr>
          <w:lang w:val="en-US"/>
        </w:rPr>
        <w:t xml:space="preserve"> use </w:t>
      </w:r>
      <w:r w:rsidR="00D67829">
        <w:rPr>
          <w:lang w:val="en-US"/>
        </w:rPr>
        <w:t xml:space="preserve">alternative </w:t>
      </w:r>
      <w:r w:rsidR="0045000F" w:rsidRPr="0045000F">
        <w:rPr>
          <w:lang w:val="en-US"/>
        </w:rPr>
        <w:t xml:space="preserve">electronic means of communicating </w:t>
      </w:r>
      <w:r w:rsidR="004E22B0">
        <w:rPr>
          <w:lang w:val="en-US"/>
        </w:rPr>
        <w:t xml:space="preserve">such notices or disclosures </w:t>
      </w:r>
      <w:r w:rsidR="004E22B0" w:rsidRPr="0045000F">
        <w:rPr>
          <w:lang w:val="en-US"/>
        </w:rPr>
        <w:t>including email, text messages, and continuous access websites</w:t>
      </w:r>
      <w:r w:rsidR="004E22B0">
        <w:rPr>
          <w:lang w:val="en-US"/>
        </w:rPr>
        <w:t>, so long as the plan sponsor</w:t>
      </w:r>
      <w:r w:rsidR="0045000F" w:rsidRPr="0045000F">
        <w:rPr>
          <w:lang w:val="en-US"/>
        </w:rPr>
        <w:t xml:space="preserve"> reasonably believes</w:t>
      </w:r>
      <w:r w:rsidR="002168E8">
        <w:rPr>
          <w:lang w:val="en-US"/>
        </w:rPr>
        <w:t xml:space="preserve"> </w:t>
      </w:r>
      <w:r w:rsidR="00A20097">
        <w:rPr>
          <w:lang w:val="en-US"/>
        </w:rPr>
        <w:t>participants</w:t>
      </w:r>
      <w:r w:rsidR="0045000F" w:rsidRPr="0045000F">
        <w:rPr>
          <w:lang w:val="en-US"/>
        </w:rPr>
        <w:t xml:space="preserve"> have effective access to electronic means of communication.</w:t>
      </w:r>
    </w:p>
    <w:p w14:paraId="29781008" w14:textId="77777777" w:rsidR="009832FD" w:rsidRDefault="009832FD" w:rsidP="00D20E25">
      <w:pPr>
        <w:pStyle w:val="MediumGrid2-Accent11"/>
        <w:rPr>
          <w:b/>
          <w:bCs/>
          <w:lang w:val="en-US"/>
        </w:rPr>
      </w:pPr>
    </w:p>
    <w:p w14:paraId="261DAFBD" w14:textId="187DB43C" w:rsidR="00E30F4F" w:rsidRDefault="00E30F4F" w:rsidP="00D20E25">
      <w:pPr>
        <w:pStyle w:val="MediumGrid2-Accent11"/>
        <w:rPr>
          <w:b/>
          <w:bCs/>
          <w:lang w:val="en-US"/>
        </w:rPr>
      </w:pPr>
      <w:r>
        <w:rPr>
          <w:b/>
          <w:bCs/>
          <w:lang w:val="en-US"/>
        </w:rPr>
        <w:t>Summary</w:t>
      </w:r>
    </w:p>
    <w:p w14:paraId="64E7FE5C" w14:textId="33160702" w:rsidR="002F7E7A" w:rsidRDefault="002F7E7A" w:rsidP="00D20E25">
      <w:pPr>
        <w:pStyle w:val="MediumGrid2-Accent11"/>
        <w:rPr>
          <w:b/>
          <w:bCs/>
          <w:lang w:val="en-US"/>
        </w:rPr>
      </w:pPr>
    </w:p>
    <w:p w14:paraId="7A6E6012" w14:textId="4BD53242" w:rsidR="002F7E7A" w:rsidRPr="00275058" w:rsidRDefault="00317F9F" w:rsidP="002F7E7A">
      <w:pPr>
        <w:pStyle w:val="MediumGrid2-Accent11"/>
        <w:rPr>
          <w:lang w:val="en-US"/>
        </w:rPr>
      </w:pPr>
      <w:r>
        <w:rPr>
          <w:lang w:val="en-US"/>
        </w:rPr>
        <w:t>T</w:t>
      </w:r>
      <w:r w:rsidR="002F7E7A" w:rsidRPr="00275058">
        <w:rPr>
          <w:lang w:val="en-US"/>
        </w:rPr>
        <w:t>he examples provided in the</w:t>
      </w:r>
      <w:r w:rsidR="002F7E7A">
        <w:rPr>
          <w:lang w:val="en-US"/>
        </w:rPr>
        <w:t xml:space="preserve"> </w:t>
      </w:r>
      <w:r w:rsidR="00A20097">
        <w:rPr>
          <w:lang w:val="en-US"/>
        </w:rPr>
        <w:t>guidance</w:t>
      </w:r>
      <w:r w:rsidR="002F7E7A">
        <w:rPr>
          <w:lang w:val="en-US"/>
        </w:rPr>
        <w:t xml:space="preserve"> assumed that the National Emergency ends April 30, 2020. Obviously that has not happened</w:t>
      </w:r>
      <w:r w:rsidR="00A20097">
        <w:rPr>
          <w:lang w:val="en-US"/>
        </w:rPr>
        <w:t>,</w:t>
      </w:r>
      <w:r w:rsidR="002F7E7A">
        <w:rPr>
          <w:lang w:val="en-US"/>
        </w:rPr>
        <w:t xml:space="preserve"> so we are using May 31</w:t>
      </w:r>
      <w:r w:rsidR="002F7E7A" w:rsidRPr="00275058">
        <w:rPr>
          <w:vertAlign w:val="superscript"/>
          <w:lang w:val="en-US"/>
        </w:rPr>
        <w:t>st</w:t>
      </w:r>
      <w:r w:rsidR="002F7E7A">
        <w:rPr>
          <w:lang w:val="en-US"/>
        </w:rPr>
        <w:t xml:space="preserve"> as a sample end date of the </w:t>
      </w:r>
      <w:r w:rsidR="009832FD">
        <w:rPr>
          <w:lang w:val="en-US"/>
        </w:rPr>
        <w:t xml:space="preserve">National </w:t>
      </w:r>
      <w:r w:rsidR="002F7E7A">
        <w:rPr>
          <w:lang w:val="en-US"/>
        </w:rPr>
        <w:t>Emergency for a more realistic description of the impact of these extensions. If the National Emergency extends beyond May 31</w:t>
      </w:r>
      <w:r w:rsidR="002F7E7A" w:rsidRPr="00275058">
        <w:rPr>
          <w:vertAlign w:val="superscript"/>
          <w:lang w:val="en-US"/>
        </w:rPr>
        <w:t>st</w:t>
      </w:r>
      <w:r w:rsidR="002F7E7A">
        <w:rPr>
          <w:lang w:val="en-US"/>
        </w:rPr>
        <w:t xml:space="preserve">, the </w:t>
      </w:r>
      <w:r w:rsidR="002F7E7A">
        <w:rPr>
          <w:lang w:val="en-US"/>
        </w:rPr>
        <w:lastRenderedPageBreak/>
        <w:t>allowed timeframes for HIPAA special enrollments, COBRA elections, COBRA premium payments, and claims appeals will be further extended.</w:t>
      </w:r>
    </w:p>
    <w:p w14:paraId="6F17ADAB" w14:textId="77777777" w:rsidR="002F7E7A" w:rsidRPr="00E30F4F" w:rsidRDefault="002F7E7A" w:rsidP="00D20E25">
      <w:pPr>
        <w:pStyle w:val="MediumGrid2-Accent11"/>
        <w:rPr>
          <w:b/>
          <w:bCs/>
          <w:lang w:val="en-US"/>
        </w:rPr>
      </w:pPr>
    </w:p>
    <w:p w14:paraId="5358E9CD" w14:textId="4DD5BB20" w:rsidR="00317F9F" w:rsidRDefault="00515240" w:rsidP="00D20E25">
      <w:pPr>
        <w:pStyle w:val="MediumGrid2-Accent11"/>
        <w:rPr>
          <w:lang w:val="en-US"/>
        </w:rPr>
      </w:pPr>
      <w:r>
        <w:rPr>
          <w:lang w:val="en-US"/>
        </w:rPr>
        <w:t>The relief provided by the agencies will provide plan sponsors, plan participants and employees some flexibility in regard to meeting general</w:t>
      </w:r>
      <w:r w:rsidR="0034691B">
        <w:rPr>
          <w:lang w:val="en-US"/>
        </w:rPr>
        <w:t xml:space="preserve"> notice and disclosure requirements. </w:t>
      </w:r>
      <w:r w:rsidR="009B4ECC">
        <w:rPr>
          <w:lang w:val="en-US"/>
        </w:rPr>
        <w:t>T</w:t>
      </w:r>
      <w:r w:rsidR="0034691B">
        <w:rPr>
          <w:lang w:val="en-US"/>
        </w:rPr>
        <w:t xml:space="preserve">his </w:t>
      </w:r>
      <w:r w:rsidR="0047037D">
        <w:rPr>
          <w:lang w:val="en-US"/>
        </w:rPr>
        <w:t>may</w:t>
      </w:r>
      <w:r w:rsidR="009B4ECC">
        <w:rPr>
          <w:lang w:val="en-US"/>
        </w:rPr>
        <w:t xml:space="preserve"> </w:t>
      </w:r>
      <w:r w:rsidR="0034691B">
        <w:rPr>
          <w:lang w:val="en-US"/>
        </w:rPr>
        <w:t xml:space="preserve">ease some of the stress for plan sponsors and </w:t>
      </w:r>
      <w:r w:rsidR="006F6C41">
        <w:rPr>
          <w:lang w:val="en-US"/>
        </w:rPr>
        <w:t xml:space="preserve">will </w:t>
      </w:r>
      <w:r w:rsidR="0034691B">
        <w:rPr>
          <w:lang w:val="en-US"/>
        </w:rPr>
        <w:t xml:space="preserve">also allow individuals some additional time to </w:t>
      </w:r>
      <w:r w:rsidR="009F664E">
        <w:rPr>
          <w:lang w:val="en-US"/>
        </w:rPr>
        <w:t xml:space="preserve">make decisions and </w:t>
      </w:r>
      <w:r w:rsidR="009B4ECC">
        <w:rPr>
          <w:lang w:val="en-US"/>
        </w:rPr>
        <w:t>have</w:t>
      </w:r>
      <w:r w:rsidR="0034691B">
        <w:rPr>
          <w:lang w:val="en-US"/>
        </w:rPr>
        <w:t xml:space="preserve"> </w:t>
      </w:r>
      <w:r w:rsidR="009B4ECC">
        <w:rPr>
          <w:lang w:val="en-US"/>
        </w:rPr>
        <w:t xml:space="preserve">continued </w:t>
      </w:r>
      <w:r w:rsidR="009F664E">
        <w:rPr>
          <w:lang w:val="en-US"/>
        </w:rPr>
        <w:t>access to benefits</w:t>
      </w:r>
      <w:r w:rsidR="009B4ECC">
        <w:rPr>
          <w:lang w:val="en-US"/>
        </w:rPr>
        <w:t xml:space="preserve">, especially medical coverage. </w:t>
      </w:r>
      <w:r w:rsidR="00145D3B">
        <w:rPr>
          <w:lang w:val="en-US"/>
        </w:rPr>
        <w:t>However, at the same time, this may cause some administrative hassle for employers who must maintain COBRA continuation coverage and/or retroactively add</w:t>
      </w:r>
      <w:r w:rsidR="002C7644">
        <w:rPr>
          <w:lang w:val="en-US"/>
        </w:rPr>
        <w:t xml:space="preserve"> or terminate coverage due to extended notice and payment deadlines; and it is unclear how these efforts will be coordinated with carriers.</w:t>
      </w:r>
      <w:r w:rsidR="003105DC">
        <w:rPr>
          <w:lang w:val="en-US"/>
        </w:rPr>
        <w:t xml:space="preserve"> </w:t>
      </w:r>
    </w:p>
    <w:p w14:paraId="7D8AF7E3" w14:textId="77777777" w:rsidR="0047037D" w:rsidRDefault="0047037D" w:rsidP="00D20E25">
      <w:pPr>
        <w:pStyle w:val="MediumGrid2-Accent11"/>
        <w:rPr>
          <w:lang w:val="en-US"/>
        </w:rPr>
      </w:pPr>
    </w:p>
    <w:p w14:paraId="32FC729A" w14:textId="6091BAE0" w:rsidR="002C078D" w:rsidRDefault="006F6C41" w:rsidP="00D20E25">
      <w:pPr>
        <w:pStyle w:val="MediumGrid2-Accent11"/>
        <w:rPr>
          <w:lang w:val="en-US"/>
        </w:rPr>
      </w:pPr>
      <w:r>
        <w:rPr>
          <w:lang w:val="en-US"/>
        </w:rPr>
        <w:t xml:space="preserve">Though the new rules do not contain </w:t>
      </w:r>
      <w:r w:rsidR="0047037D">
        <w:rPr>
          <w:lang w:val="en-US"/>
        </w:rPr>
        <w:t xml:space="preserve">any </w:t>
      </w:r>
      <w:r w:rsidR="00317F9F">
        <w:rPr>
          <w:lang w:val="en-US"/>
        </w:rPr>
        <w:t>specific participant notice requirement</w:t>
      </w:r>
      <w:r>
        <w:rPr>
          <w:lang w:val="en-US"/>
        </w:rPr>
        <w:t>s</w:t>
      </w:r>
      <w:r w:rsidR="0047037D">
        <w:rPr>
          <w:lang w:val="en-US"/>
        </w:rPr>
        <w:t xml:space="preserve"> to inform individuals about these extended time frames</w:t>
      </w:r>
      <w:r w:rsidR="00317F9F">
        <w:rPr>
          <w:lang w:val="en-US"/>
        </w:rPr>
        <w:t>, t</w:t>
      </w:r>
      <w:r w:rsidR="003105DC">
        <w:rPr>
          <w:lang w:val="en-US"/>
        </w:rPr>
        <w:t xml:space="preserve">o </w:t>
      </w:r>
      <w:r w:rsidR="000506AC">
        <w:rPr>
          <w:lang w:val="en-US"/>
        </w:rPr>
        <w:t xml:space="preserve">limit issues with nonpayment and retroactive termination of coverage, employers </w:t>
      </w:r>
      <w:r w:rsidR="0047037D">
        <w:rPr>
          <w:lang w:val="en-US"/>
        </w:rPr>
        <w:t>may want to prepare communications or update existing notices</w:t>
      </w:r>
      <w:r w:rsidR="009B0614">
        <w:rPr>
          <w:lang w:val="en-US"/>
        </w:rPr>
        <w:t xml:space="preserve"> to ensure individuals</w:t>
      </w:r>
      <w:r w:rsidR="00F03C4B">
        <w:rPr>
          <w:lang w:val="en-US"/>
        </w:rPr>
        <w:t xml:space="preserve"> understand that while notification and payment time frames are flexible, individuals will eventually be responsible for payment in orde</w:t>
      </w:r>
      <w:r w:rsidR="002C078D">
        <w:rPr>
          <w:lang w:val="en-US"/>
        </w:rPr>
        <w:t>r to maintain coverage.</w:t>
      </w:r>
    </w:p>
    <w:p w14:paraId="4121DE93" w14:textId="692911C3" w:rsidR="002C078D" w:rsidRDefault="002C078D" w:rsidP="00D20E25">
      <w:pPr>
        <w:pStyle w:val="MediumGrid2-Accent11"/>
        <w:rPr>
          <w:lang w:val="en-US"/>
        </w:rPr>
      </w:pPr>
    </w:p>
    <w:p w14:paraId="679B4572" w14:textId="77777777" w:rsidR="0047037D" w:rsidRDefault="0047037D" w:rsidP="00D20E25">
      <w:pPr>
        <w:pStyle w:val="MediumGrid2-Accent11"/>
        <w:rPr>
          <w:lang w:val="en-US"/>
        </w:rPr>
      </w:pPr>
    </w:p>
    <w:p w14:paraId="08562A53" w14:textId="77777777" w:rsidR="00360D2B" w:rsidRDefault="002C078D" w:rsidP="00D20E25">
      <w:pPr>
        <w:pStyle w:val="MediumGrid2-Accent11"/>
      </w:pPr>
      <w:r>
        <w:rPr>
          <w:lang w:val="en-US"/>
        </w:rPr>
        <w:t xml:space="preserve">Final Rule - </w:t>
      </w:r>
      <w:hyperlink r:id="rId12" w:history="1">
        <w:r w:rsidR="00360D2B">
          <w:rPr>
            <w:rStyle w:val="Hyperlink"/>
          </w:rPr>
          <w:t>https://www.dol.gov/sites/dolgov/files/ebsa/temporary-postings/covid-19-final-rule.pdf</w:t>
        </w:r>
      </w:hyperlink>
    </w:p>
    <w:p w14:paraId="63275FBA" w14:textId="77777777" w:rsidR="0047037D" w:rsidRDefault="0047037D" w:rsidP="00D20E25">
      <w:pPr>
        <w:pStyle w:val="MediumGrid2-Accent11"/>
        <w:rPr>
          <w:lang w:val="en-US"/>
        </w:rPr>
      </w:pPr>
    </w:p>
    <w:p w14:paraId="00FD9488" w14:textId="2937F7BA" w:rsidR="00360D2B" w:rsidRDefault="00360D2B" w:rsidP="00D20E25">
      <w:pPr>
        <w:pStyle w:val="MediumGrid2-Accent11"/>
      </w:pPr>
      <w:r>
        <w:rPr>
          <w:lang w:val="en-US"/>
        </w:rPr>
        <w:t xml:space="preserve">Disaster Relief Notice 2020-01 - </w:t>
      </w:r>
      <w:hyperlink r:id="rId13" w:history="1">
        <w:r>
          <w:rPr>
            <w:rStyle w:val="Hyperlink"/>
          </w:rPr>
          <w:t>https://www.dol.gov/agencies/ebsa/employers-and-advisers/plan-administration-and-compliance/disaster-relief/ebsa-disaster-relief-notice-2020-01</w:t>
        </w:r>
      </w:hyperlink>
    </w:p>
    <w:p w14:paraId="542D4E7E" w14:textId="77777777" w:rsidR="0047037D" w:rsidRDefault="0047037D" w:rsidP="00D20E25">
      <w:pPr>
        <w:pStyle w:val="MediumGrid2-Accent11"/>
        <w:rPr>
          <w:lang w:val="en-US"/>
        </w:rPr>
      </w:pPr>
    </w:p>
    <w:p w14:paraId="5A9336CD" w14:textId="78905582" w:rsidR="002743FF" w:rsidRDefault="00360D2B" w:rsidP="00D20E25">
      <w:pPr>
        <w:pStyle w:val="MediumGrid2-Accent11"/>
        <w:rPr>
          <w:lang w:val="en-US"/>
        </w:rPr>
      </w:pPr>
      <w:r>
        <w:rPr>
          <w:lang w:val="en-US"/>
        </w:rPr>
        <w:t xml:space="preserve">FAQ </w:t>
      </w:r>
      <w:r w:rsidR="00086BE4">
        <w:rPr>
          <w:lang w:val="en-US"/>
        </w:rPr>
        <w:t xml:space="preserve">for Participants and Beneficiaries - </w:t>
      </w:r>
      <w:hyperlink r:id="rId14" w:history="1">
        <w:r w:rsidR="00086BE4">
          <w:rPr>
            <w:rStyle w:val="Hyperlink"/>
          </w:rPr>
          <w:t>https://www.dol.gov/sites/dolgov/files/EBSA/about-ebsa/our-activities/resource-center/faqs/covid-19.pdf</w:t>
        </w:r>
      </w:hyperlink>
      <w:r w:rsidR="003105DC">
        <w:rPr>
          <w:lang w:val="en-US"/>
        </w:rPr>
        <w:t xml:space="preserve"> </w:t>
      </w:r>
    </w:p>
    <w:p w14:paraId="735DEBBF" w14:textId="77777777" w:rsidR="005D1DEB" w:rsidRPr="00327CAE" w:rsidRDefault="005D1DEB" w:rsidP="00D20E25">
      <w:pPr>
        <w:pStyle w:val="MediumGrid2-Accent11"/>
        <w:rPr>
          <w:lang w:val="en-US"/>
        </w:rPr>
      </w:pPr>
    </w:p>
    <w:p w14:paraId="60BCDC12" w14:textId="77777777" w:rsidR="0047037D" w:rsidRDefault="0047037D" w:rsidP="00D20E25">
      <w:pPr>
        <w:pStyle w:val="MediumGrid2-Accent11"/>
        <w:rPr>
          <w:i/>
          <w:sz w:val="16"/>
          <w:szCs w:val="16"/>
        </w:rPr>
      </w:pPr>
    </w:p>
    <w:p w14:paraId="47D3152A" w14:textId="77777777" w:rsidR="0047037D" w:rsidRDefault="0047037D" w:rsidP="00D20E25">
      <w:pPr>
        <w:pStyle w:val="MediumGrid2-Accent11"/>
        <w:rPr>
          <w:i/>
          <w:sz w:val="16"/>
          <w:szCs w:val="16"/>
        </w:rPr>
      </w:pPr>
    </w:p>
    <w:p w14:paraId="1E2F7E18" w14:textId="4853899D"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5"/>
      <w:footerReference w:type="first" r:id="rId16"/>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E228F" w14:textId="77777777" w:rsidR="009411AC" w:rsidRDefault="009411AC" w:rsidP="00D20E25">
      <w:r>
        <w:separator/>
      </w:r>
    </w:p>
  </w:endnote>
  <w:endnote w:type="continuationSeparator" w:id="0">
    <w:p w14:paraId="0C2A1EEC" w14:textId="77777777" w:rsidR="009411AC" w:rsidRDefault="009411AC"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44D336D3" w:rsidR="005C07B5" w:rsidRDefault="005C07B5" w:rsidP="00D20E25">
    <w:pPr>
      <w:pStyle w:val="Footer"/>
      <w:jc w:val="center"/>
      <w:rPr>
        <w:lang w:val="en-US"/>
      </w:rPr>
    </w:pPr>
    <w:r w:rsidRPr="006C7EC1">
      <w:t>© 20</w:t>
    </w:r>
    <w:r w:rsidR="0047037D">
      <w:rPr>
        <w:lang w:val="en-US"/>
      </w:rPr>
      <w:t>20</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77777777" w:rsidR="00777C72" w:rsidRDefault="005C07B5" w:rsidP="00D20E25">
    <w:pPr>
      <w:pStyle w:val="Footer"/>
      <w:jc w:val="center"/>
      <w:rPr>
        <w:lang w:val="en-US"/>
      </w:rPr>
    </w:pPr>
    <w:r>
      <w:t>© 20</w:t>
    </w:r>
    <w:r w:rsidR="00777C72">
      <w:rPr>
        <w:lang w:val="en-US"/>
      </w:rPr>
      <w:t>20</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0CEF8" w14:textId="77777777" w:rsidR="009411AC" w:rsidRDefault="009411AC" w:rsidP="00D20E25">
      <w:r>
        <w:separator/>
      </w:r>
    </w:p>
  </w:footnote>
  <w:footnote w:type="continuationSeparator" w:id="0">
    <w:p w14:paraId="4EF3C20B" w14:textId="77777777" w:rsidR="009411AC" w:rsidRDefault="009411AC"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23"/>
  </w:num>
  <w:num w:numId="4">
    <w:abstractNumId w:val="11"/>
  </w:num>
  <w:num w:numId="5">
    <w:abstractNumId w:val="28"/>
  </w:num>
  <w:num w:numId="6">
    <w:abstractNumId w:val="9"/>
  </w:num>
  <w:num w:numId="7">
    <w:abstractNumId w:val="15"/>
  </w:num>
  <w:num w:numId="8">
    <w:abstractNumId w:val="30"/>
  </w:num>
  <w:num w:numId="9">
    <w:abstractNumId w:val="18"/>
  </w:num>
  <w:num w:numId="10">
    <w:abstractNumId w:val="35"/>
  </w:num>
  <w:num w:numId="11">
    <w:abstractNumId w:val="2"/>
  </w:num>
  <w:num w:numId="12">
    <w:abstractNumId w:val="17"/>
  </w:num>
  <w:num w:numId="13">
    <w:abstractNumId w:val="22"/>
  </w:num>
  <w:num w:numId="14">
    <w:abstractNumId w:val="38"/>
  </w:num>
  <w:num w:numId="15">
    <w:abstractNumId w:val="26"/>
  </w:num>
  <w:num w:numId="16">
    <w:abstractNumId w:val="34"/>
  </w:num>
  <w:num w:numId="17">
    <w:abstractNumId w:val="12"/>
  </w:num>
  <w:num w:numId="18">
    <w:abstractNumId w:val="20"/>
  </w:num>
  <w:num w:numId="19">
    <w:abstractNumId w:val="27"/>
  </w:num>
  <w:num w:numId="20">
    <w:abstractNumId w:val="36"/>
  </w:num>
  <w:num w:numId="21">
    <w:abstractNumId w:val="19"/>
  </w:num>
  <w:num w:numId="22">
    <w:abstractNumId w:val="32"/>
  </w:num>
  <w:num w:numId="23">
    <w:abstractNumId w:val="39"/>
  </w:num>
  <w:num w:numId="24">
    <w:abstractNumId w:val="31"/>
  </w:num>
  <w:num w:numId="25">
    <w:abstractNumId w:val="16"/>
  </w:num>
  <w:num w:numId="26">
    <w:abstractNumId w:val="14"/>
  </w:num>
  <w:num w:numId="27">
    <w:abstractNumId w:val="37"/>
  </w:num>
  <w:num w:numId="28">
    <w:abstractNumId w:val="10"/>
  </w:num>
  <w:num w:numId="29">
    <w:abstractNumId w:val="3"/>
  </w:num>
  <w:num w:numId="30">
    <w:abstractNumId w:val="13"/>
  </w:num>
  <w:num w:numId="31">
    <w:abstractNumId w:val="0"/>
  </w:num>
  <w:num w:numId="32">
    <w:abstractNumId w:val="21"/>
  </w:num>
  <w:num w:numId="33">
    <w:abstractNumId w:val="7"/>
  </w:num>
  <w:num w:numId="34">
    <w:abstractNumId w:val="5"/>
  </w:num>
  <w:num w:numId="35">
    <w:abstractNumId w:val="6"/>
  </w:num>
  <w:num w:numId="36">
    <w:abstractNumId w:val="4"/>
  </w:num>
  <w:num w:numId="37">
    <w:abstractNumId w:val="29"/>
  </w:num>
  <w:num w:numId="38">
    <w:abstractNumId w:val="1"/>
  </w:num>
  <w:num w:numId="39">
    <w:abstractNumId w:val="33"/>
  </w:num>
  <w:num w:numId="4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67F5"/>
    <w:rsid w:val="00086BE4"/>
    <w:rsid w:val="00090F22"/>
    <w:rsid w:val="00093BE1"/>
    <w:rsid w:val="00096B1E"/>
    <w:rsid w:val="000A1DB6"/>
    <w:rsid w:val="000A697A"/>
    <w:rsid w:val="000A797E"/>
    <w:rsid w:val="000B207F"/>
    <w:rsid w:val="000C41B5"/>
    <w:rsid w:val="000C5473"/>
    <w:rsid w:val="000E03AB"/>
    <w:rsid w:val="000E668C"/>
    <w:rsid w:val="000F11E2"/>
    <w:rsid w:val="0010150B"/>
    <w:rsid w:val="00102B71"/>
    <w:rsid w:val="00102C3F"/>
    <w:rsid w:val="00103F85"/>
    <w:rsid w:val="00104680"/>
    <w:rsid w:val="001134F3"/>
    <w:rsid w:val="00113F23"/>
    <w:rsid w:val="001152AA"/>
    <w:rsid w:val="00136B3A"/>
    <w:rsid w:val="00137BDB"/>
    <w:rsid w:val="00140769"/>
    <w:rsid w:val="00142A3F"/>
    <w:rsid w:val="001432A3"/>
    <w:rsid w:val="00144A9C"/>
    <w:rsid w:val="00145D3B"/>
    <w:rsid w:val="00150473"/>
    <w:rsid w:val="00150684"/>
    <w:rsid w:val="00160335"/>
    <w:rsid w:val="00171AD4"/>
    <w:rsid w:val="001824D9"/>
    <w:rsid w:val="00187547"/>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20023D"/>
    <w:rsid w:val="00200664"/>
    <w:rsid w:val="0020685D"/>
    <w:rsid w:val="00211FC6"/>
    <w:rsid w:val="002168E8"/>
    <w:rsid w:val="00226E7A"/>
    <w:rsid w:val="00231306"/>
    <w:rsid w:val="00235819"/>
    <w:rsid w:val="00246370"/>
    <w:rsid w:val="00247077"/>
    <w:rsid w:val="00255A5D"/>
    <w:rsid w:val="00261EFA"/>
    <w:rsid w:val="00270D0F"/>
    <w:rsid w:val="00273D4E"/>
    <w:rsid w:val="002743FF"/>
    <w:rsid w:val="00277CAA"/>
    <w:rsid w:val="0029167B"/>
    <w:rsid w:val="002A51D5"/>
    <w:rsid w:val="002B061B"/>
    <w:rsid w:val="002B12A4"/>
    <w:rsid w:val="002C078D"/>
    <w:rsid w:val="002C4ADB"/>
    <w:rsid w:val="002C7644"/>
    <w:rsid w:val="002D198D"/>
    <w:rsid w:val="002D2E6A"/>
    <w:rsid w:val="002D6E4B"/>
    <w:rsid w:val="002E3F16"/>
    <w:rsid w:val="002E41EF"/>
    <w:rsid w:val="002F1D78"/>
    <w:rsid w:val="002F2BFF"/>
    <w:rsid w:val="002F3FBC"/>
    <w:rsid w:val="002F5B6A"/>
    <w:rsid w:val="002F7CDF"/>
    <w:rsid w:val="002F7E7A"/>
    <w:rsid w:val="00305FF6"/>
    <w:rsid w:val="003105DC"/>
    <w:rsid w:val="00311883"/>
    <w:rsid w:val="00311D22"/>
    <w:rsid w:val="00314066"/>
    <w:rsid w:val="00317F9F"/>
    <w:rsid w:val="003231B2"/>
    <w:rsid w:val="00327CAE"/>
    <w:rsid w:val="00332855"/>
    <w:rsid w:val="003332F7"/>
    <w:rsid w:val="0033539F"/>
    <w:rsid w:val="00337651"/>
    <w:rsid w:val="00341F9B"/>
    <w:rsid w:val="00342727"/>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B0730"/>
    <w:rsid w:val="003B180D"/>
    <w:rsid w:val="003B2A42"/>
    <w:rsid w:val="003B7105"/>
    <w:rsid w:val="003C5B3D"/>
    <w:rsid w:val="003D2FCB"/>
    <w:rsid w:val="003D3ABE"/>
    <w:rsid w:val="003D5BB6"/>
    <w:rsid w:val="003E5815"/>
    <w:rsid w:val="003F1194"/>
    <w:rsid w:val="003F2783"/>
    <w:rsid w:val="0040100E"/>
    <w:rsid w:val="004019B7"/>
    <w:rsid w:val="00402CF5"/>
    <w:rsid w:val="00403DFE"/>
    <w:rsid w:val="004067B9"/>
    <w:rsid w:val="00410AFB"/>
    <w:rsid w:val="00411921"/>
    <w:rsid w:val="00413426"/>
    <w:rsid w:val="004164F1"/>
    <w:rsid w:val="00421453"/>
    <w:rsid w:val="00424799"/>
    <w:rsid w:val="00425A06"/>
    <w:rsid w:val="00442014"/>
    <w:rsid w:val="00442266"/>
    <w:rsid w:val="0045000F"/>
    <w:rsid w:val="00453012"/>
    <w:rsid w:val="00453816"/>
    <w:rsid w:val="0045477B"/>
    <w:rsid w:val="0046122B"/>
    <w:rsid w:val="00464CBE"/>
    <w:rsid w:val="00467218"/>
    <w:rsid w:val="00467FDA"/>
    <w:rsid w:val="0047037D"/>
    <w:rsid w:val="004827D1"/>
    <w:rsid w:val="0048519F"/>
    <w:rsid w:val="004870C3"/>
    <w:rsid w:val="00487B4C"/>
    <w:rsid w:val="004A39D7"/>
    <w:rsid w:val="004B2781"/>
    <w:rsid w:val="004B2E8E"/>
    <w:rsid w:val="004B3E30"/>
    <w:rsid w:val="004B4147"/>
    <w:rsid w:val="004B6441"/>
    <w:rsid w:val="004C685A"/>
    <w:rsid w:val="004D6488"/>
    <w:rsid w:val="004D76A4"/>
    <w:rsid w:val="004E114C"/>
    <w:rsid w:val="004E22B0"/>
    <w:rsid w:val="004E4565"/>
    <w:rsid w:val="004F0122"/>
    <w:rsid w:val="004F2946"/>
    <w:rsid w:val="004F38E5"/>
    <w:rsid w:val="004F4484"/>
    <w:rsid w:val="00501E0D"/>
    <w:rsid w:val="0051372C"/>
    <w:rsid w:val="00515240"/>
    <w:rsid w:val="00515A9A"/>
    <w:rsid w:val="00521168"/>
    <w:rsid w:val="00521F45"/>
    <w:rsid w:val="0052609C"/>
    <w:rsid w:val="00532F84"/>
    <w:rsid w:val="005378A2"/>
    <w:rsid w:val="00540CCF"/>
    <w:rsid w:val="00554B62"/>
    <w:rsid w:val="00554D66"/>
    <w:rsid w:val="0055601F"/>
    <w:rsid w:val="0055764A"/>
    <w:rsid w:val="00564D20"/>
    <w:rsid w:val="005660E9"/>
    <w:rsid w:val="0056690A"/>
    <w:rsid w:val="005718C3"/>
    <w:rsid w:val="00581F18"/>
    <w:rsid w:val="00584C07"/>
    <w:rsid w:val="00584F1A"/>
    <w:rsid w:val="005851D4"/>
    <w:rsid w:val="00586571"/>
    <w:rsid w:val="0058733A"/>
    <w:rsid w:val="005926DA"/>
    <w:rsid w:val="00595A34"/>
    <w:rsid w:val="005B0103"/>
    <w:rsid w:val="005B2609"/>
    <w:rsid w:val="005C07B5"/>
    <w:rsid w:val="005C2382"/>
    <w:rsid w:val="005D1DEB"/>
    <w:rsid w:val="005D2525"/>
    <w:rsid w:val="005E0615"/>
    <w:rsid w:val="005E4301"/>
    <w:rsid w:val="005E74DC"/>
    <w:rsid w:val="005F0D4C"/>
    <w:rsid w:val="005F1993"/>
    <w:rsid w:val="005F2269"/>
    <w:rsid w:val="005F3780"/>
    <w:rsid w:val="005F4D3F"/>
    <w:rsid w:val="005F6038"/>
    <w:rsid w:val="005F683F"/>
    <w:rsid w:val="00600FC4"/>
    <w:rsid w:val="006034D7"/>
    <w:rsid w:val="00605355"/>
    <w:rsid w:val="006102F4"/>
    <w:rsid w:val="00613D28"/>
    <w:rsid w:val="006149F2"/>
    <w:rsid w:val="006158BC"/>
    <w:rsid w:val="00615DB3"/>
    <w:rsid w:val="00616FD0"/>
    <w:rsid w:val="006267B7"/>
    <w:rsid w:val="00633D0E"/>
    <w:rsid w:val="006466D7"/>
    <w:rsid w:val="00652E75"/>
    <w:rsid w:val="006577E9"/>
    <w:rsid w:val="00667C3C"/>
    <w:rsid w:val="006717AA"/>
    <w:rsid w:val="00675439"/>
    <w:rsid w:val="00683EE3"/>
    <w:rsid w:val="00685C8D"/>
    <w:rsid w:val="00686AFD"/>
    <w:rsid w:val="006924DC"/>
    <w:rsid w:val="00696ABA"/>
    <w:rsid w:val="006A167F"/>
    <w:rsid w:val="006A61F3"/>
    <w:rsid w:val="006B1545"/>
    <w:rsid w:val="006B1E0F"/>
    <w:rsid w:val="006B23FC"/>
    <w:rsid w:val="006B28BC"/>
    <w:rsid w:val="006B35C9"/>
    <w:rsid w:val="006C3EE1"/>
    <w:rsid w:val="006C7B72"/>
    <w:rsid w:val="006C7EC1"/>
    <w:rsid w:val="006D14FE"/>
    <w:rsid w:val="006D5631"/>
    <w:rsid w:val="006E0D2A"/>
    <w:rsid w:val="006E1247"/>
    <w:rsid w:val="006E42C0"/>
    <w:rsid w:val="006E7E55"/>
    <w:rsid w:val="006F6C41"/>
    <w:rsid w:val="0070115B"/>
    <w:rsid w:val="00701E9A"/>
    <w:rsid w:val="00702E6B"/>
    <w:rsid w:val="00704336"/>
    <w:rsid w:val="00705AFD"/>
    <w:rsid w:val="00713909"/>
    <w:rsid w:val="00736A9B"/>
    <w:rsid w:val="007508F7"/>
    <w:rsid w:val="0075284B"/>
    <w:rsid w:val="007571ED"/>
    <w:rsid w:val="00764D79"/>
    <w:rsid w:val="007705AC"/>
    <w:rsid w:val="007709F7"/>
    <w:rsid w:val="00771E34"/>
    <w:rsid w:val="00776816"/>
    <w:rsid w:val="007773AA"/>
    <w:rsid w:val="00777C72"/>
    <w:rsid w:val="00781D99"/>
    <w:rsid w:val="007821CE"/>
    <w:rsid w:val="0078577D"/>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4237"/>
    <w:rsid w:val="008052A3"/>
    <w:rsid w:val="00807AED"/>
    <w:rsid w:val="00807B7A"/>
    <w:rsid w:val="008100A8"/>
    <w:rsid w:val="00820177"/>
    <w:rsid w:val="0082082D"/>
    <w:rsid w:val="0083063B"/>
    <w:rsid w:val="00830ADC"/>
    <w:rsid w:val="008351DA"/>
    <w:rsid w:val="008362F4"/>
    <w:rsid w:val="00840509"/>
    <w:rsid w:val="008477BE"/>
    <w:rsid w:val="00853CBD"/>
    <w:rsid w:val="0085510B"/>
    <w:rsid w:val="00855527"/>
    <w:rsid w:val="008557A4"/>
    <w:rsid w:val="00861448"/>
    <w:rsid w:val="008615C4"/>
    <w:rsid w:val="0086304F"/>
    <w:rsid w:val="008655E0"/>
    <w:rsid w:val="00866B99"/>
    <w:rsid w:val="0087409B"/>
    <w:rsid w:val="008928A9"/>
    <w:rsid w:val="008932B8"/>
    <w:rsid w:val="00897617"/>
    <w:rsid w:val="008A2216"/>
    <w:rsid w:val="008A5DF8"/>
    <w:rsid w:val="008A65DA"/>
    <w:rsid w:val="008B44EF"/>
    <w:rsid w:val="008B7373"/>
    <w:rsid w:val="008C5B9D"/>
    <w:rsid w:val="008C712B"/>
    <w:rsid w:val="008D0598"/>
    <w:rsid w:val="008D3E7A"/>
    <w:rsid w:val="008D5BAD"/>
    <w:rsid w:val="008E2AFE"/>
    <w:rsid w:val="008E2D74"/>
    <w:rsid w:val="008E4117"/>
    <w:rsid w:val="008F0F5D"/>
    <w:rsid w:val="008F6B65"/>
    <w:rsid w:val="00920883"/>
    <w:rsid w:val="00922438"/>
    <w:rsid w:val="009312C4"/>
    <w:rsid w:val="00935D00"/>
    <w:rsid w:val="009411AC"/>
    <w:rsid w:val="00941C8D"/>
    <w:rsid w:val="00951D03"/>
    <w:rsid w:val="009536DD"/>
    <w:rsid w:val="00953E85"/>
    <w:rsid w:val="00954AA6"/>
    <w:rsid w:val="00977366"/>
    <w:rsid w:val="009832FD"/>
    <w:rsid w:val="0099275F"/>
    <w:rsid w:val="009A4AD6"/>
    <w:rsid w:val="009B0614"/>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EFE"/>
    <w:rsid w:val="009F1035"/>
    <w:rsid w:val="009F112E"/>
    <w:rsid w:val="009F1736"/>
    <w:rsid w:val="009F664E"/>
    <w:rsid w:val="00A04BF4"/>
    <w:rsid w:val="00A065E4"/>
    <w:rsid w:val="00A06657"/>
    <w:rsid w:val="00A10143"/>
    <w:rsid w:val="00A10ACE"/>
    <w:rsid w:val="00A139C1"/>
    <w:rsid w:val="00A20097"/>
    <w:rsid w:val="00A21DC4"/>
    <w:rsid w:val="00A32D97"/>
    <w:rsid w:val="00A35CFA"/>
    <w:rsid w:val="00A45E46"/>
    <w:rsid w:val="00A50245"/>
    <w:rsid w:val="00A51D54"/>
    <w:rsid w:val="00A54B1E"/>
    <w:rsid w:val="00A62B5A"/>
    <w:rsid w:val="00A65FD1"/>
    <w:rsid w:val="00A671B6"/>
    <w:rsid w:val="00A72ADC"/>
    <w:rsid w:val="00A92AE3"/>
    <w:rsid w:val="00A94DC8"/>
    <w:rsid w:val="00A9585D"/>
    <w:rsid w:val="00A960B0"/>
    <w:rsid w:val="00AA285A"/>
    <w:rsid w:val="00AA3E90"/>
    <w:rsid w:val="00AA6A57"/>
    <w:rsid w:val="00AB08D4"/>
    <w:rsid w:val="00AB0F84"/>
    <w:rsid w:val="00AB1C85"/>
    <w:rsid w:val="00AB2DCF"/>
    <w:rsid w:val="00AC60D1"/>
    <w:rsid w:val="00AD14A0"/>
    <w:rsid w:val="00AD5E20"/>
    <w:rsid w:val="00AE1425"/>
    <w:rsid w:val="00AE2B47"/>
    <w:rsid w:val="00AE33B8"/>
    <w:rsid w:val="00AF0B9D"/>
    <w:rsid w:val="00AF16AA"/>
    <w:rsid w:val="00AF2D80"/>
    <w:rsid w:val="00AF61C3"/>
    <w:rsid w:val="00B03D53"/>
    <w:rsid w:val="00B044DF"/>
    <w:rsid w:val="00B13068"/>
    <w:rsid w:val="00B14799"/>
    <w:rsid w:val="00B15106"/>
    <w:rsid w:val="00B16218"/>
    <w:rsid w:val="00B23092"/>
    <w:rsid w:val="00B3020C"/>
    <w:rsid w:val="00B32724"/>
    <w:rsid w:val="00B347E4"/>
    <w:rsid w:val="00B37088"/>
    <w:rsid w:val="00B470C4"/>
    <w:rsid w:val="00B51719"/>
    <w:rsid w:val="00B53A94"/>
    <w:rsid w:val="00B554D2"/>
    <w:rsid w:val="00B55BBA"/>
    <w:rsid w:val="00B57B5E"/>
    <w:rsid w:val="00B6090B"/>
    <w:rsid w:val="00B61220"/>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37884"/>
    <w:rsid w:val="00C43186"/>
    <w:rsid w:val="00C60F20"/>
    <w:rsid w:val="00C61CCE"/>
    <w:rsid w:val="00C62CC2"/>
    <w:rsid w:val="00C70F5A"/>
    <w:rsid w:val="00C83A55"/>
    <w:rsid w:val="00C85BF0"/>
    <w:rsid w:val="00C87D79"/>
    <w:rsid w:val="00CA6438"/>
    <w:rsid w:val="00CB0C4C"/>
    <w:rsid w:val="00CB2087"/>
    <w:rsid w:val="00CB7F8B"/>
    <w:rsid w:val="00CC5C69"/>
    <w:rsid w:val="00CD3AB1"/>
    <w:rsid w:val="00CD6579"/>
    <w:rsid w:val="00CD6C4A"/>
    <w:rsid w:val="00CE15AE"/>
    <w:rsid w:val="00CE2D96"/>
    <w:rsid w:val="00CE6B1B"/>
    <w:rsid w:val="00CF6E62"/>
    <w:rsid w:val="00D00064"/>
    <w:rsid w:val="00D0013D"/>
    <w:rsid w:val="00D04A21"/>
    <w:rsid w:val="00D05C20"/>
    <w:rsid w:val="00D10175"/>
    <w:rsid w:val="00D11913"/>
    <w:rsid w:val="00D12D97"/>
    <w:rsid w:val="00D12E64"/>
    <w:rsid w:val="00D20023"/>
    <w:rsid w:val="00D209A7"/>
    <w:rsid w:val="00D20E25"/>
    <w:rsid w:val="00D2204C"/>
    <w:rsid w:val="00D31672"/>
    <w:rsid w:val="00D32DF1"/>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4F0B"/>
    <w:rsid w:val="00E46E1B"/>
    <w:rsid w:val="00E46F87"/>
    <w:rsid w:val="00E53468"/>
    <w:rsid w:val="00E53CBA"/>
    <w:rsid w:val="00E60066"/>
    <w:rsid w:val="00E76581"/>
    <w:rsid w:val="00E773C4"/>
    <w:rsid w:val="00E85813"/>
    <w:rsid w:val="00E85FF7"/>
    <w:rsid w:val="00EA7801"/>
    <w:rsid w:val="00EB2B80"/>
    <w:rsid w:val="00EB51B4"/>
    <w:rsid w:val="00EB6293"/>
    <w:rsid w:val="00EB76AE"/>
    <w:rsid w:val="00EC224B"/>
    <w:rsid w:val="00EC7661"/>
    <w:rsid w:val="00ED0E7A"/>
    <w:rsid w:val="00ED3020"/>
    <w:rsid w:val="00EE0D2F"/>
    <w:rsid w:val="00EE57CF"/>
    <w:rsid w:val="00EF1C04"/>
    <w:rsid w:val="00EF7919"/>
    <w:rsid w:val="00F03C4B"/>
    <w:rsid w:val="00F04145"/>
    <w:rsid w:val="00F05E10"/>
    <w:rsid w:val="00F06079"/>
    <w:rsid w:val="00F33F3C"/>
    <w:rsid w:val="00F3534D"/>
    <w:rsid w:val="00F40D38"/>
    <w:rsid w:val="00F4702D"/>
    <w:rsid w:val="00F50A82"/>
    <w:rsid w:val="00F51BB5"/>
    <w:rsid w:val="00F51DF1"/>
    <w:rsid w:val="00F535E7"/>
    <w:rsid w:val="00F55CEF"/>
    <w:rsid w:val="00F562CC"/>
    <w:rsid w:val="00F617E4"/>
    <w:rsid w:val="00F63D69"/>
    <w:rsid w:val="00F75275"/>
    <w:rsid w:val="00F80D9C"/>
    <w:rsid w:val="00F83367"/>
    <w:rsid w:val="00F877B8"/>
    <w:rsid w:val="00F91499"/>
    <w:rsid w:val="00F91756"/>
    <w:rsid w:val="00F942A1"/>
    <w:rsid w:val="00F949F2"/>
    <w:rsid w:val="00F96382"/>
    <w:rsid w:val="00F96597"/>
    <w:rsid w:val="00F96859"/>
    <w:rsid w:val="00FA0739"/>
    <w:rsid w:val="00FA2F25"/>
    <w:rsid w:val="00FA4C44"/>
    <w:rsid w:val="00FA7D1E"/>
    <w:rsid w:val="00FB0360"/>
    <w:rsid w:val="00FB1408"/>
    <w:rsid w:val="00FB3435"/>
    <w:rsid w:val="00FB6812"/>
    <w:rsid w:val="00FD0F26"/>
    <w:rsid w:val="00FD20BF"/>
    <w:rsid w:val="00FD74A4"/>
    <w:rsid w:val="00FE5F9B"/>
    <w:rsid w:val="00FE7E7C"/>
    <w:rsid w:val="00FF1F6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employers-and-advisers/plan-administration-and-compliance/disaster-relief/ebsa-disaster-relief-notice-2020-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temporary-postings/covid-19-final-rul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BSA/about-ebsa/our-activities/resource-center/faqs/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E761C6CF-9FB8-BA4A-BE5E-AF7D392B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2018-01-08T16:59:00Z</cp:lastPrinted>
  <dcterms:created xsi:type="dcterms:W3CDTF">2020-05-04T17:40:00Z</dcterms:created>
  <dcterms:modified xsi:type="dcterms:W3CDTF">2020-05-04T17:40:00Z</dcterms:modified>
</cp:coreProperties>
</file>