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011C" w14:textId="640831CF" w:rsidR="00102C3F" w:rsidRDefault="00521168" w:rsidP="00D20E25">
      <w:r>
        <w:rPr>
          <w:noProof/>
        </w:rPr>
        <mc:AlternateContent>
          <mc:Choice Requires="wps">
            <w:drawing>
              <wp:anchor distT="0" distB="0" distL="114300" distR="114300" simplePos="0" relativeHeight="251657216"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22A19F31" w:rsidR="00AF0B9D" w:rsidRPr="00D20E25" w:rsidRDefault="00EE57CF" w:rsidP="00D20E25">
      <w:pPr>
        <w:pStyle w:val="Heading1"/>
      </w:pPr>
      <w:r>
        <w:t>Agency</w:t>
      </w:r>
      <w:r w:rsidR="00DC76EB">
        <w:t xml:space="preserve"> Guidance</w:t>
      </w:r>
      <w:r w:rsidR="00777C72">
        <w:t xml:space="preserve"> – </w:t>
      </w:r>
      <w:r w:rsidR="00D80E80">
        <w:t xml:space="preserve">IRS Notices </w:t>
      </w:r>
      <w:r w:rsidR="00C32363">
        <w:t>Announce Increased Flexibility</w:t>
      </w:r>
      <w:r w:rsidR="00F71C39">
        <w:t xml:space="preserve"> for Ce</w:t>
      </w:r>
      <w:r w:rsidR="006070AD">
        <w:t>rtain Plans</w:t>
      </w:r>
    </w:p>
    <w:p w14:paraId="7CF3A7DC" w14:textId="77777777" w:rsidR="00807B7A" w:rsidRDefault="00807B7A" w:rsidP="00D20E25"/>
    <w:p w14:paraId="49CE0426" w14:textId="377A2ADD" w:rsidR="000E03AB" w:rsidRPr="00D20E25" w:rsidRDefault="00DB46C3" w:rsidP="00D20E25">
      <w:r w:rsidRPr="00D20E25">
        <w:t>Issue</w:t>
      </w:r>
      <w:r w:rsidR="00AF0B9D" w:rsidRPr="00D20E25">
        <w:t xml:space="preserve"> Date: </w:t>
      </w:r>
      <w:r w:rsidR="002033E6">
        <w:t>May</w:t>
      </w:r>
      <w:r w:rsidR="00BE24DE">
        <w:t xml:space="preserve"> </w:t>
      </w:r>
      <w:r w:rsidR="002033E6">
        <w:t>13</w:t>
      </w:r>
      <w:r w:rsidR="00D05C20">
        <w:t>,</w:t>
      </w:r>
      <w:r w:rsidR="00807B7A">
        <w:t xml:space="preserve"> 2020</w:t>
      </w:r>
    </w:p>
    <w:p w14:paraId="0E76EE4F" w14:textId="77777777" w:rsidR="0047037D" w:rsidRDefault="0047037D" w:rsidP="00D20E25">
      <w:pPr>
        <w:pStyle w:val="MediumGrid2-Accent11"/>
        <w:rPr>
          <w:lang w:val="en-US"/>
        </w:rPr>
      </w:pPr>
    </w:p>
    <w:p w14:paraId="1CFDDC22" w14:textId="546A62D7" w:rsidR="002D198D" w:rsidRDefault="00DC76EB" w:rsidP="00D20E25">
      <w:pPr>
        <w:pStyle w:val="MediumGrid2-Accent11"/>
        <w:rPr>
          <w:lang w:val="en-US"/>
        </w:rPr>
      </w:pPr>
      <w:r>
        <w:rPr>
          <w:lang w:val="en-US"/>
        </w:rPr>
        <w:t xml:space="preserve">The </w:t>
      </w:r>
      <w:r w:rsidR="005345B1">
        <w:rPr>
          <w:lang w:val="en-US"/>
        </w:rPr>
        <w:t>Internal Revenue Service</w:t>
      </w:r>
      <w:r w:rsidR="00171AD4">
        <w:rPr>
          <w:lang w:val="en-US"/>
        </w:rPr>
        <w:t xml:space="preserve"> (IRS) </w:t>
      </w:r>
      <w:r>
        <w:rPr>
          <w:lang w:val="en-US"/>
        </w:rPr>
        <w:t xml:space="preserve">issued </w:t>
      </w:r>
      <w:r w:rsidR="00B415A9">
        <w:rPr>
          <w:lang w:val="en-US"/>
        </w:rPr>
        <w:t>two</w:t>
      </w:r>
      <w:r>
        <w:rPr>
          <w:lang w:val="en-US"/>
        </w:rPr>
        <w:t xml:space="preserve"> </w:t>
      </w:r>
      <w:r w:rsidR="003875B7">
        <w:rPr>
          <w:lang w:val="en-US"/>
        </w:rPr>
        <w:t>notices</w:t>
      </w:r>
      <w:r w:rsidR="00073F99">
        <w:rPr>
          <w:lang w:val="en-US"/>
        </w:rPr>
        <w:t xml:space="preserve"> </w:t>
      </w:r>
      <w:r w:rsidR="00744A90">
        <w:rPr>
          <w:lang w:val="en-US"/>
        </w:rPr>
        <w:t>t</w:t>
      </w:r>
      <w:r w:rsidR="00744A90" w:rsidRPr="00744A90">
        <w:rPr>
          <w:lang w:val="en-US"/>
        </w:rPr>
        <w:t xml:space="preserve">o assist with the nation’s response </w:t>
      </w:r>
      <w:bookmarkStart w:id="0" w:name="_Hlk40272411"/>
      <w:r w:rsidR="00744A90" w:rsidRPr="00744A90">
        <w:rPr>
          <w:lang w:val="en-US"/>
        </w:rPr>
        <w:t>to the 2019 Coronavirus outbrea</w:t>
      </w:r>
      <w:r w:rsidR="00DA15F5">
        <w:rPr>
          <w:lang w:val="en-US"/>
        </w:rPr>
        <w:t>k</w:t>
      </w:r>
      <w:bookmarkEnd w:id="0"/>
      <w:r w:rsidR="00DA15F5">
        <w:rPr>
          <w:lang w:val="en-US"/>
        </w:rPr>
        <w:t xml:space="preserve">. The first notice </w:t>
      </w:r>
      <w:r w:rsidR="00ED4AA4">
        <w:rPr>
          <w:lang w:val="en-US"/>
        </w:rPr>
        <w:t>increases</w:t>
      </w:r>
      <w:r w:rsidR="00DA15F5" w:rsidRPr="00DA15F5">
        <w:rPr>
          <w:lang w:val="en-US"/>
        </w:rPr>
        <w:t xml:space="preserve"> </w:t>
      </w:r>
      <w:r w:rsidR="00ED4AA4" w:rsidRPr="00A17375">
        <w:rPr>
          <w:i/>
          <w:iCs/>
          <w:lang w:val="en-US"/>
        </w:rPr>
        <w:t>“</w:t>
      </w:r>
      <w:r w:rsidR="00DA15F5" w:rsidRPr="00A17375">
        <w:rPr>
          <w:i/>
          <w:iCs/>
          <w:lang w:val="en-US"/>
        </w:rPr>
        <w:t>flexibility with respect to mid-year elections under a §125 cafeteria plan during calendar year 2020 related to employer</w:t>
      </w:r>
      <w:r w:rsidR="006A612B" w:rsidRPr="00A17375">
        <w:rPr>
          <w:i/>
          <w:iCs/>
          <w:lang w:val="en-US"/>
        </w:rPr>
        <w:t>-</w:t>
      </w:r>
      <w:r w:rsidR="00DA15F5" w:rsidRPr="00A17375">
        <w:rPr>
          <w:i/>
          <w:iCs/>
          <w:lang w:val="en-US"/>
        </w:rPr>
        <w:t>sponsored health coverage, health Flexible Spending Arrangements (health FSAs), and dependent care assistance programs</w:t>
      </w:r>
      <w:r w:rsidR="002C09D4" w:rsidRPr="00A17375">
        <w:rPr>
          <w:i/>
          <w:iCs/>
          <w:lang w:val="en-US"/>
        </w:rPr>
        <w:t xml:space="preserve"> (DCAPs)</w:t>
      </w:r>
      <w:r w:rsidR="00DA15F5" w:rsidRPr="00A17375">
        <w:rPr>
          <w:i/>
          <w:iCs/>
          <w:lang w:val="en-US"/>
        </w:rPr>
        <w:t>. This notice also provides increased flexibility with respect to grace periods to apply unused amounts in health FSAs to medical care expenses incurred through December 31, 2020, and unused amounts in dependent care assistance programs to dependent care expenses incurred through December 31, 2020.</w:t>
      </w:r>
      <w:r w:rsidR="00602B99" w:rsidRPr="00A17375">
        <w:rPr>
          <w:i/>
          <w:iCs/>
          <w:lang w:val="en-US"/>
        </w:rPr>
        <w:t>”</w:t>
      </w:r>
      <w:r w:rsidR="00135ECD">
        <w:rPr>
          <w:lang w:val="en-US"/>
        </w:rPr>
        <w:t xml:space="preserve"> </w:t>
      </w:r>
      <w:r w:rsidR="00B76571">
        <w:rPr>
          <w:lang w:val="en-US"/>
        </w:rPr>
        <w:t xml:space="preserve">Finally, this notice </w:t>
      </w:r>
      <w:r w:rsidR="0017684A">
        <w:rPr>
          <w:lang w:val="en-US"/>
        </w:rPr>
        <w:t>clarifie</w:t>
      </w:r>
      <w:r w:rsidR="00AE34C5">
        <w:rPr>
          <w:lang w:val="en-US"/>
        </w:rPr>
        <w:t>s that</w:t>
      </w:r>
      <w:r w:rsidR="00B76571">
        <w:rPr>
          <w:lang w:val="en-US"/>
        </w:rPr>
        <w:t xml:space="preserve"> </w:t>
      </w:r>
      <w:r w:rsidR="005C1CDE">
        <w:rPr>
          <w:lang w:val="en-US"/>
        </w:rPr>
        <w:t xml:space="preserve">recently </w:t>
      </w:r>
      <w:r w:rsidR="0017684A">
        <w:rPr>
          <w:lang w:val="en-US"/>
        </w:rPr>
        <w:t xml:space="preserve">announced </w:t>
      </w:r>
      <w:r w:rsidR="00A567EB">
        <w:rPr>
          <w:lang w:val="en-US"/>
        </w:rPr>
        <w:t>exemption</w:t>
      </w:r>
      <w:r w:rsidR="00A40E4E">
        <w:rPr>
          <w:lang w:val="en-US"/>
        </w:rPr>
        <w:t>s</w:t>
      </w:r>
      <w:r w:rsidR="00A567EB">
        <w:rPr>
          <w:lang w:val="en-US"/>
        </w:rPr>
        <w:t xml:space="preserve"> for </w:t>
      </w:r>
      <w:r w:rsidR="00A40E4E">
        <w:rPr>
          <w:lang w:val="en-US"/>
        </w:rPr>
        <w:t>high deductible health plans (HDHPs)</w:t>
      </w:r>
      <w:r w:rsidR="005C1CDE">
        <w:rPr>
          <w:lang w:val="en-US"/>
        </w:rPr>
        <w:t xml:space="preserve"> to remain</w:t>
      </w:r>
      <w:r w:rsidR="000741F9">
        <w:rPr>
          <w:lang w:val="en-US"/>
        </w:rPr>
        <w:t xml:space="preserve"> HSA</w:t>
      </w:r>
      <w:r w:rsidR="005C1CDE">
        <w:rPr>
          <w:lang w:val="en-US"/>
        </w:rPr>
        <w:t xml:space="preserve"> qualified</w:t>
      </w:r>
      <w:r w:rsidR="00A40E4E">
        <w:rPr>
          <w:lang w:val="en-US"/>
        </w:rPr>
        <w:t xml:space="preserve"> </w:t>
      </w:r>
      <w:r w:rsidR="00AE34C5">
        <w:rPr>
          <w:lang w:val="en-US"/>
        </w:rPr>
        <w:t xml:space="preserve">apply retroactively to January 1, 2020. </w:t>
      </w:r>
    </w:p>
    <w:p w14:paraId="054F2ABA" w14:textId="4926D472" w:rsidR="00602B99" w:rsidRDefault="00602B99" w:rsidP="00D20E25">
      <w:pPr>
        <w:pStyle w:val="MediumGrid2-Accent11"/>
        <w:rPr>
          <w:lang w:val="en-US"/>
        </w:rPr>
      </w:pPr>
    </w:p>
    <w:p w14:paraId="71B10010" w14:textId="23F5663B" w:rsidR="00602B99" w:rsidRDefault="001B72E7" w:rsidP="00D20E25">
      <w:pPr>
        <w:pStyle w:val="MediumGrid2-Accent11"/>
        <w:rPr>
          <w:lang w:val="en-US"/>
        </w:rPr>
      </w:pPr>
      <w:r>
        <w:rPr>
          <w:lang w:val="en-US"/>
        </w:rPr>
        <w:t>The second notice</w:t>
      </w:r>
      <w:r w:rsidR="004537E2" w:rsidRPr="004537E2">
        <w:rPr>
          <w:lang w:val="en-US"/>
        </w:rPr>
        <w:t xml:space="preserve"> increase</w:t>
      </w:r>
      <w:r w:rsidR="004537E2">
        <w:rPr>
          <w:lang w:val="en-US"/>
        </w:rPr>
        <w:t>s</w:t>
      </w:r>
      <w:r w:rsidR="004537E2" w:rsidRPr="004537E2">
        <w:rPr>
          <w:lang w:val="en-US"/>
        </w:rPr>
        <w:t xml:space="preserve"> </w:t>
      </w:r>
      <w:r w:rsidR="00ED4AA4" w:rsidRPr="00A17375">
        <w:rPr>
          <w:i/>
          <w:iCs/>
          <w:lang w:val="en-US"/>
        </w:rPr>
        <w:t>“</w:t>
      </w:r>
      <w:r w:rsidR="002E3EE6" w:rsidRPr="00A17375">
        <w:rPr>
          <w:i/>
          <w:iCs/>
          <w:lang w:val="en-US"/>
        </w:rPr>
        <w:t>the carryover limit (currently $500) of unused amounts remaining as of the end of a plan year in a health Flexible Spending Arrangement (health FSA) under a § 125 cafeteria plan that may be carried over to pay or reimburse a participant for medical care expenses incurred during the following plan year</w:t>
      </w:r>
      <w:r w:rsidR="00245D1A" w:rsidRPr="00A17375">
        <w:rPr>
          <w:i/>
          <w:iCs/>
          <w:lang w:val="en-US"/>
        </w:rPr>
        <w:t>…</w:t>
      </w:r>
      <w:r w:rsidR="00245D1A" w:rsidRPr="00A17375">
        <w:rPr>
          <w:i/>
          <w:iCs/>
          <w:lang w:val="en-US" w:eastAsia="en-US"/>
        </w:rPr>
        <w:t xml:space="preserve"> </w:t>
      </w:r>
      <w:r w:rsidR="00245D1A" w:rsidRPr="00A17375">
        <w:rPr>
          <w:i/>
          <w:iCs/>
          <w:lang w:val="en-US"/>
        </w:rPr>
        <w:t>Second, this notice clarifies the ability of a health plan to reimburse individual insurance policy premium expenses incurred prior to the beginning of the plan year for coverage provided during the plan year.”</w:t>
      </w:r>
    </w:p>
    <w:p w14:paraId="69887A68" w14:textId="77777777" w:rsidR="002D198D" w:rsidRDefault="002D198D" w:rsidP="00D20E25">
      <w:pPr>
        <w:pStyle w:val="MediumGrid2-Accent11"/>
        <w:rPr>
          <w:lang w:val="en-US"/>
        </w:rPr>
      </w:pPr>
    </w:p>
    <w:p w14:paraId="5FC4405B" w14:textId="333C0E9C" w:rsidR="005F683F" w:rsidRDefault="00944B91" w:rsidP="00D20E25">
      <w:pPr>
        <w:pStyle w:val="MediumGrid2-Accent11"/>
        <w:rPr>
          <w:b/>
          <w:bCs/>
          <w:lang w:val="en-US"/>
        </w:rPr>
      </w:pPr>
      <w:r>
        <w:rPr>
          <w:b/>
          <w:bCs/>
          <w:lang w:val="en-US"/>
        </w:rPr>
        <w:t>IRS Notice 2020-29</w:t>
      </w:r>
    </w:p>
    <w:p w14:paraId="778CF4D4" w14:textId="77777777" w:rsidR="00EC7661" w:rsidRDefault="00EC7661" w:rsidP="00D20E25">
      <w:pPr>
        <w:pStyle w:val="MediumGrid2-Accent11"/>
        <w:rPr>
          <w:lang w:val="en-US"/>
        </w:rPr>
      </w:pPr>
    </w:p>
    <w:p w14:paraId="35BC9615" w14:textId="679E4702" w:rsidR="009B3D09" w:rsidRDefault="00E629AC" w:rsidP="00C47292">
      <w:pPr>
        <w:pStyle w:val="MediumGrid2-Accent11"/>
        <w:rPr>
          <w:lang w:val="en-US"/>
        </w:rPr>
      </w:pPr>
      <w:r>
        <w:rPr>
          <w:lang w:val="en-US"/>
        </w:rPr>
        <w:t>This notice announces three changes, discussed in more detail below.</w:t>
      </w:r>
    </w:p>
    <w:p w14:paraId="3E16FF6E" w14:textId="55B2E1B9" w:rsidR="00E629AC" w:rsidRDefault="00953048" w:rsidP="00E629AC">
      <w:pPr>
        <w:pStyle w:val="MediumGrid2-Accent11"/>
        <w:numPr>
          <w:ilvl w:val="0"/>
          <w:numId w:val="43"/>
        </w:numPr>
        <w:rPr>
          <w:lang w:val="en-US"/>
        </w:rPr>
      </w:pPr>
      <w:r>
        <w:rPr>
          <w:lang w:val="en-US"/>
        </w:rPr>
        <w:t xml:space="preserve">Increased </w:t>
      </w:r>
      <w:r w:rsidR="00B47294">
        <w:rPr>
          <w:lang w:val="en-US"/>
        </w:rPr>
        <w:t>F</w:t>
      </w:r>
      <w:r>
        <w:rPr>
          <w:lang w:val="en-US"/>
        </w:rPr>
        <w:t xml:space="preserve">lexibility </w:t>
      </w:r>
      <w:r w:rsidR="00BA5209">
        <w:rPr>
          <w:lang w:val="en-US"/>
        </w:rPr>
        <w:t>in</w:t>
      </w:r>
      <w:r>
        <w:rPr>
          <w:lang w:val="en-US"/>
        </w:rPr>
        <w:t xml:space="preserve"> </w:t>
      </w:r>
      <w:r w:rsidR="00B47294">
        <w:rPr>
          <w:lang w:val="en-US"/>
        </w:rPr>
        <w:t>Permitted M</w:t>
      </w:r>
      <w:r>
        <w:rPr>
          <w:lang w:val="en-US"/>
        </w:rPr>
        <w:t xml:space="preserve">id-year </w:t>
      </w:r>
      <w:r w:rsidR="00B47294">
        <w:rPr>
          <w:lang w:val="en-US"/>
        </w:rPr>
        <w:t>E</w:t>
      </w:r>
      <w:r>
        <w:rPr>
          <w:lang w:val="en-US"/>
        </w:rPr>
        <w:t xml:space="preserve">lection </w:t>
      </w:r>
      <w:r w:rsidR="00B47294">
        <w:rPr>
          <w:lang w:val="en-US"/>
        </w:rPr>
        <w:t>C</w:t>
      </w:r>
      <w:r>
        <w:rPr>
          <w:lang w:val="en-US"/>
        </w:rPr>
        <w:t xml:space="preserve">hanges </w:t>
      </w:r>
      <w:r w:rsidR="00BA5209">
        <w:rPr>
          <w:lang w:val="en-US"/>
        </w:rPr>
        <w:t xml:space="preserve">for </w:t>
      </w:r>
      <w:r w:rsidR="00C50E3C">
        <w:rPr>
          <w:lang w:val="en-US"/>
        </w:rPr>
        <w:t>E</w:t>
      </w:r>
      <w:r w:rsidR="00BA5209">
        <w:rPr>
          <w:lang w:val="en-US"/>
        </w:rPr>
        <w:t>mployer</w:t>
      </w:r>
      <w:r w:rsidR="006A612B">
        <w:rPr>
          <w:lang w:val="en-US"/>
        </w:rPr>
        <w:t>-</w:t>
      </w:r>
      <w:r w:rsidR="00C50E3C">
        <w:rPr>
          <w:lang w:val="en-US"/>
        </w:rPr>
        <w:t>S</w:t>
      </w:r>
      <w:r w:rsidR="00BA5209">
        <w:rPr>
          <w:lang w:val="en-US"/>
        </w:rPr>
        <w:t xml:space="preserve">ponsored </w:t>
      </w:r>
      <w:r w:rsidR="00C50E3C">
        <w:rPr>
          <w:lang w:val="en-US"/>
        </w:rPr>
        <w:t>H</w:t>
      </w:r>
      <w:r w:rsidR="00BA5209">
        <w:rPr>
          <w:lang w:val="en-US"/>
        </w:rPr>
        <w:t xml:space="preserve">ealth </w:t>
      </w:r>
      <w:r w:rsidR="00C50E3C">
        <w:rPr>
          <w:lang w:val="en-US"/>
        </w:rPr>
        <w:t>C</w:t>
      </w:r>
      <w:r w:rsidR="00BA5209">
        <w:rPr>
          <w:lang w:val="en-US"/>
        </w:rPr>
        <w:t>overage, Health FSAs</w:t>
      </w:r>
      <w:r w:rsidR="00D541AD">
        <w:rPr>
          <w:lang w:val="en-US"/>
        </w:rPr>
        <w:t>, and DCAPs</w:t>
      </w:r>
    </w:p>
    <w:p w14:paraId="60F90621" w14:textId="0CB32741" w:rsidR="00D541AD" w:rsidRDefault="00B47294" w:rsidP="00E629AC">
      <w:pPr>
        <w:pStyle w:val="MediumGrid2-Accent11"/>
        <w:numPr>
          <w:ilvl w:val="0"/>
          <w:numId w:val="43"/>
        </w:numPr>
        <w:rPr>
          <w:lang w:val="en-US"/>
        </w:rPr>
      </w:pPr>
      <w:r w:rsidRPr="00B47294">
        <w:rPr>
          <w:lang w:val="en-US"/>
        </w:rPr>
        <w:t xml:space="preserve">Extended Claims Period for Health FSAs and </w:t>
      </w:r>
      <w:r w:rsidR="00C15765">
        <w:rPr>
          <w:lang w:val="en-US"/>
        </w:rPr>
        <w:t>DCAPs</w:t>
      </w:r>
    </w:p>
    <w:p w14:paraId="0E8700FB" w14:textId="543973CF" w:rsidR="00CC613A" w:rsidRPr="00730829" w:rsidRDefault="00A31DD7" w:rsidP="00CC613A">
      <w:pPr>
        <w:pStyle w:val="MediumGrid2-Accent11"/>
        <w:numPr>
          <w:ilvl w:val="0"/>
          <w:numId w:val="43"/>
        </w:numPr>
        <w:rPr>
          <w:lang w:val="en-US"/>
        </w:rPr>
      </w:pPr>
      <w:r>
        <w:rPr>
          <w:lang w:val="en-US"/>
        </w:rPr>
        <w:t>Retroactive Application of HDHP Exemptions</w:t>
      </w:r>
    </w:p>
    <w:p w14:paraId="2FC57820" w14:textId="77777777" w:rsidR="00CC613A" w:rsidRPr="00CC613A" w:rsidRDefault="00CC613A" w:rsidP="00CC613A">
      <w:pPr>
        <w:pStyle w:val="MediumGrid2-Accent11"/>
      </w:pPr>
    </w:p>
    <w:p w14:paraId="11202E9C" w14:textId="17DE729B" w:rsidR="00F564E2" w:rsidRDefault="00CC613A" w:rsidP="00CC613A">
      <w:pPr>
        <w:pStyle w:val="MediumGrid2-Accent11"/>
        <w:rPr>
          <w:lang w:val="en-US"/>
        </w:rPr>
      </w:pPr>
      <w:r w:rsidRPr="00CC613A">
        <w:rPr>
          <w:lang w:val="en-US"/>
        </w:rPr>
        <w:t xml:space="preserve">This relief applies only to calendar year 2020. </w:t>
      </w:r>
      <w:r w:rsidR="003E6764">
        <w:rPr>
          <w:lang w:val="en-US"/>
        </w:rPr>
        <w:t>Further,</w:t>
      </w:r>
      <w:r w:rsidRPr="00CC613A">
        <w:rPr>
          <w:lang w:val="en-US"/>
        </w:rPr>
        <w:t xml:space="preserve"> while midyear changes permitted in accordance with this new relief are permitted </w:t>
      </w:r>
      <w:r w:rsidR="00265D3F">
        <w:rPr>
          <w:lang w:val="en-US"/>
        </w:rPr>
        <w:t xml:space="preserve">only </w:t>
      </w:r>
      <w:r w:rsidRPr="00CC613A">
        <w:rPr>
          <w:lang w:val="en-US"/>
        </w:rPr>
        <w:t xml:space="preserve">on a prospective basis, the relief itself </w:t>
      </w:r>
      <w:r w:rsidR="00A56B55">
        <w:rPr>
          <w:lang w:val="en-US"/>
        </w:rPr>
        <w:t>applies</w:t>
      </w:r>
      <w:r w:rsidRPr="00CC613A">
        <w:rPr>
          <w:lang w:val="en-US"/>
        </w:rPr>
        <w:t xml:space="preserve"> retroactively to January 1, 2020. In other words, the </w:t>
      </w:r>
      <w:r w:rsidR="00A56B55">
        <w:rPr>
          <w:lang w:val="en-US"/>
        </w:rPr>
        <w:t>notice</w:t>
      </w:r>
      <w:r w:rsidRPr="00CC613A">
        <w:rPr>
          <w:lang w:val="en-US"/>
        </w:rPr>
        <w:t xml:space="preserve"> clarifies that changes made before this </w:t>
      </w:r>
      <w:r w:rsidR="00624D50">
        <w:rPr>
          <w:lang w:val="en-US"/>
        </w:rPr>
        <w:t>relief</w:t>
      </w:r>
      <w:r w:rsidRPr="00CC613A">
        <w:rPr>
          <w:lang w:val="en-US"/>
        </w:rPr>
        <w:t xml:space="preserve"> was released (back to January 1, 2020), which otherwise would have been a violation of the irrevocability rule under Section 125, will also be considered compliant if they comply with this new guidance. </w:t>
      </w:r>
    </w:p>
    <w:p w14:paraId="59515A9D" w14:textId="77777777" w:rsidR="00F564E2" w:rsidRDefault="00F564E2" w:rsidP="00CC613A">
      <w:pPr>
        <w:pStyle w:val="MediumGrid2-Accent11"/>
        <w:rPr>
          <w:lang w:val="en-US"/>
        </w:rPr>
      </w:pPr>
    </w:p>
    <w:p w14:paraId="0A34B393" w14:textId="4BDF6E1D" w:rsidR="00CC613A" w:rsidRPr="000D535B" w:rsidRDefault="00CC613A" w:rsidP="00CC613A">
      <w:pPr>
        <w:pStyle w:val="MediumGrid2-Accent11"/>
      </w:pPr>
      <w:r w:rsidRPr="00CC613A">
        <w:rPr>
          <w:lang w:val="en-US"/>
        </w:rPr>
        <w:t>The notice also clarifies that employer</w:t>
      </w:r>
      <w:r w:rsidR="004851BB">
        <w:rPr>
          <w:lang w:val="en-US"/>
        </w:rPr>
        <w:t>s</w:t>
      </w:r>
      <w:r w:rsidRPr="00CC613A">
        <w:rPr>
          <w:lang w:val="en-US"/>
        </w:rPr>
        <w:t xml:space="preserve"> </w:t>
      </w:r>
      <w:r w:rsidR="004851BB">
        <w:rPr>
          <w:lang w:val="en-US"/>
        </w:rPr>
        <w:t>are</w:t>
      </w:r>
      <w:r w:rsidRPr="00CC613A">
        <w:rPr>
          <w:lang w:val="en-US"/>
        </w:rPr>
        <w:t xml:space="preserve"> able to use </w:t>
      </w:r>
      <w:r w:rsidR="004851BB">
        <w:rPr>
          <w:lang w:val="en-US"/>
        </w:rPr>
        <w:t>their</w:t>
      </w:r>
      <w:r w:rsidRPr="00CC613A">
        <w:rPr>
          <w:lang w:val="en-US"/>
        </w:rPr>
        <w:t xml:space="preserve"> discretion when determining the extent to which </w:t>
      </w:r>
      <w:r w:rsidR="004851BB">
        <w:rPr>
          <w:lang w:val="en-US"/>
        </w:rPr>
        <w:t>they</w:t>
      </w:r>
      <w:r w:rsidRPr="00CC613A">
        <w:rPr>
          <w:lang w:val="en-US"/>
        </w:rPr>
        <w:t xml:space="preserve"> will permit</w:t>
      </w:r>
      <w:r w:rsidR="00F364AB">
        <w:rPr>
          <w:lang w:val="en-US"/>
        </w:rPr>
        <w:t xml:space="preserve"> midyear</w:t>
      </w:r>
      <w:r w:rsidRPr="00CC613A">
        <w:rPr>
          <w:lang w:val="en-US"/>
        </w:rPr>
        <w:t xml:space="preserve"> changes</w:t>
      </w:r>
      <w:r w:rsidR="00624D50">
        <w:rPr>
          <w:lang w:val="en-US"/>
        </w:rPr>
        <w:t xml:space="preserve"> or extended claims periods</w:t>
      </w:r>
      <w:r w:rsidRPr="00CC613A">
        <w:rPr>
          <w:lang w:val="en-US"/>
        </w:rPr>
        <w:t xml:space="preserve"> in accordance with this new guidance</w:t>
      </w:r>
      <w:r w:rsidR="00624D50">
        <w:rPr>
          <w:lang w:val="en-US"/>
        </w:rPr>
        <w:t>.</w:t>
      </w:r>
      <w:r w:rsidR="00F564E2">
        <w:rPr>
          <w:lang w:val="en-US"/>
        </w:rPr>
        <w:t xml:space="preserve"> </w:t>
      </w:r>
      <w:r w:rsidR="00535872">
        <w:rPr>
          <w:lang w:val="en-US"/>
        </w:rPr>
        <w:t xml:space="preserve">To this point, employers may want to consider </w:t>
      </w:r>
      <w:r w:rsidR="00B654BF">
        <w:rPr>
          <w:lang w:val="en-US"/>
        </w:rPr>
        <w:t xml:space="preserve">adverse selection </w:t>
      </w:r>
      <w:r w:rsidR="00B76101">
        <w:rPr>
          <w:lang w:val="en-US"/>
        </w:rPr>
        <w:t xml:space="preserve">consequences potentially associated with permitting certain changes. Further, </w:t>
      </w:r>
      <w:r w:rsidR="000D535B">
        <w:rPr>
          <w:lang w:val="en-US"/>
        </w:rPr>
        <w:t>a</w:t>
      </w:r>
      <w:r w:rsidR="000D535B" w:rsidRPr="000D535B">
        <w:t>llowing extended time to use unused</w:t>
      </w:r>
      <w:r w:rsidR="00862FF0">
        <w:rPr>
          <w:lang w:val="en-US"/>
        </w:rPr>
        <w:t xml:space="preserve"> health</w:t>
      </w:r>
      <w:r w:rsidR="000D535B" w:rsidRPr="000D535B">
        <w:t xml:space="preserve"> FSA amounts through the end of 2020 </w:t>
      </w:r>
      <w:r w:rsidR="00E46632">
        <w:rPr>
          <w:lang w:val="en-US"/>
        </w:rPr>
        <w:t>may</w:t>
      </w:r>
      <w:r w:rsidR="000D535B" w:rsidRPr="000D535B">
        <w:t xml:space="preserve"> impact HSA</w:t>
      </w:r>
      <w:r w:rsidR="00265D3F">
        <w:rPr>
          <w:lang w:val="en-US"/>
        </w:rPr>
        <w:t xml:space="preserve"> </w:t>
      </w:r>
      <w:r w:rsidR="000D535B" w:rsidRPr="000D535B">
        <w:t>eligibility.</w:t>
      </w:r>
      <w:r w:rsidR="000D535B">
        <w:rPr>
          <w:lang w:val="en-US"/>
        </w:rPr>
        <w:t xml:space="preserve"> </w:t>
      </w:r>
      <w:r w:rsidR="00B052A9">
        <w:rPr>
          <w:lang w:val="en-US"/>
        </w:rPr>
        <w:t xml:space="preserve">However, if the employer does intend to permit changes in accordance with this guidance, they will be required to notify plan participants and amend plan documents. </w:t>
      </w:r>
      <w:r w:rsidR="00FF5E8D">
        <w:rPr>
          <w:lang w:val="en-US"/>
        </w:rPr>
        <w:t>Plan documents should be amended by December 31, 2021</w:t>
      </w:r>
      <w:r w:rsidR="00265D3F">
        <w:rPr>
          <w:lang w:val="en-US"/>
        </w:rPr>
        <w:t>,</w:t>
      </w:r>
      <w:r w:rsidR="00FF5E8D">
        <w:rPr>
          <w:lang w:val="en-US"/>
        </w:rPr>
        <w:t xml:space="preserve"> and are permitted to have a retroactive effect back to January 1, 2020.</w:t>
      </w:r>
    </w:p>
    <w:p w14:paraId="33A894E7" w14:textId="77777777" w:rsidR="00EC7661" w:rsidRDefault="00EC7661" w:rsidP="00D20E25">
      <w:pPr>
        <w:pStyle w:val="MediumGrid2-Accent11"/>
        <w:rPr>
          <w:lang w:val="en-US"/>
        </w:rPr>
      </w:pPr>
    </w:p>
    <w:p w14:paraId="6B35CF9C" w14:textId="36DA73D9" w:rsidR="007F74EB" w:rsidRDefault="00350918" w:rsidP="00D20E25">
      <w:pPr>
        <w:pStyle w:val="MediumGrid2-Accent11"/>
        <w:rPr>
          <w:u w:val="single"/>
          <w:lang w:val="en-US"/>
        </w:rPr>
      </w:pPr>
      <w:r>
        <w:rPr>
          <w:u w:val="single"/>
          <w:lang w:val="en-US"/>
        </w:rPr>
        <w:t xml:space="preserve">Increased Flexibility in Permitted </w:t>
      </w:r>
      <w:r w:rsidR="0022650E">
        <w:rPr>
          <w:u w:val="single"/>
          <w:lang w:val="en-US"/>
        </w:rPr>
        <w:t>Mid-year Election Changes</w:t>
      </w:r>
    </w:p>
    <w:p w14:paraId="759B103D" w14:textId="58CAEE24" w:rsidR="00C15765" w:rsidRDefault="00C15765" w:rsidP="00D20E25">
      <w:pPr>
        <w:pStyle w:val="MediumGrid2-Accent11"/>
        <w:rPr>
          <w:u w:val="single"/>
          <w:lang w:val="en-US"/>
        </w:rPr>
      </w:pPr>
    </w:p>
    <w:p w14:paraId="7C1ED030" w14:textId="6B9F56F3" w:rsidR="00C15765" w:rsidRDefault="00C32363" w:rsidP="00D20E25">
      <w:pPr>
        <w:pStyle w:val="MediumGrid2-Accent11"/>
        <w:rPr>
          <w:lang w:val="en-US"/>
        </w:rPr>
      </w:pPr>
      <w:r>
        <w:rPr>
          <w:lang w:val="en-US"/>
        </w:rPr>
        <w:t>The IRS recognizes</w:t>
      </w:r>
      <w:r w:rsidR="008D768E">
        <w:rPr>
          <w:lang w:val="en-US"/>
        </w:rPr>
        <w:t xml:space="preserve"> that the scenarios </w:t>
      </w:r>
      <w:r w:rsidR="00265D3F">
        <w:rPr>
          <w:lang w:val="en-US"/>
        </w:rPr>
        <w:t>that</w:t>
      </w:r>
      <w:r w:rsidR="008D768E">
        <w:rPr>
          <w:lang w:val="en-US"/>
        </w:rPr>
        <w:t xml:space="preserve"> currently permit midyear pre-tax election cha</w:t>
      </w:r>
      <w:r w:rsidR="00B97972">
        <w:rPr>
          <w:lang w:val="en-US"/>
        </w:rPr>
        <w:t>ng</w:t>
      </w:r>
      <w:r w:rsidR="008D768E">
        <w:rPr>
          <w:lang w:val="en-US"/>
        </w:rPr>
        <w:t xml:space="preserve">es as set forth in Section 125 of the tax code </w:t>
      </w:r>
      <w:r w:rsidR="000F77C9" w:rsidRPr="00A17375">
        <w:rPr>
          <w:i/>
          <w:iCs/>
          <w:lang w:val="en-US"/>
        </w:rPr>
        <w:t>“may not apply with respect to election changes that employees may wish to request for employer-sponsored health coverage, health FSAs, and dependent care assistance programs for reasons related to the COVID-19 public health emergency.”</w:t>
      </w:r>
      <w:r w:rsidR="00FB1588">
        <w:rPr>
          <w:lang w:val="en-US"/>
        </w:rPr>
        <w:t xml:space="preserve"> </w:t>
      </w:r>
      <w:r w:rsidR="00726A16">
        <w:rPr>
          <w:lang w:val="en-US"/>
        </w:rPr>
        <w:t xml:space="preserve">For example, but for this added flexibility, changes would not be permitted </w:t>
      </w:r>
      <w:r w:rsidR="00265D3F">
        <w:rPr>
          <w:lang w:val="en-US"/>
        </w:rPr>
        <w:t>arising from</w:t>
      </w:r>
      <w:r w:rsidR="006257AB">
        <w:rPr>
          <w:lang w:val="en-US"/>
        </w:rPr>
        <w:t xml:space="preserve"> an employee</w:t>
      </w:r>
      <w:r w:rsidR="00277595">
        <w:rPr>
          <w:lang w:val="en-US"/>
        </w:rPr>
        <w:t>’</w:t>
      </w:r>
      <w:r w:rsidR="006257AB">
        <w:rPr>
          <w:lang w:val="en-US"/>
        </w:rPr>
        <w:t>s increase or decrease in</w:t>
      </w:r>
      <w:r w:rsidR="00761AB3">
        <w:rPr>
          <w:lang w:val="en-US"/>
        </w:rPr>
        <w:t xml:space="preserve"> medical expenses </w:t>
      </w:r>
      <w:r w:rsidR="00C630AF" w:rsidRPr="00A17375">
        <w:rPr>
          <w:i/>
          <w:iCs/>
          <w:lang w:val="en-US"/>
        </w:rPr>
        <w:t>“</w:t>
      </w:r>
      <w:r w:rsidR="00761AB3" w:rsidRPr="00A17375">
        <w:rPr>
          <w:i/>
          <w:iCs/>
          <w:lang w:val="en-US"/>
        </w:rPr>
        <w:t xml:space="preserve">due </w:t>
      </w:r>
      <w:r w:rsidR="00C630AF" w:rsidRPr="00A17375">
        <w:rPr>
          <w:i/>
          <w:iCs/>
          <w:lang w:val="en-US"/>
        </w:rPr>
        <w:t>to unanticipated changes in the need for or availability of medical care.”</w:t>
      </w:r>
      <w:r w:rsidR="00803BFD">
        <w:rPr>
          <w:lang w:val="en-US"/>
        </w:rPr>
        <w:t xml:space="preserve"> </w:t>
      </w:r>
      <w:r w:rsidR="001C66BB">
        <w:rPr>
          <w:lang w:val="en-US"/>
        </w:rPr>
        <w:t xml:space="preserve">In response, </w:t>
      </w:r>
      <w:r w:rsidR="00CF0101">
        <w:rPr>
          <w:lang w:val="en-US"/>
        </w:rPr>
        <w:t>the I</w:t>
      </w:r>
      <w:r w:rsidR="00711EB9">
        <w:rPr>
          <w:lang w:val="en-US"/>
        </w:rPr>
        <w:t>RS</w:t>
      </w:r>
      <w:r w:rsidR="00D8313F">
        <w:rPr>
          <w:lang w:val="en-US"/>
        </w:rPr>
        <w:t xml:space="preserve"> has provided </w:t>
      </w:r>
      <w:r w:rsidR="00B222FC">
        <w:rPr>
          <w:lang w:val="en-US"/>
        </w:rPr>
        <w:t xml:space="preserve">temporary flexibility for plan sponsors who wish to permit employees to make changes outside of the </w:t>
      </w:r>
      <w:r w:rsidR="0084554D">
        <w:rPr>
          <w:lang w:val="en-US"/>
        </w:rPr>
        <w:t xml:space="preserve">scenarios that traditionally permit a midyear election change. </w:t>
      </w:r>
    </w:p>
    <w:p w14:paraId="4C911357" w14:textId="77777777" w:rsidR="00BE13D1" w:rsidRDefault="00BE13D1" w:rsidP="00D20E25">
      <w:pPr>
        <w:pStyle w:val="MediumGrid2-Accent11"/>
        <w:rPr>
          <w:lang w:val="en-US"/>
        </w:rPr>
      </w:pPr>
    </w:p>
    <w:p w14:paraId="7DF6C372" w14:textId="7C43B559" w:rsidR="00C52050" w:rsidRPr="00A17375" w:rsidRDefault="00C52050" w:rsidP="00D20E25">
      <w:pPr>
        <w:pStyle w:val="MediumGrid2-Accent11"/>
        <w:rPr>
          <w:i/>
          <w:iCs/>
          <w:lang w:val="en-US"/>
        </w:rPr>
      </w:pPr>
      <w:r w:rsidRPr="00A17375">
        <w:rPr>
          <w:i/>
          <w:iCs/>
          <w:lang w:val="en-US"/>
        </w:rPr>
        <w:lastRenderedPageBreak/>
        <w:t xml:space="preserve">“In particular, an employer may amend one or more of its § 125 cafeteria plans to allow employees to: </w:t>
      </w:r>
    </w:p>
    <w:p w14:paraId="2EF2E26F" w14:textId="77777777" w:rsidR="00BE13D1" w:rsidRPr="00A17375" w:rsidRDefault="00BE13D1" w:rsidP="00D20E25">
      <w:pPr>
        <w:pStyle w:val="MediumGrid2-Accent11"/>
        <w:rPr>
          <w:i/>
          <w:iCs/>
          <w:lang w:val="en-US"/>
        </w:rPr>
      </w:pPr>
    </w:p>
    <w:p w14:paraId="62591482" w14:textId="77777777" w:rsidR="00686BD5" w:rsidRPr="00A17375" w:rsidRDefault="00C52050" w:rsidP="00D20E25">
      <w:pPr>
        <w:pStyle w:val="MediumGrid2-Accent11"/>
        <w:numPr>
          <w:ilvl w:val="0"/>
          <w:numId w:val="45"/>
        </w:numPr>
        <w:rPr>
          <w:i/>
          <w:iCs/>
          <w:lang w:val="en-US"/>
        </w:rPr>
      </w:pPr>
      <w:r w:rsidRPr="00A17375">
        <w:rPr>
          <w:i/>
          <w:iCs/>
          <w:lang w:val="en-US"/>
        </w:rPr>
        <w:t>make a new election for employer</w:t>
      </w:r>
      <w:r w:rsidR="006A612B" w:rsidRPr="00A17375">
        <w:rPr>
          <w:i/>
          <w:iCs/>
          <w:lang w:val="en-US"/>
        </w:rPr>
        <w:t>-</w:t>
      </w:r>
      <w:r w:rsidRPr="00A17375">
        <w:rPr>
          <w:i/>
          <w:iCs/>
          <w:lang w:val="en-US"/>
        </w:rPr>
        <w:t xml:space="preserve">sponsored health coverage on a prospective basis, if the employee initially declined to elect employer-sponsored health coverage; </w:t>
      </w:r>
    </w:p>
    <w:p w14:paraId="3B30BF32" w14:textId="77777777" w:rsidR="00686BD5" w:rsidRPr="00A17375" w:rsidRDefault="00C52050" w:rsidP="00D20E25">
      <w:pPr>
        <w:pStyle w:val="MediumGrid2-Accent11"/>
        <w:numPr>
          <w:ilvl w:val="0"/>
          <w:numId w:val="45"/>
        </w:numPr>
        <w:rPr>
          <w:i/>
          <w:iCs/>
          <w:lang w:val="en-US"/>
        </w:rPr>
      </w:pPr>
      <w:r w:rsidRPr="00A17375">
        <w:rPr>
          <w:i/>
          <w:iCs/>
          <w:lang w:val="en-US"/>
        </w:rPr>
        <w:t>revoke an existing election for employer</w:t>
      </w:r>
      <w:r w:rsidR="00CE0674" w:rsidRPr="00A17375">
        <w:rPr>
          <w:i/>
          <w:iCs/>
          <w:lang w:val="en-US"/>
        </w:rPr>
        <w:t>-</w:t>
      </w:r>
      <w:r w:rsidRPr="00A17375">
        <w:rPr>
          <w:i/>
          <w:iCs/>
          <w:lang w:val="en-US"/>
        </w:rPr>
        <w:t xml:space="preserve">sponsored health coverage and make a new election to enroll in different health coverage sponsored by the same employer on a prospective basis (including changing enrollment from self-only coverage to family coverage); </w:t>
      </w:r>
    </w:p>
    <w:p w14:paraId="2BCD8A27" w14:textId="77777777" w:rsidR="00686BD5" w:rsidRPr="00A17375" w:rsidRDefault="00C52050" w:rsidP="00D20E25">
      <w:pPr>
        <w:pStyle w:val="MediumGrid2-Accent11"/>
        <w:numPr>
          <w:ilvl w:val="0"/>
          <w:numId w:val="45"/>
        </w:numPr>
        <w:rPr>
          <w:i/>
          <w:iCs/>
          <w:lang w:val="en-US"/>
        </w:rPr>
      </w:pPr>
      <w:r w:rsidRPr="00A17375">
        <w:rPr>
          <w:i/>
          <w:iCs/>
          <w:lang w:val="en-US"/>
        </w:rPr>
        <w:t xml:space="preserve">revoke an existing election for employer-sponsored health coverage on a prospective basis, provided that the employee attests in writing that the employee is enrolled, or immediately will enroll, in other health coverage not sponsored by the employer; </w:t>
      </w:r>
    </w:p>
    <w:p w14:paraId="41ED50A5" w14:textId="77777777" w:rsidR="00686BD5" w:rsidRPr="00A17375" w:rsidRDefault="00C52050" w:rsidP="00D20E25">
      <w:pPr>
        <w:pStyle w:val="MediumGrid2-Accent11"/>
        <w:numPr>
          <w:ilvl w:val="0"/>
          <w:numId w:val="45"/>
        </w:numPr>
        <w:rPr>
          <w:i/>
          <w:iCs/>
          <w:lang w:val="en-US"/>
        </w:rPr>
      </w:pPr>
      <w:r w:rsidRPr="00A17375">
        <w:rPr>
          <w:i/>
          <w:iCs/>
          <w:lang w:val="en-US"/>
        </w:rPr>
        <w:t xml:space="preserve">revoke an election, make a new election, or decrease or increase an existing election regarding a health FSA on a prospective basis; and </w:t>
      </w:r>
    </w:p>
    <w:p w14:paraId="3D8C54B9" w14:textId="71115B6D" w:rsidR="00C52050" w:rsidRPr="00686BD5" w:rsidRDefault="00C52050" w:rsidP="00D20E25">
      <w:pPr>
        <w:pStyle w:val="MediumGrid2-Accent11"/>
        <w:numPr>
          <w:ilvl w:val="0"/>
          <w:numId w:val="45"/>
        </w:numPr>
        <w:rPr>
          <w:lang w:val="en-US"/>
        </w:rPr>
      </w:pPr>
      <w:r w:rsidRPr="00A17375">
        <w:rPr>
          <w:i/>
          <w:iCs/>
          <w:lang w:val="en-US"/>
        </w:rPr>
        <w:t>revoke an election, make a new election, or decrease or increase an existing election regarding a dependent care assistance program on a prospective basis.”</w:t>
      </w:r>
    </w:p>
    <w:p w14:paraId="17180150" w14:textId="77777777" w:rsidR="00C52050" w:rsidRDefault="00C52050" w:rsidP="00D20E25">
      <w:pPr>
        <w:pStyle w:val="MediumGrid2-Accent11"/>
        <w:rPr>
          <w:lang w:val="en-US"/>
        </w:rPr>
      </w:pPr>
    </w:p>
    <w:p w14:paraId="25D5C49E" w14:textId="5AD78CC1" w:rsidR="00A840CD" w:rsidRDefault="00D33755" w:rsidP="00D20E25">
      <w:pPr>
        <w:pStyle w:val="MediumGrid2-Accent11"/>
        <w:rPr>
          <w:u w:val="single"/>
          <w:lang w:val="en-US"/>
        </w:rPr>
      </w:pPr>
      <w:r>
        <w:rPr>
          <w:lang w:val="en-US"/>
        </w:rPr>
        <w:t xml:space="preserve">As </w:t>
      </w:r>
      <w:r w:rsidR="00580B02">
        <w:rPr>
          <w:lang w:val="en-US"/>
        </w:rPr>
        <w:t>reflected in th</w:t>
      </w:r>
      <w:r w:rsidR="0076006A">
        <w:rPr>
          <w:lang w:val="en-US"/>
        </w:rPr>
        <w:t>e</w:t>
      </w:r>
      <w:r w:rsidR="00580B02">
        <w:rPr>
          <w:lang w:val="en-US"/>
        </w:rPr>
        <w:t xml:space="preserve"> list above, there are more conditions</w:t>
      </w:r>
      <w:r w:rsidR="00A97030">
        <w:rPr>
          <w:lang w:val="en-US"/>
        </w:rPr>
        <w:t xml:space="preserve"> </w:t>
      </w:r>
      <w:r w:rsidR="00B925C8">
        <w:rPr>
          <w:lang w:val="en-US"/>
        </w:rPr>
        <w:t xml:space="preserve">associated with </w:t>
      </w:r>
      <w:r w:rsidR="00580B02">
        <w:rPr>
          <w:lang w:val="en-US"/>
        </w:rPr>
        <w:t>when an employee is permitted to change their enrollment in employer</w:t>
      </w:r>
      <w:r w:rsidR="006A612B">
        <w:rPr>
          <w:lang w:val="en-US"/>
        </w:rPr>
        <w:t>-</w:t>
      </w:r>
      <w:r w:rsidR="00580B02">
        <w:rPr>
          <w:lang w:val="en-US"/>
        </w:rPr>
        <w:t>sponsored health coverage than are</w:t>
      </w:r>
      <w:r w:rsidR="0076006A">
        <w:rPr>
          <w:lang w:val="en-US"/>
        </w:rPr>
        <w:t xml:space="preserve"> required of changes made to health FSAs or DCAPs. In other words, this notice provides for greater flexibility to change elections under health FSAs and DCAPs</w:t>
      </w:r>
      <w:r w:rsidR="00056425">
        <w:rPr>
          <w:lang w:val="en-US"/>
        </w:rPr>
        <w:t>,</w:t>
      </w:r>
      <w:r w:rsidR="0076006A">
        <w:rPr>
          <w:lang w:val="en-US"/>
        </w:rPr>
        <w:t xml:space="preserve"> than for changes to employer</w:t>
      </w:r>
      <w:r w:rsidR="006A612B">
        <w:rPr>
          <w:lang w:val="en-US"/>
        </w:rPr>
        <w:t>-</w:t>
      </w:r>
      <w:r w:rsidR="0076006A">
        <w:rPr>
          <w:lang w:val="en-US"/>
        </w:rPr>
        <w:t>sponsored health coverage.</w:t>
      </w:r>
      <w:r w:rsidR="006E0C6C">
        <w:rPr>
          <w:lang w:val="en-US"/>
        </w:rPr>
        <w:t xml:space="preserve"> For example, </w:t>
      </w:r>
      <w:r w:rsidR="00DE14B8">
        <w:rPr>
          <w:lang w:val="en-US"/>
        </w:rPr>
        <w:t xml:space="preserve">an employee is permitted to terminate their </w:t>
      </w:r>
      <w:r w:rsidR="00CE0674">
        <w:rPr>
          <w:lang w:val="en-US"/>
        </w:rPr>
        <w:t>employer-spo</w:t>
      </w:r>
      <w:r w:rsidR="00693AF0">
        <w:rPr>
          <w:lang w:val="en-US"/>
        </w:rPr>
        <w:t>nsored</w:t>
      </w:r>
      <w:r w:rsidR="00CE0674">
        <w:rPr>
          <w:lang w:val="en-US"/>
        </w:rPr>
        <w:t xml:space="preserve"> </w:t>
      </w:r>
      <w:r w:rsidR="00DE14B8">
        <w:rPr>
          <w:lang w:val="en-US"/>
        </w:rPr>
        <w:t>health coverage</w:t>
      </w:r>
      <w:r w:rsidR="00693AF0">
        <w:rPr>
          <w:lang w:val="en-US"/>
        </w:rPr>
        <w:t xml:space="preserve"> </w:t>
      </w:r>
      <w:r w:rsidR="00265D3F">
        <w:rPr>
          <w:lang w:val="en-US"/>
        </w:rPr>
        <w:t xml:space="preserve">only </w:t>
      </w:r>
      <w:r w:rsidR="00693AF0">
        <w:rPr>
          <w:lang w:val="en-US"/>
        </w:rPr>
        <w:t xml:space="preserve">if they will be enrolling in </w:t>
      </w:r>
      <w:r w:rsidR="00E60796">
        <w:rPr>
          <w:lang w:val="en-US"/>
        </w:rPr>
        <w:t>other health coverage not sponsored by the employer. The</w:t>
      </w:r>
      <w:r w:rsidR="00C45660">
        <w:rPr>
          <w:lang w:val="en-US"/>
        </w:rPr>
        <w:t>refore, the</w:t>
      </w:r>
      <w:r w:rsidR="00E60796">
        <w:rPr>
          <w:lang w:val="en-US"/>
        </w:rPr>
        <w:t xml:space="preserve"> notice</w:t>
      </w:r>
      <w:r w:rsidR="00580B02">
        <w:rPr>
          <w:lang w:val="en-US"/>
        </w:rPr>
        <w:t xml:space="preserve"> </w:t>
      </w:r>
      <w:r w:rsidR="008D3E3D">
        <w:rPr>
          <w:lang w:val="en-US"/>
        </w:rPr>
        <w:t xml:space="preserve">provides </w:t>
      </w:r>
      <w:r w:rsidR="005B67EC">
        <w:rPr>
          <w:lang w:val="en-US"/>
        </w:rPr>
        <w:t xml:space="preserve">a model attestation to use when </w:t>
      </w:r>
      <w:r w:rsidR="00C14EB7">
        <w:rPr>
          <w:lang w:val="en-US"/>
        </w:rPr>
        <w:t>employees request to terminate the employer’s coverage</w:t>
      </w:r>
      <w:r w:rsidR="00091B6D">
        <w:rPr>
          <w:lang w:val="en-US"/>
        </w:rPr>
        <w:t xml:space="preserve"> in order to enroll in other health coverage not sponsored by the employer.</w:t>
      </w:r>
    </w:p>
    <w:p w14:paraId="23C7FDAA" w14:textId="77777777" w:rsidR="00A840CD" w:rsidRDefault="00A840CD" w:rsidP="00D20E25">
      <w:pPr>
        <w:pStyle w:val="MediumGrid2-Accent11"/>
        <w:rPr>
          <w:u w:val="single"/>
          <w:lang w:val="en-US"/>
        </w:rPr>
      </w:pPr>
    </w:p>
    <w:p w14:paraId="567EC9D4" w14:textId="14E4ACDB" w:rsidR="00C15765" w:rsidRDefault="00C15765" w:rsidP="00D20E25">
      <w:pPr>
        <w:pStyle w:val="MediumGrid2-Accent11"/>
        <w:rPr>
          <w:u w:val="single"/>
          <w:lang w:val="en-US"/>
        </w:rPr>
      </w:pPr>
      <w:r>
        <w:rPr>
          <w:u w:val="single"/>
          <w:lang w:val="en-US"/>
        </w:rPr>
        <w:t>Extended Claims Periods for Health FSAs and DCAPs</w:t>
      </w:r>
    </w:p>
    <w:p w14:paraId="7EAADA11" w14:textId="7B7CCA70" w:rsidR="00C15765" w:rsidRDefault="00C15765" w:rsidP="00D20E25">
      <w:pPr>
        <w:pStyle w:val="MediumGrid2-Accent11"/>
        <w:rPr>
          <w:u w:val="single"/>
          <w:lang w:val="en-US"/>
        </w:rPr>
      </w:pPr>
    </w:p>
    <w:p w14:paraId="7D6F2C16" w14:textId="198D78C7" w:rsidR="00C15765" w:rsidRDefault="00052976" w:rsidP="00D20E25">
      <w:pPr>
        <w:pStyle w:val="MediumGrid2-Accent11"/>
        <w:rPr>
          <w:lang w:val="en-US"/>
        </w:rPr>
      </w:pPr>
      <w:r w:rsidRPr="00A17375">
        <w:rPr>
          <w:i/>
          <w:iCs/>
          <w:lang w:val="en-US"/>
        </w:rPr>
        <w:t>“</w:t>
      </w:r>
      <w:r w:rsidR="00E902FC" w:rsidRPr="00A17375">
        <w:rPr>
          <w:i/>
          <w:iCs/>
          <w:lang w:val="en-US"/>
        </w:rPr>
        <w:t>An employer may amend its § 125 cafeteria plan to permit employees to apply unused amounts remaining in a health FSA or a dependent care assistance program as of the end of a grace period ending in 2020 or a plan year ending in 2020 to pay or reimburse expenses incurred through December 31, 2020.</w:t>
      </w:r>
      <w:r w:rsidR="00CD7892" w:rsidRPr="00A17375">
        <w:rPr>
          <w:i/>
          <w:iCs/>
          <w:lang w:val="en-US"/>
        </w:rPr>
        <w:t>”</w:t>
      </w:r>
      <w:r w:rsidR="00CD7892">
        <w:rPr>
          <w:lang w:val="en-US"/>
        </w:rPr>
        <w:t xml:space="preserve"> In other words,</w:t>
      </w:r>
      <w:r w:rsidR="00E902FC" w:rsidRPr="00E902FC">
        <w:rPr>
          <w:lang w:val="en-US"/>
        </w:rPr>
        <w:t xml:space="preserve"> </w:t>
      </w:r>
      <w:r w:rsidR="00CD7892">
        <w:rPr>
          <w:lang w:val="en-US"/>
        </w:rPr>
        <w:t>n</w:t>
      </w:r>
      <w:r w:rsidR="00AD3BD7">
        <w:rPr>
          <w:lang w:val="en-US"/>
        </w:rPr>
        <w:t>on-calendar year plans</w:t>
      </w:r>
      <w:r w:rsidR="00CD7892">
        <w:rPr>
          <w:lang w:val="en-US"/>
        </w:rPr>
        <w:t xml:space="preserve"> ending in 2020,</w:t>
      </w:r>
      <w:r w:rsidR="00E211F3">
        <w:rPr>
          <w:lang w:val="en-US"/>
        </w:rPr>
        <w:t xml:space="preserve"> or calendar year plans with a grace period</w:t>
      </w:r>
      <w:r w:rsidR="00CD7892">
        <w:rPr>
          <w:lang w:val="en-US"/>
        </w:rPr>
        <w:t xml:space="preserve"> ending</w:t>
      </w:r>
      <w:r w:rsidR="00E211F3">
        <w:rPr>
          <w:lang w:val="en-US"/>
        </w:rPr>
        <w:t xml:space="preserve"> </w:t>
      </w:r>
      <w:r w:rsidR="00CD7892">
        <w:rPr>
          <w:lang w:val="en-US"/>
        </w:rPr>
        <w:t xml:space="preserve">in 2020, </w:t>
      </w:r>
      <w:r w:rsidR="00265D3F">
        <w:rPr>
          <w:lang w:val="en-US"/>
        </w:rPr>
        <w:t>can allow</w:t>
      </w:r>
      <w:r w:rsidR="00CD7892">
        <w:rPr>
          <w:lang w:val="en-US"/>
        </w:rPr>
        <w:t xml:space="preserve"> employees </w:t>
      </w:r>
      <w:r w:rsidR="0011556F">
        <w:rPr>
          <w:lang w:val="en-US"/>
        </w:rPr>
        <w:t xml:space="preserve">continued access to unused amounts until December 31, 2020. </w:t>
      </w:r>
      <w:r w:rsidR="00E211F3">
        <w:rPr>
          <w:lang w:val="en-US"/>
        </w:rPr>
        <w:t>However, employer</w:t>
      </w:r>
      <w:r w:rsidR="0011556F">
        <w:rPr>
          <w:lang w:val="en-US"/>
        </w:rPr>
        <w:t>s</w:t>
      </w:r>
      <w:r w:rsidR="00E211F3">
        <w:rPr>
          <w:lang w:val="en-US"/>
        </w:rPr>
        <w:t xml:space="preserve"> should keep in mind th</w:t>
      </w:r>
      <w:r w:rsidR="00C02714">
        <w:rPr>
          <w:lang w:val="en-US"/>
        </w:rPr>
        <w:t>at extending th</w:t>
      </w:r>
      <w:r w:rsidR="00054F4B">
        <w:rPr>
          <w:lang w:val="en-US"/>
        </w:rPr>
        <w:t xml:space="preserve">e health FSA </w:t>
      </w:r>
      <w:r w:rsidR="00C02714">
        <w:rPr>
          <w:lang w:val="en-US"/>
        </w:rPr>
        <w:t xml:space="preserve">claims period </w:t>
      </w:r>
      <w:r w:rsidR="00A17375">
        <w:rPr>
          <w:lang w:val="en-US"/>
        </w:rPr>
        <w:t>may</w:t>
      </w:r>
      <w:r w:rsidR="00C02714">
        <w:rPr>
          <w:lang w:val="en-US"/>
        </w:rPr>
        <w:t xml:space="preserve"> result in HSA ineligibility for employees</w:t>
      </w:r>
      <w:r w:rsidR="00054F4B">
        <w:rPr>
          <w:lang w:val="en-US"/>
        </w:rPr>
        <w:t xml:space="preserve"> during that time.</w:t>
      </w:r>
      <w:r w:rsidR="00142E33">
        <w:rPr>
          <w:lang w:val="en-US"/>
        </w:rPr>
        <w:t xml:space="preserve"> </w:t>
      </w:r>
      <w:r w:rsidR="00220D33">
        <w:rPr>
          <w:lang w:val="en-US"/>
        </w:rPr>
        <w:t xml:space="preserve">If the health FSA is a general purpose FSA, and an employee has amounts remaining in the FSA at the end of the plan year or grace period that ends in 2020, the employee will be ineligible to contribute to an HSA for all of 2020 if the employer extends </w:t>
      </w:r>
      <w:r w:rsidR="003B6374">
        <w:rPr>
          <w:lang w:val="en-US"/>
        </w:rPr>
        <w:t>the claims period until December 31, 2020.</w:t>
      </w:r>
    </w:p>
    <w:p w14:paraId="485F94A0" w14:textId="15D599EA" w:rsidR="00F9060F" w:rsidRDefault="00F9060F" w:rsidP="00D20E25">
      <w:pPr>
        <w:pStyle w:val="MediumGrid2-Accent11"/>
        <w:rPr>
          <w:lang w:val="en-US"/>
        </w:rPr>
      </w:pPr>
    </w:p>
    <w:p w14:paraId="3E7E6D0A" w14:textId="1FB07D0B" w:rsidR="00F9060F" w:rsidRDefault="00F9060F" w:rsidP="00D20E25">
      <w:pPr>
        <w:pStyle w:val="MediumGrid2-Accent11"/>
        <w:rPr>
          <w:lang w:val="en-US"/>
        </w:rPr>
      </w:pPr>
      <w:r>
        <w:rPr>
          <w:lang w:val="en-US"/>
        </w:rPr>
        <w:t xml:space="preserve">This relief is available for both general purpose and limited purpose health FSAs. </w:t>
      </w:r>
      <w:r w:rsidR="002B2FC2">
        <w:rPr>
          <w:lang w:val="en-US"/>
        </w:rPr>
        <w:t xml:space="preserve">In addition, </w:t>
      </w:r>
      <w:r w:rsidR="00F80294">
        <w:rPr>
          <w:lang w:val="en-US"/>
        </w:rPr>
        <w:t>health FSAs</w:t>
      </w:r>
      <w:r w:rsidR="002B2FC2">
        <w:rPr>
          <w:lang w:val="en-US"/>
        </w:rPr>
        <w:t xml:space="preserve"> utilizing either a grace period or a carryover are permitted to </w:t>
      </w:r>
      <w:r w:rsidR="00F80294">
        <w:rPr>
          <w:lang w:val="en-US"/>
        </w:rPr>
        <w:t xml:space="preserve">offer this extended claims period. </w:t>
      </w:r>
    </w:p>
    <w:p w14:paraId="5C77C277" w14:textId="796C385A" w:rsidR="00C15765" w:rsidRDefault="00C15765" w:rsidP="00D20E25">
      <w:pPr>
        <w:pStyle w:val="MediumGrid2-Accent11"/>
        <w:rPr>
          <w:lang w:val="en-US"/>
        </w:rPr>
      </w:pPr>
    </w:p>
    <w:p w14:paraId="47BACED4" w14:textId="675D5864" w:rsidR="00C15765" w:rsidRDefault="00437DF2" w:rsidP="00D20E25">
      <w:pPr>
        <w:pStyle w:val="MediumGrid2-Accent11"/>
        <w:rPr>
          <w:u w:val="single"/>
          <w:lang w:val="en-US"/>
        </w:rPr>
      </w:pPr>
      <w:r>
        <w:rPr>
          <w:u w:val="single"/>
          <w:lang w:val="en-US"/>
        </w:rPr>
        <w:t>Retroactive Application of HDHP Exemptions</w:t>
      </w:r>
    </w:p>
    <w:p w14:paraId="0314F210" w14:textId="5596FB58" w:rsidR="00437DF2" w:rsidRDefault="00437DF2" w:rsidP="00D20E25">
      <w:pPr>
        <w:pStyle w:val="MediumGrid2-Accent11"/>
        <w:rPr>
          <w:u w:val="single"/>
          <w:lang w:val="en-US"/>
        </w:rPr>
      </w:pPr>
    </w:p>
    <w:p w14:paraId="2B957746" w14:textId="77777777" w:rsidR="007E6FE9" w:rsidRDefault="00AB0880" w:rsidP="00D20E25">
      <w:pPr>
        <w:pStyle w:val="MediumGrid2-Accent11"/>
        <w:rPr>
          <w:lang w:val="en-US"/>
        </w:rPr>
      </w:pPr>
      <w:r w:rsidRPr="00AB0880">
        <w:rPr>
          <w:lang w:val="en-US"/>
        </w:rPr>
        <w:t>Pursuant to § 223(c)(1)(A), an individual is</w:t>
      </w:r>
      <w:r w:rsidR="00C13582">
        <w:rPr>
          <w:lang w:val="en-US"/>
        </w:rPr>
        <w:t xml:space="preserve"> HSA eligible </w:t>
      </w:r>
      <w:r w:rsidR="009B59B1">
        <w:rPr>
          <w:lang w:val="en-US"/>
        </w:rPr>
        <w:t xml:space="preserve">for a given month </w:t>
      </w:r>
      <w:r w:rsidRPr="00AB0880">
        <w:rPr>
          <w:lang w:val="en-US"/>
        </w:rPr>
        <w:t xml:space="preserve">if </w:t>
      </w:r>
    </w:p>
    <w:p w14:paraId="40D71396" w14:textId="161745D3" w:rsidR="007E6FE9" w:rsidRDefault="00AB0880" w:rsidP="007E6FE9">
      <w:pPr>
        <w:pStyle w:val="MediumGrid2-Accent11"/>
        <w:numPr>
          <w:ilvl w:val="0"/>
          <w:numId w:val="44"/>
        </w:numPr>
        <w:rPr>
          <w:lang w:val="en-US"/>
        </w:rPr>
      </w:pPr>
      <w:r w:rsidRPr="00AB0880">
        <w:rPr>
          <w:lang w:val="en-US"/>
        </w:rPr>
        <w:t xml:space="preserve">such individual is covered under an HDHP as of the first day of such month, and </w:t>
      </w:r>
    </w:p>
    <w:p w14:paraId="6819661B" w14:textId="04C29533" w:rsidR="007E6FE9" w:rsidRDefault="00AB0880" w:rsidP="007E6FE9">
      <w:pPr>
        <w:pStyle w:val="MediumGrid2-Accent11"/>
        <w:numPr>
          <w:ilvl w:val="0"/>
          <w:numId w:val="44"/>
        </w:numPr>
        <w:rPr>
          <w:lang w:val="en-US"/>
        </w:rPr>
      </w:pPr>
      <w:r w:rsidRPr="00AB0880">
        <w:rPr>
          <w:lang w:val="en-US"/>
        </w:rPr>
        <w:t>such individual is not, while covered under an HDHP, covered under any health plan which is not an HDHP, and which provides coverage for any benefit which is covered under the HDHP.</w:t>
      </w:r>
      <w:r w:rsidR="009B59B1">
        <w:rPr>
          <w:lang w:val="en-US"/>
        </w:rPr>
        <w:t xml:space="preserve"> </w:t>
      </w:r>
    </w:p>
    <w:p w14:paraId="0A211D7D" w14:textId="77777777" w:rsidR="007E6FE9" w:rsidRDefault="007E6FE9" w:rsidP="00D20E25">
      <w:pPr>
        <w:pStyle w:val="MediumGrid2-Accent11"/>
        <w:rPr>
          <w:lang w:val="en-US"/>
        </w:rPr>
      </w:pPr>
    </w:p>
    <w:p w14:paraId="5BA33198" w14:textId="67152A5F" w:rsidR="00350918" w:rsidRDefault="007E6FE9" w:rsidP="00D20E25">
      <w:pPr>
        <w:pStyle w:val="MediumGrid2-Accent11"/>
        <w:rPr>
          <w:lang w:val="en-US"/>
        </w:rPr>
      </w:pPr>
      <w:r>
        <w:rPr>
          <w:lang w:val="en-US"/>
        </w:rPr>
        <w:t>A</w:t>
      </w:r>
      <w:r w:rsidR="00E75E2A" w:rsidRPr="00E75E2A">
        <w:rPr>
          <w:lang w:val="en-US"/>
        </w:rPr>
        <w:t xml:space="preserve"> </w:t>
      </w:r>
      <w:r w:rsidRPr="00A17375">
        <w:rPr>
          <w:i/>
          <w:iCs/>
          <w:lang w:val="en-US"/>
        </w:rPr>
        <w:t>“</w:t>
      </w:r>
      <w:r w:rsidR="00E75E2A" w:rsidRPr="00A17375">
        <w:rPr>
          <w:i/>
          <w:iCs/>
          <w:lang w:val="en-US"/>
        </w:rPr>
        <w:t>telemedicine arrangement generally constitutes a health plan or insurance that provides coverage before the minimum annual deductible is met, and provides coverage that is not disregarded coverage or preventive care, which would generally disqualify an otherwise eligible individual from contributing to an HSA. However, section 3701 of the CARES Act amended § 223 of the Code to temporarily allow HSA-eligible HDHPs to cover telehealth and other remote care services.</w:t>
      </w:r>
      <w:r w:rsidRPr="00A17375">
        <w:rPr>
          <w:i/>
          <w:iCs/>
          <w:lang w:val="en-US"/>
        </w:rPr>
        <w:t>”</w:t>
      </w:r>
      <w:r w:rsidR="0022367B">
        <w:rPr>
          <w:lang w:val="en-US"/>
        </w:rPr>
        <w:t xml:space="preserve"> </w:t>
      </w:r>
    </w:p>
    <w:p w14:paraId="32077307" w14:textId="62D49853" w:rsidR="00583030" w:rsidRDefault="00583030" w:rsidP="00D20E25">
      <w:pPr>
        <w:pStyle w:val="MediumGrid2-Accent11"/>
        <w:rPr>
          <w:lang w:val="en-US"/>
        </w:rPr>
      </w:pPr>
    </w:p>
    <w:p w14:paraId="10E49E9E" w14:textId="1C31EBC0" w:rsidR="00583030" w:rsidRDefault="00583030" w:rsidP="00D20E25">
      <w:pPr>
        <w:pStyle w:val="MediumGrid2-Accent11"/>
        <w:rPr>
          <w:lang w:val="en-US"/>
        </w:rPr>
      </w:pPr>
      <w:r>
        <w:rPr>
          <w:lang w:val="en-US"/>
        </w:rPr>
        <w:t xml:space="preserve">Further, </w:t>
      </w:r>
      <w:r w:rsidR="00131AFE" w:rsidRPr="00A17375">
        <w:rPr>
          <w:i/>
          <w:iCs/>
          <w:lang w:val="en-US"/>
        </w:rPr>
        <w:t>“Notice 2020-15 provides that a health plan that otherwise satisfies the requirements to be an HDHP will not fail to be an HDHP merely because the health plan provides medical care services and items purchased related to testing for and treatment of COVID-19 prior to the satisfaction of the applicable minimum deductible.”</w:t>
      </w:r>
    </w:p>
    <w:p w14:paraId="422DF4C6" w14:textId="78142977" w:rsidR="009B5C1D" w:rsidRDefault="009B5C1D" w:rsidP="00D20E25">
      <w:pPr>
        <w:pStyle w:val="MediumGrid2-Accent11"/>
        <w:rPr>
          <w:lang w:val="en-US"/>
        </w:rPr>
      </w:pPr>
    </w:p>
    <w:p w14:paraId="3887BCC2" w14:textId="41F52B51" w:rsidR="009B5C1D" w:rsidRDefault="009B5C1D" w:rsidP="00D20E25">
      <w:pPr>
        <w:pStyle w:val="MediumGrid2-Accent11"/>
        <w:rPr>
          <w:lang w:val="en-US"/>
        </w:rPr>
      </w:pPr>
      <w:r w:rsidRPr="009B5C1D">
        <w:rPr>
          <w:lang w:val="en-US"/>
        </w:rPr>
        <w:lastRenderedPageBreak/>
        <w:t>This notice clarifies that</w:t>
      </w:r>
      <w:r w:rsidR="00136659" w:rsidRPr="00136659">
        <w:rPr>
          <w:lang w:val="en-US" w:eastAsia="en-US"/>
        </w:rPr>
        <w:t xml:space="preserve"> </w:t>
      </w:r>
      <w:r w:rsidR="00136659" w:rsidRPr="00136659">
        <w:rPr>
          <w:lang w:val="en-US"/>
        </w:rPr>
        <w:t>the relief provided in section 3701 of the CARES Act regarding telemedicine</w:t>
      </w:r>
      <w:r w:rsidR="006E4B3E">
        <w:rPr>
          <w:lang w:val="en-US"/>
        </w:rPr>
        <w:t xml:space="preserve"> </w:t>
      </w:r>
      <w:r w:rsidR="00136659" w:rsidRPr="00136659">
        <w:rPr>
          <w:lang w:val="en-US"/>
        </w:rPr>
        <w:t>arrangements</w:t>
      </w:r>
      <w:r w:rsidR="006E4B3E">
        <w:rPr>
          <w:lang w:val="en-US"/>
        </w:rPr>
        <w:t xml:space="preserve"> and</w:t>
      </w:r>
      <w:r w:rsidRPr="009B5C1D">
        <w:rPr>
          <w:lang w:val="en-US"/>
        </w:rPr>
        <w:t xml:space="preserve"> the relief provided in Notice 2020-15 regarding expenses related to testing for and treatment of COVID-19</w:t>
      </w:r>
      <w:r>
        <w:rPr>
          <w:lang w:val="en-US"/>
        </w:rPr>
        <w:t xml:space="preserve">, </w:t>
      </w:r>
      <w:r w:rsidRPr="009B5C1D">
        <w:rPr>
          <w:lang w:val="en-US"/>
        </w:rPr>
        <w:t>applies with respect to reimbursements of expenses incurred on or after January 1, 2020.</w:t>
      </w:r>
    </w:p>
    <w:p w14:paraId="758B9931" w14:textId="0780D3AE" w:rsidR="00494C09" w:rsidRDefault="00494C09" w:rsidP="00D20E25">
      <w:pPr>
        <w:pStyle w:val="MediumGrid2-Accent11"/>
        <w:rPr>
          <w:lang w:val="en-US"/>
        </w:rPr>
      </w:pPr>
    </w:p>
    <w:p w14:paraId="74457CD2" w14:textId="0F8323D0" w:rsidR="00494C09" w:rsidRPr="00AB0880" w:rsidRDefault="00B4058C" w:rsidP="00D20E25">
      <w:pPr>
        <w:pStyle w:val="MediumGrid2-Accent11"/>
        <w:rPr>
          <w:lang w:val="en-US"/>
        </w:rPr>
      </w:pPr>
      <w:r w:rsidRPr="00A17375">
        <w:rPr>
          <w:i/>
          <w:iCs/>
          <w:lang w:val="en-US"/>
        </w:rPr>
        <w:t>“This notice further clarifies that the panel of diagnostic testing for influenza A &amp; B, norovirus and other coronaviruses, and respiratory syncytial virus (RSV) and any items or services required to be covered with zero cost sharing under section 6001 of the Families First Coronavirus Response Act as amended by the CARES Act, are part of testing and treatment for COVID-19 for purposes of Notice 2020-15.”</w:t>
      </w:r>
      <w:r w:rsidR="005406BA">
        <w:rPr>
          <w:lang w:val="en-US"/>
        </w:rPr>
        <w:t xml:space="preserve"> In other words,</w:t>
      </w:r>
      <w:r w:rsidR="00686773">
        <w:rPr>
          <w:lang w:val="en-US"/>
        </w:rPr>
        <w:t xml:space="preserve"> an HDHP will not lose qualified status for covering</w:t>
      </w:r>
      <w:r w:rsidR="005406BA">
        <w:rPr>
          <w:lang w:val="en-US"/>
        </w:rPr>
        <w:t xml:space="preserve"> </w:t>
      </w:r>
      <w:r w:rsidR="009E2647">
        <w:rPr>
          <w:lang w:val="en-US"/>
        </w:rPr>
        <w:t xml:space="preserve">any </w:t>
      </w:r>
      <w:r w:rsidR="005406BA">
        <w:rPr>
          <w:lang w:val="en-US"/>
        </w:rPr>
        <w:t>expenses required to be covered with zero cost sharing under the FFCRA</w:t>
      </w:r>
      <w:r w:rsidR="009E2647">
        <w:rPr>
          <w:lang w:val="en-US"/>
        </w:rPr>
        <w:t>.</w:t>
      </w:r>
    </w:p>
    <w:p w14:paraId="3F011DF0" w14:textId="77777777" w:rsidR="00350918" w:rsidRDefault="00350918" w:rsidP="00D20E25">
      <w:pPr>
        <w:pStyle w:val="MediumGrid2-Accent11"/>
        <w:rPr>
          <w:b/>
          <w:bCs/>
          <w:lang w:val="en-US"/>
        </w:rPr>
      </w:pPr>
    </w:p>
    <w:p w14:paraId="5B9BEE0E" w14:textId="1EB27361" w:rsidR="000A797E" w:rsidRDefault="00944B91" w:rsidP="00D20E25">
      <w:pPr>
        <w:pStyle w:val="MediumGrid2-Accent11"/>
        <w:rPr>
          <w:b/>
          <w:bCs/>
          <w:lang w:val="en-US"/>
        </w:rPr>
      </w:pPr>
      <w:r>
        <w:rPr>
          <w:b/>
          <w:bCs/>
          <w:lang w:val="en-US"/>
        </w:rPr>
        <w:t>IRS</w:t>
      </w:r>
      <w:r w:rsidR="00391C98">
        <w:rPr>
          <w:b/>
          <w:bCs/>
          <w:lang w:val="en-US"/>
        </w:rPr>
        <w:t xml:space="preserve"> Notice 2020-</w:t>
      </w:r>
      <w:r>
        <w:rPr>
          <w:b/>
          <w:bCs/>
          <w:lang w:val="en-US"/>
        </w:rPr>
        <w:t>33</w:t>
      </w:r>
    </w:p>
    <w:p w14:paraId="15DCE3C2" w14:textId="114AA4CD" w:rsidR="00EC7661" w:rsidRDefault="00EC7661" w:rsidP="00D20E25">
      <w:pPr>
        <w:pStyle w:val="MediumGrid2-Accent11"/>
        <w:rPr>
          <w:lang w:val="en-US"/>
        </w:rPr>
      </w:pPr>
    </w:p>
    <w:p w14:paraId="77A102A5" w14:textId="04798353" w:rsidR="00D676F5" w:rsidRDefault="000628A0" w:rsidP="00D20E25">
      <w:pPr>
        <w:pStyle w:val="MediumGrid2-Accent11"/>
        <w:rPr>
          <w:u w:val="single"/>
          <w:lang w:val="en-US"/>
        </w:rPr>
      </w:pPr>
      <w:r>
        <w:rPr>
          <w:u w:val="single"/>
          <w:lang w:val="en-US"/>
        </w:rPr>
        <w:t>FSA Carryover Amounts</w:t>
      </w:r>
    </w:p>
    <w:p w14:paraId="5E014617" w14:textId="0C35A789" w:rsidR="000628A0" w:rsidRDefault="000628A0" w:rsidP="00D20E25">
      <w:pPr>
        <w:pStyle w:val="MediumGrid2-Accent11"/>
        <w:rPr>
          <w:lang w:val="en-US"/>
        </w:rPr>
      </w:pPr>
    </w:p>
    <w:p w14:paraId="0168F323" w14:textId="635F1CDE" w:rsidR="00F135A8" w:rsidRDefault="00FB5867" w:rsidP="00D20E25">
      <w:pPr>
        <w:pStyle w:val="MediumGrid2-Accent11"/>
        <w:rPr>
          <w:lang w:val="en-US"/>
        </w:rPr>
      </w:pPr>
      <w:r>
        <w:rPr>
          <w:lang w:val="en-US"/>
        </w:rPr>
        <w:t xml:space="preserve">When the IRS originally announced the ability of plan sponsors to permit empoyees to </w:t>
      </w:r>
      <w:r w:rsidR="00E036CD">
        <w:rPr>
          <w:lang w:val="en-US"/>
        </w:rPr>
        <w:t>carry</w:t>
      </w:r>
      <w:r w:rsidR="00265D3F">
        <w:rPr>
          <w:lang w:val="en-US"/>
        </w:rPr>
        <w:t xml:space="preserve"> </w:t>
      </w:r>
      <w:r w:rsidR="00E036CD">
        <w:rPr>
          <w:lang w:val="en-US"/>
        </w:rPr>
        <w:t xml:space="preserve">over unused amounts into the next plan year under a health FSA, the maximum amount permitted to be carried over was $500. This reflected </w:t>
      </w:r>
      <w:r w:rsidR="00095AB3">
        <w:rPr>
          <w:lang w:val="en-US"/>
        </w:rPr>
        <w:t>20% of the annual FSA election limit at the time ($2,500).</w:t>
      </w:r>
      <w:r w:rsidR="003B2993">
        <w:rPr>
          <w:lang w:val="en-US"/>
        </w:rPr>
        <w:t xml:space="preserve"> </w:t>
      </w:r>
      <w:r w:rsidR="00350334">
        <w:rPr>
          <w:lang w:val="en-US"/>
        </w:rPr>
        <w:t>Since that time there has been no adjustment to the maximum carryover amount, despite the fact that the election limit has increased with inflation.</w:t>
      </w:r>
      <w:r w:rsidR="00593F04">
        <w:rPr>
          <w:lang w:val="en-US"/>
        </w:rPr>
        <w:t xml:space="preserve"> T</w:t>
      </w:r>
      <w:r w:rsidR="00593F04" w:rsidRPr="00593F04">
        <w:rPr>
          <w:lang w:val="en-US"/>
        </w:rPr>
        <w:t xml:space="preserve">his notice increases the maximum $500 carryover amount for a plan year to an amount equal to 20 percent of the maximum salary reduction contribution for that plan year. </w:t>
      </w:r>
      <w:r w:rsidR="00854D3A">
        <w:rPr>
          <w:lang w:val="en-US"/>
        </w:rPr>
        <w:t xml:space="preserve">Therefore, </w:t>
      </w:r>
      <w:r w:rsidR="00F135A8" w:rsidRPr="00A17375">
        <w:rPr>
          <w:i/>
          <w:iCs/>
          <w:lang w:val="en-US"/>
        </w:rPr>
        <w:t>“</w:t>
      </w:r>
      <w:r w:rsidR="00854D3A" w:rsidRPr="00A17375">
        <w:rPr>
          <w:i/>
          <w:iCs/>
          <w:lang w:val="en-US"/>
        </w:rPr>
        <w:t>t</w:t>
      </w:r>
      <w:r w:rsidR="00F135A8" w:rsidRPr="00A17375">
        <w:rPr>
          <w:i/>
          <w:iCs/>
          <w:lang w:val="en-US"/>
        </w:rPr>
        <w:t>he maximum unused amount from a plan year starting in 2020 allowed to be carried over to the immediately following plan year beginning in 2021 is $550 (20 percent of $2,750, th</w:t>
      </w:r>
      <w:r w:rsidRPr="00A17375">
        <w:rPr>
          <w:i/>
          <w:iCs/>
          <w:lang w:val="en-US"/>
        </w:rPr>
        <w:t xml:space="preserve">e </w:t>
      </w:r>
      <w:r w:rsidR="00F135A8" w:rsidRPr="00A17375">
        <w:rPr>
          <w:i/>
          <w:iCs/>
          <w:lang w:val="en-US"/>
        </w:rPr>
        <w:t>2020</w:t>
      </w:r>
      <w:r w:rsidR="001B3A60" w:rsidRPr="00A17375">
        <w:rPr>
          <w:i/>
          <w:iCs/>
          <w:lang w:val="en-US"/>
        </w:rPr>
        <w:t xml:space="preserve"> FSA election</w:t>
      </w:r>
      <w:r w:rsidRPr="00A17375">
        <w:rPr>
          <w:i/>
          <w:iCs/>
          <w:lang w:val="en-US"/>
        </w:rPr>
        <w:t xml:space="preserve"> limit</w:t>
      </w:r>
      <w:r w:rsidR="00F135A8" w:rsidRPr="00A17375">
        <w:rPr>
          <w:i/>
          <w:iCs/>
          <w:lang w:val="en-US"/>
        </w:rPr>
        <w:t>).</w:t>
      </w:r>
      <w:r w:rsidRPr="00A17375">
        <w:rPr>
          <w:i/>
          <w:iCs/>
          <w:lang w:val="en-US"/>
        </w:rPr>
        <w:t>”</w:t>
      </w:r>
      <w:r w:rsidR="00854D3A">
        <w:rPr>
          <w:lang w:val="en-US"/>
        </w:rPr>
        <w:t xml:space="preserve"> </w:t>
      </w:r>
    </w:p>
    <w:p w14:paraId="0B0A7271" w14:textId="4AE0BEBF" w:rsidR="00E517E4" w:rsidRDefault="00E517E4" w:rsidP="00D20E25">
      <w:pPr>
        <w:pStyle w:val="MediumGrid2-Accent11"/>
        <w:rPr>
          <w:lang w:val="en-US"/>
        </w:rPr>
      </w:pPr>
    </w:p>
    <w:p w14:paraId="2B02709E" w14:textId="52E361CA" w:rsidR="00E517E4" w:rsidRDefault="00E517E4" w:rsidP="00D20E25">
      <w:pPr>
        <w:pStyle w:val="MediumGrid2-Accent11"/>
        <w:rPr>
          <w:lang w:val="en-US"/>
        </w:rPr>
      </w:pPr>
      <w:r>
        <w:rPr>
          <w:lang w:val="en-US"/>
        </w:rPr>
        <w:t xml:space="preserve">As with changes made under IRS Notice 2020-29, </w:t>
      </w:r>
      <w:r w:rsidR="006C3A3A">
        <w:rPr>
          <w:lang w:val="en-US"/>
        </w:rPr>
        <w:t>p</w:t>
      </w:r>
      <w:r w:rsidR="006C3A3A" w:rsidRPr="006C3A3A">
        <w:rPr>
          <w:lang w:val="en-US"/>
        </w:rPr>
        <w:t>lan documents should be amended by December 31, 2021</w:t>
      </w:r>
      <w:r w:rsidR="00265D3F">
        <w:rPr>
          <w:lang w:val="en-US"/>
        </w:rPr>
        <w:t>,</w:t>
      </w:r>
      <w:r w:rsidR="006C3A3A" w:rsidRPr="006C3A3A">
        <w:rPr>
          <w:lang w:val="en-US"/>
        </w:rPr>
        <w:t xml:space="preserve"> and are permitted to have a retroactive effect to January 1, 2020.</w:t>
      </w:r>
      <w:r w:rsidR="0064212F">
        <w:rPr>
          <w:lang w:val="en-US"/>
        </w:rPr>
        <w:t xml:space="preserve"> </w:t>
      </w:r>
    </w:p>
    <w:p w14:paraId="4A391DB6" w14:textId="77777777" w:rsidR="00F135A8" w:rsidRDefault="00F135A8" w:rsidP="00D20E25">
      <w:pPr>
        <w:pStyle w:val="MediumGrid2-Accent11"/>
        <w:rPr>
          <w:u w:val="single"/>
          <w:lang w:val="en-US"/>
        </w:rPr>
      </w:pPr>
    </w:p>
    <w:p w14:paraId="0D2EAEB8" w14:textId="7F90A5E6" w:rsidR="000628A0" w:rsidRDefault="008A6EE1" w:rsidP="00D20E25">
      <w:pPr>
        <w:pStyle w:val="MediumGrid2-Accent11"/>
        <w:rPr>
          <w:u w:val="single"/>
          <w:lang w:val="en-US"/>
        </w:rPr>
      </w:pPr>
      <w:r>
        <w:rPr>
          <w:u w:val="single"/>
          <w:lang w:val="en-US"/>
        </w:rPr>
        <w:t>Timing for Reimbursements by Health Plans</w:t>
      </w:r>
    </w:p>
    <w:p w14:paraId="6B3972F2" w14:textId="15FB9AA3" w:rsidR="00D92A7F" w:rsidRDefault="00D92A7F" w:rsidP="00D20E25">
      <w:pPr>
        <w:pStyle w:val="MediumGrid2-Accent11"/>
        <w:rPr>
          <w:u w:val="single"/>
          <w:lang w:val="en-US"/>
        </w:rPr>
      </w:pPr>
    </w:p>
    <w:p w14:paraId="70682844" w14:textId="098D087A" w:rsidR="00D92A7F" w:rsidRPr="00D92A7F" w:rsidRDefault="00D92A7F" w:rsidP="00D20E25">
      <w:pPr>
        <w:pStyle w:val="MediumGrid2-Accent11"/>
        <w:rPr>
          <w:lang w:val="en-US"/>
        </w:rPr>
      </w:pPr>
      <w:r>
        <w:rPr>
          <w:lang w:val="en-US"/>
        </w:rPr>
        <w:t xml:space="preserve">In general, </w:t>
      </w:r>
      <w:r w:rsidR="00742435">
        <w:rPr>
          <w:lang w:val="en-US"/>
        </w:rPr>
        <w:t xml:space="preserve">plans are prohibited from </w:t>
      </w:r>
      <w:r w:rsidR="006A3ACB">
        <w:rPr>
          <w:lang w:val="en-US"/>
        </w:rPr>
        <w:t xml:space="preserve">reimbursing an expense incurred in a prior plan year. This prohibition is referred to as the prohibition on </w:t>
      </w:r>
      <w:r w:rsidR="00E0746A">
        <w:rPr>
          <w:lang w:val="en-US"/>
        </w:rPr>
        <w:t xml:space="preserve">deferred compensation and comes from Section 125 of the tax code. However, </w:t>
      </w:r>
      <w:r w:rsidR="00225744" w:rsidRPr="00A17375">
        <w:rPr>
          <w:i/>
          <w:iCs/>
          <w:lang w:val="en-US"/>
        </w:rPr>
        <w:t>“medical care expenses are treated as incurred when the covered individual is provided the medical care that gives rise to the expense, and not when the amount is billed or paid.”</w:t>
      </w:r>
      <w:r w:rsidR="00225744">
        <w:rPr>
          <w:lang w:val="en-US"/>
        </w:rPr>
        <w:t xml:space="preserve"> Therefore, this notices clarifies that individual coverage HRAs</w:t>
      </w:r>
      <w:r w:rsidR="0026714B">
        <w:rPr>
          <w:lang w:val="en-US"/>
        </w:rPr>
        <w:t xml:space="preserve"> (ICHRAs)</w:t>
      </w:r>
      <w:r w:rsidR="00225744">
        <w:rPr>
          <w:lang w:val="en-US"/>
        </w:rPr>
        <w:t xml:space="preserve"> are permitted </w:t>
      </w:r>
      <w:r w:rsidR="00225744" w:rsidRPr="00A17375">
        <w:rPr>
          <w:i/>
          <w:iCs/>
          <w:lang w:val="en-US"/>
        </w:rPr>
        <w:t xml:space="preserve">to </w:t>
      </w:r>
      <w:r w:rsidR="000A2744" w:rsidRPr="00A17375">
        <w:rPr>
          <w:i/>
          <w:iCs/>
          <w:lang w:val="en-US"/>
        </w:rPr>
        <w:t>“reimburse a substantiated premium for health insurance coverage that begins on January 1 of that plan year, even if the covered individual paid the premium for the coverage prior to the first day of the plan year.”</w:t>
      </w:r>
    </w:p>
    <w:p w14:paraId="29781008" w14:textId="77777777" w:rsidR="009832FD" w:rsidRDefault="009832FD" w:rsidP="00D20E25">
      <w:pPr>
        <w:pStyle w:val="MediumGrid2-Accent11"/>
        <w:rPr>
          <w:b/>
          <w:bCs/>
          <w:lang w:val="en-US"/>
        </w:rPr>
      </w:pPr>
    </w:p>
    <w:p w14:paraId="261DAFBD" w14:textId="187DB43C" w:rsidR="00E30F4F" w:rsidRDefault="00E30F4F" w:rsidP="00D20E25">
      <w:pPr>
        <w:pStyle w:val="MediumGrid2-Accent11"/>
        <w:rPr>
          <w:b/>
          <w:bCs/>
          <w:lang w:val="en-US"/>
        </w:rPr>
      </w:pPr>
      <w:r>
        <w:rPr>
          <w:b/>
          <w:bCs/>
          <w:lang w:val="en-US"/>
        </w:rPr>
        <w:t>Summary</w:t>
      </w:r>
    </w:p>
    <w:p w14:paraId="64E7FE5C" w14:textId="33160702" w:rsidR="002F7E7A" w:rsidRDefault="002F7E7A" w:rsidP="00D20E25">
      <w:pPr>
        <w:pStyle w:val="MediumGrid2-Accent11"/>
        <w:rPr>
          <w:b/>
          <w:bCs/>
          <w:lang w:val="en-US"/>
        </w:rPr>
      </w:pPr>
    </w:p>
    <w:p w14:paraId="32FC729A" w14:textId="12620D82" w:rsidR="002C078D" w:rsidRDefault="00E1154E" w:rsidP="00D20E25">
      <w:pPr>
        <w:pStyle w:val="MediumGrid2-Accent11"/>
        <w:rPr>
          <w:lang w:val="en-US"/>
        </w:rPr>
      </w:pPr>
      <w:r>
        <w:rPr>
          <w:lang w:val="en-US"/>
        </w:rPr>
        <w:t>T</w:t>
      </w:r>
      <w:r w:rsidRPr="00E1154E">
        <w:rPr>
          <w:lang w:val="en-US"/>
        </w:rPr>
        <w:t>he 2019 Coronavirus outbreak</w:t>
      </w:r>
      <w:r>
        <w:rPr>
          <w:lang w:val="en-US"/>
        </w:rPr>
        <w:t xml:space="preserve"> has </w:t>
      </w:r>
      <w:r w:rsidR="00262B4F">
        <w:rPr>
          <w:lang w:val="en-US"/>
        </w:rPr>
        <w:t xml:space="preserve">resulted in </w:t>
      </w:r>
      <w:r w:rsidR="00265D3F">
        <w:rPr>
          <w:lang w:val="en-US"/>
        </w:rPr>
        <w:t xml:space="preserve">employees having </w:t>
      </w:r>
      <w:r w:rsidR="00167A18">
        <w:rPr>
          <w:lang w:val="en-US"/>
        </w:rPr>
        <w:t>extreme</w:t>
      </w:r>
      <w:r w:rsidR="00E16305">
        <w:rPr>
          <w:lang w:val="en-US"/>
        </w:rPr>
        <w:t xml:space="preserve"> difficul</w:t>
      </w:r>
      <w:r w:rsidR="0090165E">
        <w:rPr>
          <w:lang w:val="en-US"/>
        </w:rPr>
        <w:t>ty</w:t>
      </w:r>
      <w:r w:rsidR="00E16305">
        <w:rPr>
          <w:lang w:val="en-US"/>
        </w:rPr>
        <w:t xml:space="preserve"> </w:t>
      </w:r>
      <w:r w:rsidR="006119D1">
        <w:rPr>
          <w:lang w:val="en-US"/>
        </w:rPr>
        <w:t>predict</w:t>
      </w:r>
      <w:r w:rsidR="00265D3F">
        <w:rPr>
          <w:lang w:val="en-US"/>
        </w:rPr>
        <w:t>ing</w:t>
      </w:r>
      <w:r w:rsidR="006119D1">
        <w:rPr>
          <w:lang w:val="en-US"/>
        </w:rPr>
        <w:t xml:space="preserve"> medical or childcare expenses. In these notices</w:t>
      </w:r>
      <w:r w:rsidR="00265D3F">
        <w:rPr>
          <w:lang w:val="en-US"/>
        </w:rPr>
        <w:t>,</w:t>
      </w:r>
      <w:r w:rsidR="006119D1">
        <w:rPr>
          <w:lang w:val="en-US"/>
        </w:rPr>
        <w:t xml:space="preserve"> the IRS has provided some relief for employers looking to assist employees with </w:t>
      </w:r>
      <w:r w:rsidR="00BE609C">
        <w:rPr>
          <w:lang w:val="en-US"/>
        </w:rPr>
        <w:t>changing circumstances. If employers decide to implement any of the</w:t>
      </w:r>
      <w:r w:rsidR="0090165E">
        <w:rPr>
          <w:lang w:val="en-US"/>
        </w:rPr>
        <w:t xml:space="preserve"> permitted changes in these notices, they should be aware of the potential plan consequences. In addition, they should be prepared to make the required plan amendments</w:t>
      </w:r>
      <w:r w:rsidR="00BE44E5">
        <w:rPr>
          <w:lang w:val="en-US"/>
        </w:rPr>
        <w:t xml:space="preserve"> and </w:t>
      </w:r>
      <w:r w:rsidR="00265D3F">
        <w:rPr>
          <w:lang w:val="en-US"/>
        </w:rPr>
        <w:t xml:space="preserve">to </w:t>
      </w:r>
      <w:r w:rsidR="00BE44E5">
        <w:rPr>
          <w:lang w:val="en-US"/>
        </w:rPr>
        <w:t>communicate such changes to affected employees</w:t>
      </w:r>
      <w:r w:rsidR="0090165E">
        <w:rPr>
          <w:lang w:val="en-US"/>
        </w:rPr>
        <w:t xml:space="preserve">. </w:t>
      </w:r>
      <w:r w:rsidR="002E28DF">
        <w:rPr>
          <w:lang w:val="en-US"/>
        </w:rPr>
        <w:t>This summary provides</w:t>
      </w:r>
      <w:r w:rsidR="00142D12">
        <w:rPr>
          <w:lang w:val="en-US"/>
        </w:rPr>
        <w:t xml:space="preserve"> just</w:t>
      </w:r>
      <w:r w:rsidR="002E28DF">
        <w:rPr>
          <w:lang w:val="en-US"/>
        </w:rPr>
        <w:t xml:space="preserve"> some of the highlights f</w:t>
      </w:r>
      <w:r w:rsidR="00142D12">
        <w:rPr>
          <w:lang w:val="en-US"/>
        </w:rPr>
        <w:t>rom</w:t>
      </w:r>
      <w:r w:rsidR="002E28DF">
        <w:rPr>
          <w:lang w:val="en-US"/>
        </w:rPr>
        <w:t xml:space="preserve"> both notices</w:t>
      </w:r>
      <w:r w:rsidR="002D156B">
        <w:rPr>
          <w:lang w:val="en-US"/>
        </w:rPr>
        <w:t>. F</w:t>
      </w:r>
      <w:r w:rsidR="002E28DF">
        <w:rPr>
          <w:lang w:val="en-US"/>
        </w:rPr>
        <w:t>or complete information</w:t>
      </w:r>
      <w:r w:rsidR="002D156B">
        <w:rPr>
          <w:lang w:val="en-US"/>
        </w:rPr>
        <w:t xml:space="preserve"> on the new guidance</w:t>
      </w:r>
      <w:r w:rsidR="00265D3F">
        <w:rPr>
          <w:lang w:val="en-US"/>
        </w:rPr>
        <w:t>,</w:t>
      </w:r>
      <w:r w:rsidR="002E28DF">
        <w:rPr>
          <w:lang w:val="en-US"/>
        </w:rPr>
        <w:t xml:space="preserve"> we recommend reading the notices at the links below.</w:t>
      </w:r>
    </w:p>
    <w:p w14:paraId="4121DE93" w14:textId="692911C3" w:rsidR="002C078D" w:rsidRDefault="002C078D" w:rsidP="00D20E25">
      <w:pPr>
        <w:pStyle w:val="MediumGrid2-Accent11"/>
        <w:rPr>
          <w:lang w:val="en-US"/>
        </w:rPr>
      </w:pPr>
    </w:p>
    <w:p w14:paraId="63275FBA" w14:textId="77777777" w:rsidR="0047037D" w:rsidRDefault="0047037D" w:rsidP="00D20E25">
      <w:pPr>
        <w:pStyle w:val="MediumGrid2-Accent11"/>
        <w:rPr>
          <w:lang w:val="en-US"/>
        </w:rPr>
      </w:pPr>
    </w:p>
    <w:p w14:paraId="00FD9488" w14:textId="56ACFEA1" w:rsidR="00360D2B" w:rsidRDefault="00D80E80" w:rsidP="00D20E25">
      <w:pPr>
        <w:pStyle w:val="MediumGrid2-Accent11"/>
      </w:pPr>
      <w:bookmarkStart w:id="1" w:name="_Hlk40252592"/>
      <w:r>
        <w:rPr>
          <w:lang w:val="en-US"/>
        </w:rPr>
        <w:t>IRS</w:t>
      </w:r>
      <w:r w:rsidR="00360D2B">
        <w:rPr>
          <w:lang w:val="en-US"/>
        </w:rPr>
        <w:t xml:space="preserve"> Notice 2020-</w:t>
      </w:r>
      <w:r>
        <w:rPr>
          <w:lang w:val="en-US"/>
        </w:rPr>
        <w:t>29</w:t>
      </w:r>
      <w:r w:rsidR="00360D2B">
        <w:rPr>
          <w:lang w:val="en-US"/>
        </w:rPr>
        <w:t xml:space="preserve"> </w:t>
      </w:r>
      <w:r w:rsidR="00265D3F">
        <w:rPr>
          <w:lang w:val="en-US"/>
        </w:rPr>
        <w:t>–</w:t>
      </w:r>
      <w:r w:rsidR="00360D2B">
        <w:rPr>
          <w:lang w:val="en-US"/>
        </w:rPr>
        <w:t xml:space="preserve"> </w:t>
      </w:r>
      <w:bookmarkEnd w:id="1"/>
      <w:r w:rsidR="00FE1A0F" w:rsidRPr="00FE1A0F">
        <w:rPr>
          <w:lang w:val="en-US"/>
        </w:rPr>
        <w:fldChar w:fldCharType="begin"/>
      </w:r>
      <w:r w:rsidR="00FE1A0F" w:rsidRPr="00FE1A0F">
        <w:rPr>
          <w:lang w:val="en-US"/>
        </w:rPr>
        <w:instrText xml:space="preserve"> HYPERLINK "https://www.irs.gov/pub/irs-drop/n-20-29.pdf" </w:instrText>
      </w:r>
      <w:r w:rsidR="00FE1A0F" w:rsidRPr="00FE1A0F">
        <w:rPr>
          <w:lang w:val="en-US"/>
        </w:rPr>
        <w:fldChar w:fldCharType="separate"/>
      </w:r>
      <w:r w:rsidR="00FE1A0F" w:rsidRPr="00FE1A0F">
        <w:rPr>
          <w:rStyle w:val="Hyperlink"/>
          <w:lang w:val="en-US"/>
        </w:rPr>
        <w:t>https://www.irs.gov/pub/irs-drop/n-20-29.pdf</w:t>
      </w:r>
      <w:r w:rsidR="00FE1A0F" w:rsidRPr="00FE1A0F">
        <w:rPr>
          <w:lang w:val="en-US"/>
        </w:rPr>
        <w:fldChar w:fldCharType="end"/>
      </w:r>
    </w:p>
    <w:p w14:paraId="542D4E7E" w14:textId="77777777" w:rsidR="0047037D" w:rsidRDefault="0047037D" w:rsidP="00D20E25">
      <w:pPr>
        <w:pStyle w:val="MediumGrid2-Accent11"/>
        <w:rPr>
          <w:lang w:val="en-US"/>
        </w:rPr>
      </w:pPr>
    </w:p>
    <w:p w14:paraId="5A9336CD" w14:textId="502AA017" w:rsidR="002743FF" w:rsidRDefault="00D80E80" w:rsidP="00D20E25">
      <w:pPr>
        <w:pStyle w:val="MediumGrid2-Accent11"/>
        <w:rPr>
          <w:lang w:val="en-US"/>
        </w:rPr>
      </w:pPr>
      <w:r w:rsidRPr="00D80E80">
        <w:rPr>
          <w:lang w:val="en-US"/>
        </w:rPr>
        <w:t>IRS Notice 2020-</w:t>
      </w:r>
      <w:r w:rsidR="00FE1A0F">
        <w:rPr>
          <w:lang w:val="en-US"/>
        </w:rPr>
        <w:t>33</w:t>
      </w:r>
      <w:r w:rsidRPr="00D80E80">
        <w:rPr>
          <w:lang w:val="en-US"/>
        </w:rPr>
        <w:t xml:space="preserve"> </w:t>
      </w:r>
      <w:r w:rsidR="00265D3F">
        <w:rPr>
          <w:lang w:val="en-US"/>
        </w:rPr>
        <w:t>–</w:t>
      </w:r>
      <w:r w:rsidRPr="00D80E80">
        <w:rPr>
          <w:lang w:val="en-US"/>
        </w:rPr>
        <w:t xml:space="preserve"> </w:t>
      </w:r>
      <w:hyperlink r:id="rId12" w:history="1">
        <w:r w:rsidR="00C56833" w:rsidRPr="00C56833">
          <w:rPr>
            <w:rStyle w:val="Hyperlink"/>
            <w:lang w:val="en-US"/>
          </w:rPr>
          <w:t>https://www.irs.gov/pub/irs-drop/n-20-33.pdf</w:t>
        </w:r>
      </w:hyperlink>
    </w:p>
    <w:p w14:paraId="735DEBBF" w14:textId="77777777" w:rsidR="005D1DEB" w:rsidRPr="00327CAE" w:rsidRDefault="005D1DEB" w:rsidP="00D20E25">
      <w:pPr>
        <w:pStyle w:val="MediumGrid2-Accent11"/>
        <w:rPr>
          <w:lang w:val="en-US"/>
        </w:rPr>
      </w:pPr>
    </w:p>
    <w:p w14:paraId="60BCDC12" w14:textId="77777777" w:rsidR="0047037D" w:rsidRDefault="0047037D" w:rsidP="00D20E25">
      <w:pPr>
        <w:pStyle w:val="MediumGrid2-Accent11"/>
        <w:rPr>
          <w:i/>
          <w:sz w:val="16"/>
          <w:szCs w:val="16"/>
        </w:rPr>
      </w:pPr>
    </w:p>
    <w:p w14:paraId="47D3152A" w14:textId="77777777" w:rsidR="0047037D" w:rsidRDefault="0047037D" w:rsidP="00D20E25">
      <w:pPr>
        <w:pStyle w:val="MediumGrid2-Accent11"/>
        <w:rPr>
          <w:i/>
          <w:sz w:val="16"/>
          <w:szCs w:val="16"/>
        </w:rPr>
      </w:pPr>
    </w:p>
    <w:p w14:paraId="1E2F7E18" w14:textId="0E4C77F6"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CF8C" w14:textId="77777777" w:rsidR="009610AD" w:rsidRDefault="009610AD" w:rsidP="00D20E25">
      <w:r>
        <w:separator/>
      </w:r>
    </w:p>
  </w:endnote>
  <w:endnote w:type="continuationSeparator" w:id="0">
    <w:p w14:paraId="5E3FF165" w14:textId="77777777" w:rsidR="009610AD" w:rsidRDefault="009610AD"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44D336D3" w:rsidR="005C07B5" w:rsidRDefault="005C07B5" w:rsidP="00D20E25">
    <w:pPr>
      <w:pStyle w:val="Footer"/>
      <w:jc w:val="center"/>
      <w:rPr>
        <w:lang w:val="en-US"/>
      </w:rPr>
    </w:pPr>
    <w:r w:rsidRPr="006C7EC1">
      <w:t>© 20</w:t>
    </w:r>
    <w:r w:rsidR="0047037D">
      <w:rPr>
        <w:lang w:val="en-US"/>
      </w:rPr>
      <w:t>20</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77777777" w:rsidR="00777C72" w:rsidRDefault="005C07B5" w:rsidP="00D20E25">
    <w:pPr>
      <w:pStyle w:val="Footer"/>
      <w:jc w:val="center"/>
      <w:rPr>
        <w:lang w:val="en-US"/>
      </w:rPr>
    </w:pPr>
    <w:r>
      <w:t>© 20</w:t>
    </w:r>
    <w:r w:rsidR="00777C72">
      <w:rPr>
        <w:lang w:val="en-US"/>
      </w:rPr>
      <w:t>20</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3927" w14:textId="77777777" w:rsidR="009610AD" w:rsidRDefault="009610AD" w:rsidP="00D20E25">
      <w:r>
        <w:separator/>
      </w:r>
    </w:p>
  </w:footnote>
  <w:footnote w:type="continuationSeparator" w:id="0">
    <w:p w14:paraId="0AB575CD" w14:textId="77777777" w:rsidR="009610AD" w:rsidRDefault="009610AD"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70464"/>
    <w:multiLevelType w:val="hybridMultilevel"/>
    <w:tmpl w:val="36CE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5745EA9"/>
    <w:multiLevelType w:val="hybridMultilevel"/>
    <w:tmpl w:val="BF2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E10CC"/>
    <w:multiLevelType w:val="hybridMultilevel"/>
    <w:tmpl w:val="52725622"/>
    <w:lvl w:ilvl="0" w:tplc="C2442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D3B3B"/>
    <w:multiLevelType w:val="hybridMultilevel"/>
    <w:tmpl w:val="1CA0A1CA"/>
    <w:lvl w:ilvl="0" w:tplc="26BC724A">
      <w:start w:val="12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8067E9"/>
    <w:multiLevelType w:val="hybridMultilevel"/>
    <w:tmpl w:val="4528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5247EED"/>
    <w:multiLevelType w:val="hybridMultilevel"/>
    <w:tmpl w:val="A3DE2CAC"/>
    <w:lvl w:ilvl="0" w:tplc="95B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9"/>
  </w:num>
  <w:num w:numId="3">
    <w:abstractNumId w:val="28"/>
  </w:num>
  <w:num w:numId="4">
    <w:abstractNumId w:val="14"/>
  </w:num>
  <w:num w:numId="5">
    <w:abstractNumId w:val="33"/>
  </w:num>
  <w:num w:numId="6">
    <w:abstractNumId w:val="12"/>
  </w:num>
  <w:num w:numId="7">
    <w:abstractNumId w:val="18"/>
  </w:num>
  <w:num w:numId="8">
    <w:abstractNumId w:val="35"/>
  </w:num>
  <w:num w:numId="9">
    <w:abstractNumId w:val="22"/>
  </w:num>
  <w:num w:numId="10">
    <w:abstractNumId w:val="41"/>
  </w:num>
  <w:num w:numId="11">
    <w:abstractNumId w:val="3"/>
  </w:num>
  <w:num w:numId="12">
    <w:abstractNumId w:val="20"/>
  </w:num>
  <w:num w:numId="13">
    <w:abstractNumId w:val="27"/>
  </w:num>
  <w:num w:numId="14">
    <w:abstractNumId w:val="44"/>
  </w:num>
  <w:num w:numId="15">
    <w:abstractNumId w:val="31"/>
  </w:num>
  <w:num w:numId="16">
    <w:abstractNumId w:val="40"/>
  </w:num>
  <w:num w:numId="17">
    <w:abstractNumId w:val="15"/>
  </w:num>
  <w:num w:numId="18">
    <w:abstractNumId w:val="24"/>
  </w:num>
  <w:num w:numId="19">
    <w:abstractNumId w:val="32"/>
  </w:num>
  <w:num w:numId="20">
    <w:abstractNumId w:val="42"/>
  </w:num>
  <w:num w:numId="21">
    <w:abstractNumId w:val="23"/>
  </w:num>
  <w:num w:numId="22">
    <w:abstractNumId w:val="38"/>
  </w:num>
  <w:num w:numId="23">
    <w:abstractNumId w:val="45"/>
  </w:num>
  <w:num w:numId="24">
    <w:abstractNumId w:val="36"/>
  </w:num>
  <w:num w:numId="25">
    <w:abstractNumId w:val="19"/>
  </w:num>
  <w:num w:numId="26">
    <w:abstractNumId w:val="17"/>
  </w:num>
  <w:num w:numId="27">
    <w:abstractNumId w:val="43"/>
  </w:num>
  <w:num w:numId="28">
    <w:abstractNumId w:val="13"/>
  </w:num>
  <w:num w:numId="29">
    <w:abstractNumId w:val="4"/>
  </w:num>
  <w:num w:numId="30">
    <w:abstractNumId w:val="16"/>
  </w:num>
  <w:num w:numId="31">
    <w:abstractNumId w:val="0"/>
  </w:num>
  <w:num w:numId="32">
    <w:abstractNumId w:val="25"/>
  </w:num>
  <w:num w:numId="33">
    <w:abstractNumId w:val="9"/>
  </w:num>
  <w:num w:numId="34">
    <w:abstractNumId w:val="7"/>
  </w:num>
  <w:num w:numId="35">
    <w:abstractNumId w:val="8"/>
  </w:num>
  <w:num w:numId="36">
    <w:abstractNumId w:val="5"/>
  </w:num>
  <w:num w:numId="37">
    <w:abstractNumId w:val="34"/>
  </w:num>
  <w:num w:numId="38">
    <w:abstractNumId w:val="2"/>
  </w:num>
  <w:num w:numId="39">
    <w:abstractNumId w:val="39"/>
  </w:num>
  <w:num w:numId="40">
    <w:abstractNumId w:val="30"/>
  </w:num>
  <w:num w:numId="41">
    <w:abstractNumId w:val="21"/>
  </w:num>
  <w:num w:numId="42">
    <w:abstractNumId w:val="1"/>
  </w:num>
  <w:num w:numId="43">
    <w:abstractNumId w:val="6"/>
  </w:num>
  <w:num w:numId="44">
    <w:abstractNumId w:val="10"/>
  </w:num>
  <w:num w:numId="45">
    <w:abstractNumId w:val="26"/>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66F5"/>
    <w:rsid w:val="000214AB"/>
    <w:rsid w:val="00030CBF"/>
    <w:rsid w:val="000360C6"/>
    <w:rsid w:val="0003657F"/>
    <w:rsid w:val="00041D34"/>
    <w:rsid w:val="00042D2A"/>
    <w:rsid w:val="000506AC"/>
    <w:rsid w:val="00052976"/>
    <w:rsid w:val="00054F4B"/>
    <w:rsid w:val="00055D59"/>
    <w:rsid w:val="00056425"/>
    <w:rsid w:val="00056762"/>
    <w:rsid w:val="00056A2E"/>
    <w:rsid w:val="0005786A"/>
    <w:rsid w:val="0006084A"/>
    <w:rsid w:val="0006208C"/>
    <w:rsid w:val="000628A0"/>
    <w:rsid w:val="0006416F"/>
    <w:rsid w:val="00065F15"/>
    <w:rsid w:val="00071F3D"/>
    <w:rsid w:val="00073F99"/>
    <w:rsid w:val="000741F9"/>
    <w:rsid w:val="00076EB8"/>
    <w:rsid w:val="000867F5"/>
    <w:rsid w:val="00086BE4"/>
    <w:rsid w:val="00090F22"/>
    <w:rsid w:val="00091B6D"/>
    <w:rsid w:val="00093BE1"/>
    <w:rsid w:val="00095AB3"/>
    <w:rsid w:val="00096B1E"/>
    <w:rsid w:val="00097A91"/>
    <w:rsid w:val="000A1DB6"/>
    <w:rsid w:val="000A2744"/>
    <w:rsid w:val="000A697A"/>
    <w:rsid w:val="000A797E"/>
    <w:rsid w:val="000B207F"/>
    <w:rsid w:val="000C41B5"/>
    <w:rsid w:val="000C5473"/>
    <w:rsid w:val="000D535B"/>
    <w:rsid w:val="000E03AB"/>
    <w:rsid w:val="000E668C"/>
    <w:rsid w:val="000F11E2"/>
    <w:rsid w:val="000F77C9"/>
    <w:rsid w:val="0010150B"/>
    <w:rsid w:val="00102B71"/>
    <w:rsid w:val="00102C3F"/>
    <w:rsid w:val="00103F85"/>
    <w:rsid w:val="00104680"/>
    <w:rsid w:val="00111542"/>
    <w:rsid w:val="001124A1"/>
    <w:rsid w:val="001134F3"/>
    <w:rsid w:val="00113F23"/>
    <w:rsid w:val="001152AA"/>
    <w:rsid w:val="0011556F"/>
    <w:rsid w:val="001271D7"/>
    <w:rsid w:val="00131AFE"/>
    <w:rsid w:val="00135ECD"/>
    <w:rsid w:val="00136659"/>
    <w:rsid w:val="00136B3A"/>
    <w:rsid w:val="00137BDB"/>
    <w:rsid w:val="00140769"/>
    <w:rsid w:val="00142A3F"/>
    <w:rsid w:val="00142D12"/>
    <w:rsid w:val="00142E33"/>
    <w:rsid w:val="001432A3"/>
    <w:rsid w:val="00144A9C"/>
    <w:rsid w:val="00145D3B"/>
    <w:rsid w:val="00150473"/>
    <w:rsid w:val="00150684"/>
    <w:rsid w:val="00160335"/>
    <w:rsid w:val="00167A18"/>
    <w:rsid w:val="00171AD4"/>
    <w:rsid w:val="0017684A"/>
    <w:rsid w:val="00177B5C"/>
    <w:rsid w:val="001824D9"/>
    <w:rsid w:val="00187547"/>
    <w:rsid w:val="001912DE"/>
    <w:rsid w:val="0019308E"/>
    <w:rsid w:val="00194607"/>
    <w:rsid w:val="001A6AA9"/>
    <w:rsid w:val="001A7C6F"/>
    <w:rsid w:val="001B0158"/>
    <w:rsid w:val="001B1A88"/>
    <w:rsid w:val="001B212E"/>
    <w:rsid w:val="001B3A60"/>
    <w:rsid w:val="001B72E7"/>
    <w:rsid w:val="001C1FBC"/>
    <w:rsid w:val="001C256F"/>
    <w:rsid w:val="001C66BB"/>
    <w:rsid w:val="001C70AE"/>
    <w:rsid w:val="001C78EB"/>
    <w:rsid w:val="001D1306"/>
    <w:rsid w:val="001D2D6E"/>
    <w:rsid w:val="001D58D8"/>
    <w:rsid w:val="001D745D"/>
    <w:rsid w:val="001E1A83"/>
    <w:rsid w:val="001E2972"/>
    <w:rsid w:val="001E37F9"/>
    <w:rsid w:val="001E3D5E"/>
    <w:rsid w:val="001E622E"/>
    <w:rsid w:val="001E68E8"/>
    <w:rsid w:val="001F0404"/>
    <w:rsid w:val="001F20E5"/>
    <w:rsid w:val="001F4334"/>
    <w:rsid w:val="0020023D"/>
    <w:rsid w:val="00200664"/>
    <w:rsid w:val="002033E6"/>
    <w:rsid w:val="0020685D"/>
    <w:rsid w:val="00211FC6"/>
    <w:rsid w:val="002168E8"/>
    <w:rsid w:val="00220D33"/>
    <w:rsid w:val="0022367B"/>
    <w:rsid w:val="00225744"/>
    <w:rsid w:val="0022650E"/>
    <w:rsid w:val="00226E7A"/>
    <w:rsid w:val="00231306"/>
    <w:rsid w:val="00235819"/>
    <w:rsid w:val="00242567"/>
    <w:rsid w:val="00245D1A"/>
    <w:rsid w:val="00246370"/>
    <w:rsid w:val="00247077"/>
    <w:rsid w:val="00253A9F"/>
    <w:rsid w:val="00255A5D"/>
    <w:rsid w:val="00261EFA"/>
    <w:rsid w:val="00262B4F"/>
    <w:rsid w:val="00265D3F"/>
    <w:rsid w:val="0026714B"/>
    <w:rsid w:val="00270D0F"/>
    <w:rsid w:val="00273D4E"/>
    <w:rsid w:val="002743FF"/>
    <w:rsid w:val="00277595"/>
    <w:rsid w:val="00277CAA"/>
    <w:rsid w:val="0029167B"/>
    <w:rsid w:val="002A51D5"/>
    <w:rsid w:val="002B061B"/>
    <w:rsid w:val="002B12A4"/>
    <w:rsid w:val="002B2FC2"/>
    <w:rsid w:val="002C078D"/>
    <w:rsid w:val="002C09D4"/>
    <w:rsid w:val="002C4ADB"/>
    <w:rsid w:val="002C7644"/>
    <w:rsid w:val="002D156B"/>
    <w:rsid w:val="002D198D"/>
    <w:rsid w:val="002D2E6A"/>
    <w:rsid w:val="002D6E4B"/>
    <w:rsid w:val="002E28DF"/>
    <w:rsid w:val="002E3EE6"/>
    <w:rsid w:val="002E3F16"/>
    <w:rsid w:val="002E41EF"/>
    <w:rsid w:val="002F1D78"/>
    <w:rsid w:val="002F2BFF"/>
    <w:rsid w:val="002F3FBC"/>
    <w:rsid w:val="002F5B6A"/>
    <w:rsid w:val="002F7CDF"/>
    <w:rsid w:val="002F7E7A"/>
    <w:rsid w:val="00305FF6"/>
    <w:rsid w:val="003105DC"/>
    <w:rsid w:val="00311883"/>
    <w:rsid w:val="00311D22"/>
    <w:rsid w:val="00314066"/>
    <w:rsid w:val="00317F9F"/>
    <w:rsid w:val="003231B2"/>
    <w:rsid w:val="003232FF"/>
    <w:rsid w:val="00325D34"/>
    <w:rsid w:val="00327CAE"/>
    <w:rsid w:val="00332855"/>
    <w:rsid w:val="003332F7"/>
    <w:rsid w:val="0033539F"/>
    <w:rsid w:val="00337651"/>
    <w:rsid w:val="00341F9B"/>
    <w:rsid w:val="00342727"/>
    <w:rsid w:val="00345B67"/>
    <w:rsid w:val="0034691B"/>
    <w:rsid w:val="00350334"/>
    <w:rsid w:val="00350918"/>
    <w:rsid w:val="00351813"/>
    <w:rsid w:val="00351B3F"/>
    <w:rsid w:val="003536E9"/>
    <w:rsid w:val="00355C5F"/>
    <w:rsid w:val="0035725D"/>
    <w:rsid w:val="003606B3"/>
    <w:rsid w:val="00360D2B"/>
    <w:rsid w:val="00364C1B"/>
    <w:rsid w:val="00367D54"/>
    <w:rsid w:val="00373838"/>
    <w:rsid w:val="0037534B"/>
    <w:rsid w:val="00376CF8"/>
    <w:rsid w:val="00376E7C"/>
    <w:rsid w:val="00377382"/>
    <w:rsid w:val="00377A73"/>
    <w:rsid w:val="00383956"/>
    <w:rsid w:val="00386166"/>
    <w:rsid w:val="003875B7"/>
    <w:rsid w:val="003902B6"/>
    <w:rsid w:val="003902B9"/>
    <w:rsid w:val="00391C98"/>
    <w:rsid w:val="0039272A"/>
    <w:rsid w:val="003955A0"/>
    <w:rsid w:val="00397F1D"/>
    <w:rsid w:val="003A15A0"/>
    <w:rsid w:val="003A234A"/>
    <w:rsid w:val="003A3A80"/>
    <w:rsid w:val="003A4580"/>
    <w:rsid w:val="003A5845"/>
    <w:rsid w:val="003A5F0F"/>
    <w:rsid w:val="003B0730"/>
    <w:rsid w:val="003B180D"/>
    <w:rsid w:val="003B2993"/>
    <w:rsid w:val="003B2A42"/>
    <w:rsid w:val="003B6374"/>
    <w:rsid w:val="003B7105"/>
    <w:rsid w:val="003C5B3D"/>
    <w:rsid w:val="003D2FCB"/>
    <w:rsid w:val="003D3ABE"/>
    <w:rsid w:val="003D5BB6"/>
    <w:rsid w:val="003D7285"/>
    <w:rsid w:val="003E5815"/>
    <w:rsid w:val="003E645C"/>
    <w:rsid w:val="003E6764"/>
    <w:rsid w:val="003F1194"/>
    <w:rsid w:val="003F2783"/>
    <w:rsid w:val="0040100E"/>
    <w:rsid w:val="004019B7"/>
    <w:rsid w:val="00402CF5"/>
    <w:rsid w:val="00403DFE"/>
    <w:rsid w:val="004067B9"/>
    <w:rsid w:val="00410AFB"/>
    <w:rsid w:val="00411921"/>
    <w:rsid w:val="00413426"/>
    <w:rsid w:val="004164F1"/>
    <w:rsid w:val="00421453"/>
    <w:rsid w:val="00424799"/>
    <w:rsid w:val="00425A06"/>
    <w:rsid w:val="00437DF2"/>
    <w:rsid w:val="00442014"/>
    <w:rsid w:val="00442266"/>
    <w:rsid w:val="0045000F"/>
    <w:rsid w:val="00452197"/>
    <w:rsid w:val="00453012"/>
    <w:rsid w:val="004537E2"/>
    <w:rsid w:val="00453816"/>
    <w:rsid w:val="0045477B"/>
    <w:rsid w:val="0046122B"/>
    <w:rsid w:val="00464CBE"/>
    <w:rsid w:val="00467218"/>
    <w:rsid w:val="00467FDA"/>
    <w:rsid w:val="0047037D"/>
    <w:rsid w:val="004827D1"/>
    <w:rsid w:val="0048519F"/>
    <w:rsid w:val="004851BB"/>
    <w:rsid w:val="004870C3"/>
    <w:rsid w:val="00487A03"/>
    <w:rsid w:val="00487B4C"/>
    <w:rsid w:val="00492EA5"/>
    <w:rsid w:val="00494C09"/>
    <w:rsid w:val="004A39D7"/>
    <w:rsid w:val="004B2781"/>
    <w:rsid w:val="004B2E8E"/>
    <w:rsid w:val="004B3E30"/>
    <w:rsid w:val="004B4147"/>
    <w:rsid w:val="004B6441"/>
    <w:rsid w:val="004C685A"/>
    <w:rsid w:val="004D3DCD"/>
    <w:rsid w:val="004D6488"/>
    <w:rsid w:val="004D76A4"/>
    <w:rsid w:val="004E114C"/>
    <w:rsid w:val="004E22B0"/>
    <w:rsid w:val="004E4565"/>
    <w:rsid w:val="004E551B"/>
    <w:rsid w:val="004F0122"/>
    <w:rsid w:val="004F2946"/>
    <w:rsid w:val="004F38E5"/>
    <w:rsid w:val="004F3981"/>
    <w:rsid w:val="004F4484"/>
    <w:rsid w:val="004F4A3B"/>
    <w:rsid w:val="00501E0D"/>
    <w:rsid w:val="0051372C"/>
    <w:rsid w:val="00515240"/>
    <w:rsid w:val="00515A9A"/>
    <w:rsid w:val="00521168"/>
    <w:rsid w:val="00521F45"/>
    <w:rsid w:val="005244D1"/>
    <w:rsid w:val="0052609C"/>
    <w:rsid w:val="00532F84"/>
    <w:rsid w:val="005345B1"/>
    <w:rsid w:val="00535872"/>
    <w:rsid w:val="005378A2"/>
    <w:rsid w:val="005406BA"/>
    <w:rsid w:val="00540CCF"/>
    <w:rsid w:val="00554B62"/>
    <w:rsid w:val="00554D66"/>
    <w:rsid w:val="0055601F"/>
    <w:rsid w:val="0055764A"/>
    <w:rsid w:val="00564D20"/>
    <w:rsid w:val="005660E9"/>
    <w:rsid w:val="0056690A"/>
    <w:rsid w:val="005718C3"/>
    <w:rsid w:val="00580B02"/>
    <w:rsid w:val="00581F18"/>
    <w:rsid w:val="00583030"/>
    <w:rsid w:val="00584C07"/>
    <w:rsid w:val="00584F1A"/>
    <w:rsid w:val="005851D4"/>
    <w:rsid w:val="00586571"/>
    <w:rsid w:val="0058733A"/>
    <w:rsid w:val="005926DA"/>
    <w:rsid w:val="00593F04"/>
    <w:rsid w:val="00595A34"/>
    <w:rsid w:val="005A5601"/>
    <w:rsid w:val="005B0103"/>
    <w:rsid w:val="005B2609"/>
    <w:rsid w:val="005B67EC"/>
    <w:rsid w:val="005B6BD5"/>
    <w:rsid w:val="005C07B5"/>
    <w:rsid w:val="005C1CDE"/>
    <w:rsid w:val="005C2382"/>
    <w:rsid w:val="005C4645"/>
    <w:rsid w:val="005D1DEB"/>
    <w:rsid w:val="005D2525"/>
    <w:rsid w:val="005E0615"/>
    <w:rsid w:val="005E4301"/>
    <w:rsid w:val="005E74DC"/>
    <w:rsid w:val="005F0D4C"/>
    <w:rsid w:val="005F1993"/>
    <w:rsid w:val="005F2269"/>
    <w:rsid w:val="005F3780"/>
    <w:rsid w:val="005F4D3F"/>
    <w:rsid w:val="005F6038"/>
    <w:rsid w:val="005F683F"/>
    <w:rsid w:val="00600FC4"/>
    <w:rsid w:val="00602B99"/>
    <w:rsid w:val="006034D7"/>
    <w:rsid w:val="00605355"/>
    <w:rsid w:val="006070AD"/>
    <w:rsid w:val="006102F4"/>
    <w:rsid w:val="006119D1"/>
    <w:rsid w:val="00613D28"/>
    <w:rsid w:val="006149F2"/>
    <w:rsid w:val="006158BC"/>
    <w:rsid w:val="00615DB3"/>
    <w:rsid w:val="00616FD0"/>
    <w:rsid w:val="00624D50"/>
    <w:rsid w:val="006257AB"/>
    <w:rsid w:val="006267B7"/>
    <w:rsid w:val="006312D2"/>
    <w:rsid w:val="00633D0E"/>
    <w:rsid w:val="00635259"/>
    <w:rsid w:val="0064212F"/>
    <w:rsid w:val="006466D7"/>
    <w:rsid w:val="00651856"/>
    <w:rsid w:val="00652E75"/>
    <w:rsid w:val="006577E9"/>
    <w:rsid w:val="00667C3C"/>
    <w:rsid w:val="006717AA"/>
    <w:rsid w:val="00675439"/>
    <w:rsid w:val="00683EE3"/>
    <w:rsid w:val="00685C8D"/>
    <w:rsid w:val="00686773"/>
    <w:rsid w:val="00686AFD"/>
    <w:rsid w:val="00686BD5"/>
    <w:rsid w:val="006924DC"/>
    <w:rsid w:val="00693AF0"/>
    <w:rsid w:val="00696ABA"/>
    <w:rsid w:val="006A167F"/>
    <w:rsid w:val="006A3ACB"/>
    <w:rsid w:val="006A612B"/>
    <w:rsid w:val="006A61F3"/>
    <w:rsid w:val="006A673C"/>
    <w:rsid w:val="006B1545"/>
    <w:rsid w:val="006B1E0F"/>
    <w:rsid w:val="006B23FC"/>
    <w:rsid w:val="006B28BC"/>
    <w:rsid w:val="006B35C9"/>
    <w:rsid w:val="006C3A3A"/>
    <w:rsid w:val="006C3EE1"/>
    <w:rsid w:val="006C6AB7"/>
    <w:rsid w:val="006C7B72"/>
    <w:rsid w:val="006C7EC1"/>
    <w:rsid w:val="006D14FE"/>
    <w:rsid w:val="006D5631"/>
    <w:rsid w:val="006E0C6C"/>
    <w:rsid w:val="006E0D2A"/>
    <w:rsid w:val="006E1247"/>
    <w:rsid w:val="006E42C0"/>
    <w:rsid w:val="006E4B3E"/>
    <w:rsid w:val="006E7E55"/>
    <w:rsid w:val="006F6C41"/>
    <w:rsid w:val="0070115B"/>
    <w:rsid w:val="00701E9A"/>
    <w:rsid w:val="00702E6B"/>
    <w:rsid w:val="00704336"/>
    <w:rsid w:val="00705AFD"/>
    <w:rsid w:val="00711EB9"/>
    <w:rsid w:val="00713909"/>
    <w:rsid w:val="00726A16"/>
    <w:rsid w:val="00730829"/>
    <w:rsid w:val="00736A9B"/>
    <w:rsid w:val="00742435"/>
    <w:rsid w:val="00744A90"/>
    <w:rsid w:val="007479B7"/>
    <w:rsid w:val="007508F7"/>
    <w:rsid w:val="0075284B"/>
    <w:rsid w:val="007571ED"/>
    <w:rsid w:val="0076006A"/>
    <w:rsid w:val="007619DB"/>
    <w:rsid w:val="00761AB3"/>
    <w:rsid w:val="00764D79"/>
    <w:rsid w:val="00765B8C"/>
    <w:rsid w:val="007705AC"/>
    <w:rsid w:val="007709F7"/>
    <w:rsid w:val="00771AEF"/>
    <w:rsid w:val="00771E34"/>
    <w:rsid w:val="00776816"/>
    <w:rsid w:val="007773AA"/>
    <w:rsid w:val="00777C72"/>
    <w:rsid w:val="00781D99"/>
    <w:rsid w:val="007821CE"/>
    <w:rsid w:val="0078577D"/>
    <w:rsid w:val="007908B7"/>
    <w:rsid w:val="00793F43"/>
    <w:rsid w:val="007A5C28"/>
    <w:rsid w:val="007A5F8B"/>
    <w:rsid w:val="007B1E18"/>
    <w:rsid w:val="007B4885"/>
    <w:rsid w:val="007B5719"/>
    <w:rsid w:val="007B7B05"/>
    <w:rsid w:val="007C3D13"/>
    <w:rsid w:val="007C4419"/>
    <w:rsid w:val="007C7637"/>
    <w:rsid w:val="007C77AA"/>
    <w:rsid w:val="007C7C7C"/>
    <w:rsid w:val="007D3E4D"/>
    <w:rsid w:val="007E18DE"/>
    <w:rsid w:val="007E193A"/>
    <w:rsid w:val="007E2565"/>
    <w:rsid w:val="007E377B"/>
    <w:rsid w:val="007E4665"/>
    <w:rsid w:val="007E53F1"/>
    <w:rsid w:val="007E6C1D"/>
    <w:rsid w:val="007E6FE9"/>
    <w:rsid w:val="007F33CC"/>
    <w:rsid w:val="007F34B4"/>
    <w:rsid w:val="007F5AD3"/>
    <w:rsid w:val="007F74EB"/>
    <w:rsid w:val="008020F4"/>
    <w:rsid w:val="0080349F"/>
    <w:rsid w:val="00803BFD"/>
    <w:rsid w:val="00804237"/>
    <w:rsid w:val="008052A3"/>
    <w:rsid w:val="00807AED"/>
    <w:rsid w:val="00807B7A"/>
    <w:rsid w:val="008100A8"/>
    <w:rsid w:val="00820177"/>
    <w:rsid w:val="0082082D"/>
    <w:rsid w:val="0083063B"/>
    <w:rsid w:val="00830ADC"/>
    <w:rsid w:val="008351DA"/>
    <w:rsid w:val="008362F4"/>
    <w:rsid w:val="00840509"/>
    <w:rsid w:val="0084554D"/>
    <w:rsid w:val="008477BE"/>
    <w:rsid w:val="00853CBD"/>
    <w:rsid w:val="00854D3A"/>
    <w:rsid w:val="0085510B"/>
    <w:rsid w:val="00855527"/>
    <w:rsid w:val="008557A4"/>
    <w:rsid w:val="00861448"/>
    <w:rsid w:val="008615C4"/>
    <w:rsid w:val="00862FF0"/>
    <w:rsid w:val="0086304F"/>
    <w:rsid w:val="008655E0"/>
    <w:rsid w:val="00866B99"/>
    <w:rsid w:val="00872707"/>
    <w:rsid w:val="0087409B"/>
    <w:rsid w:val="008928A9"/>
    <w:rsid w:val="008932B8"/>
    <w:rsid w:val="00897617"/>
    <w:rsid w:val="008A2216"/>
    <w:rsid w:val="008A5DF8"/>
    <w:rsid w:val="008A65DA"/>
    <w:rsid w:val="008A6EE1"/>
    <w:rsid w:val="008B44EF"/>
    <w:rsid w:val="008B7373"/>
    <w:rsid w:val="008C5B9D"/>
    <w:rsid w:val="008C712B"/>
    <w:rsid w:val="008D0598"/>
    <w:rsid w:val="008D3E3D"/>
    <w:rsid w:val="008D3E7A"/>
    <w:rsid w:val="008D5BAD"/>
    <w:rsid w:val="008D5D16"/>
    <w:rsid w:val="008D768E"/>
    <w:rsid w:val="008E2AFE"/>
    <w:rsid w:val="008E2D74"/>
    <w:rsid w:val="008E4117"/>
    <w:rsid w:val="008F0F5D"/>
    <w:rsid w:val="008F6B65"/>
    <w:rsid w:val="0090165E"/>
    <w:rsid w:val="00920883"/>
    <w:rsid w:val="00922438"/>
    <w:rsid w:val="00927D2F"/>
    <w:rsid w:val="0093040B"/>
    <w:rsid w:val="009312C4"/>
    <w:rsid w:val="00935D00"/>
    <w:rsid w:val="009411AC"/>
    <w:rsid w:val="00941C8D"/>
    <w:rsid w:val="00944B91"/>
    <w:rsid w:val="00951D03"/>
    <w:rsid w:val="00953048"/>
    <w:rsid w:val="009536DD"/>
    <w:rsid w:val="00953E85"/>
    <w:rsid w:val="00954AA6"/>
    <w:rsid w:val="009610AD"/>
    <w:rsid w:val="00977366"/>
    <w:rsid w:val="009832FD"/>
    <w:rsid w:val="0099275F"/>
    <w:rsid w:val="009A4AD6"/>
    <w:rsid w:val="009A6A5E"/>
    <w:rsid w:val="009B0614"/>
    <w:rsid w:val="009B3D09"/>
    <w:rsid w:val="009B4ECC"/>
    <w:rsid w:val="009B554A"/>
    <w:rsid w:val="009B580E"/>
    <w:rsid w:val="009B59B1"/>
    <w:rsid w:val="009B5ABE"/>
    <w:rsid w:val="009B5C1D"/>
    <w:rsid w:val="009C3F26"/>
    <w:rsid w:val="009C5E1D"/>
    <w:rsid w:val="009C6F68"/>
    <w:rsid w:val="009D2536"/>
    <w:rsid w:val="009D30FA"/>
    <w:rsid w:val="009D3637"/>
    <w:rsid w:val="009D6B8F"/>
    <w:rsid w:val="009D73B3"/>
    <w:rsid w:val="009E2006"/>
    <w:rsid w:val="009E21BA"/>
    <w:rsid w:val="009E2647"/>
    <w:rsid w:val="009E2F97"/>
    <w:rsid w:val="009E43E3"/>
    <w:rsid w:val="009E7E96"/>
    <w:rsid w:val="009F0EFE"/>
    <w:rsid w:val="009F1035"/>
    <w:rsid w:val="009F112E"/>
    <w:rsid w:val="009F1736"/>
    <w:rsid w:val="009F664E"/>
    <w:rsid w:val="00A04BF4"/>
    <w:rsid w:val="00A0574E"/>
    <w:rsid w:val="00A065E4"/>
    <w:rsid w:val="00A06657"/>
    <w:rsid w:val="00A10143"/>
    <w:rsid w:val="00A10ACE"/>
    <w:rsid w:val="00A139C1"/>
    <w:rsid w:val="00A17375"/>
    <w:rsid w:val="00A17C39"/>
    <w:rsid w:val="00A20097"/>
    <w:rsid w:val="00A21B8B"/>
    <w:rsid w:val="00A21DC4"/>
    <w:rsid w:val="00A31DD7"/>
    <w:rsid w:val="00A32D97"/>
    <w:rsid w:val="00A35CFA"/>
    <w:rsid w:val="00A40E4E"/>
    <w:rsid w:val="00A45E46"/>
    <w:rsid w:val="00A50245"/>
    <w:rsid w:val="00A51D54"/>
    <w:rsid w:val="00A54B1E"/>
    <w:rsid w:val="00A567EB"/>
    <w:rsid w:val="00A56B55"/>
    <w:rsid w:val="00A62B5A"/>
    <w:rsid w:val="00A65FD1"/>
    <w:rsid w:val="00A671B6"/>
    <w:rsid w:val="00A72ADC"/>
    <w:rsid w:val="00A83A72"/>
    <w:rsid w:val="00A840CD"/>
    <w:rsid w:val="00A92AE3"/>
    <w:rsid w:val="00A94DC8"/>
    <w:rsid w:val="00A9585D"/>
    <w:rsid w:val="00A960B0"/>
    <w:rsid w:val="00A97030"/>
    <w:rsid w:val="00AA285A"/>
    <w:rsid w:val="00AA3E90"/>
    <w:rsid w:val="00AA6A57"/>
    <w:rsid w:val="00AA7FCC"/>
    <w:rsid w:val="00AB0880"/>
    <w:rsid w:val="00AB08D4"/>
    <w:rsid w:val="00AB0F84"/>
    <w:rsid w:val="00AB1C85"/>
    <w:rsid w:val="00AB2DCF"/>
    <w:rsid w:val="00AC4622"/>
    <w:rsid w:val="00AC60D1"/>
    <w:rsid w:val="00AD13A6"/>
    <w:rsid w:val="00AD14A0"/>
    <w:rsid w:val="00AD3BD7"/>
    <w:rsid w:val="00AD5E20"/>
    <w:rsid w:val="00AD6A28"/>
    <w:rsid w:val="00AE1425"/>
    <w:rsid w:val="00AE2B47"/>
    <w:rsid w:val="00AE33B8"/>
    <w:rsid w:val="00AE34C5"/>
    <w:rsid w:val="00AF0B9D"/>
    <w:rsid w:val="00AF16AA"/>
    <w:rsid w:val="00AF2D80"/>
    <w:rsid w:val="00AF350F"/>
    <w:rsid w:val="00AF61C3"/>
    <w:rsid w:val="00B03D53"/>
    <w:rsid w:val="00B043B6"/>
    <w:rsid w:val="00B044DF"/>
    <w:rsid w:val="00B052A9"/>
    <w:rsid w:val="00B13068"/>
    <w:rsid w:val="00B14799"/>
    <w:rsid w:val="00B15106"/>
    <w:rsid w:val="00B16218"/>
    <w:rsid w:val="00B222FC"/>
    <w:rsid w:val="00B23092"/>
    <w:rsid w:val="00B3020C"/>
    <w:rsid w:val="00B32724"/>
    <w:rsid w:val="00B347E4"/>
    <w:rsid w:val="00B37088"/>
    <w:rsid w:val="00B4058C"/>
    <w:rsid w:val="00B415A9"/>
    <w:rsid w:val="00B470C4"/>
    <w:rsid w:val="00B47294"/>
    <w:rsid w:val="00B50978"/>
    <w:rsid w:val="00B51719"/>
    <w:rsid w:val="00B53A94"/>
    <w:rsid w:val="00B554D2"/>
    <w:rsid w:val="00B55BBA"/>
    <w:rsid w:val="00B57B5E"/>
    <w:rsid w:val="00B6090B"/>
    <w:rsid w:val="00B61220"/>
    <w:rsid w:val="00B63C1D"/>
    <w:rsid w:val="00B654BF"/>
    <w:rsid w:val="00B66B60"/>
    <w:rsid w:val="00B75CBA"/>
    <w:rsid w:val="00B76101"/>
    <w:rsid w:val="00B76571"/>
    <w:rsid w:val="00B76EE4"/>
    <w:rsid w:val="00B77E7B"/>
    <w:rsid w:val="00B803FC"/>
    <w:rsid w:val="00B8463D"/>
    <w:rsid w:val="00B85CE3"/>
    <w:rsid w:val="00B90848"/>
    <w:rsid w:val="00B925C8"/>
    <w:rsid w:val="00B9310B"/>
    <w:rsid w:val="00B9448D"/>
    <w:rsid w:val="00B96BF7"/>
    <w:rsid w:val="00B97972"/>
    <w:rsid w:val="00BA0FD3"/>
    <w:rsid w:val="00BA5209"/>
    <w:rsid w:val="00BA6FBA"/>
    <w:rsid w:val="00BB01DD"/>
    <w:rsid w:val="00BC1E4F"/>
    <w:rsid w:val="00BC5BB5"/>
    <w:rsid w:val="00BC6C2A"/>
    <w:rsid w:val="00BD04F4"/>
    <w:rsid w:val="00BD2EC1"/>
    <w:rsid w:val="00BE0984"/>
    <w:rsid w:val="00BE1037"/>
    <w:rsid w:val="00BE13D1"/>
    <w:rsid w:val="00BE24DE"/>
    <w:rsid w:val="00BE44E5"/>
    <w:rsid w:val="00BE5FA7"/>
    <w:rsid w:val="00BE609C"/>
    <w:rsid w:val="00BF49EF"/>
    <w:rsid w:val="00BF4E48"/>
    <w:rsid w:val="00C02714"/>
    <w:rsid w:val="00C0500E"/>
    <w:rsid w:val="00C13582"/>
    <w:rsid w:val="00C14297"/>
    <w:rsid w:val="00C14EB7"/>
    <w:rsid w:val="00C15765"/>
    <w:rsid w:val="00C20BC1"/>
    <w:rsid w:val="00C220C7"/>
    <w:rsid w:val="00C23BF9"/>
    <w:rsid w:val="00C24151"/>
    <w:rsid w:val="00C24CC8"/>
    <w:rsid w:val="00C27E44"/>
    <w:rsid w:val="00C32363"/>
    <w:rsid w:val="00C37884"/>
    <w:rsid w:val="00C43186"/>
    <w:rsid w:val="00C45660"/>
    <w:rsid w:val="00C47292"/>
    <w:rsid w:val="00C50AF7"/>
    <w:rsid w:val="00C50E3C"/>
    <w:rsid w:val="00C52050"/>
    <w:rsid w:val="00C56833"/>
    <w:rsid w:val="00C60F20"/>
    <w:rsid w:val="00C61CCE"/>
    <w:rsid w:val="00C62CC2"/>
    <w:rsid w:val="00C630AF"/>
    <w:rsid w:val="00C70F5A"/>
    <w:rsid w:val="00C83A55"/>
    <w:rsid w:val="00C85BF0"/>
    <w:rsid w:val="00C87D79"/>
    <w:rsid w:val="00CA4FDF"/>
    <w:rsid w:val="00CA6438"/>
    <w:rsid w:val="00CB0C4C"/>
    <w:rsid w:val="00CB2087"/>
    <w:rsid w:val="00CB7F8B"/>
    <w:rsid w:val="00CC5C69"/>
    <w:rsid w:val="00CC613A"/>
    <w:rsid w:val="00CD3AB1"/>
    <w:rsid w:val="00CD6579"/>
    <w:rsid w:val="00CD6C4A"/>
    <w:rsid w:val="00CD7892"/>
    <w:rsid w:val="00CE0674"/>
    <w:rsid w:val="00CE15AE"/>
    <w:rsid w:val="00CE2D96"/>
    <w:rsid w:val="00CE3584"/>
    <w:rsid w:val="00CE6B1B"/>
    <w:rsid w:val="00CF0101"/>
    <w:rsid w:val="00CF6E62"/>
    <w:rsid w:val="00D00064"/>
    <w:rsid w:val="00D0013D"/>
    <w:rsid w:val="00D04A21"/>
    <w:rsid w:val="00D05C20"/>
    <w:rsid w:val="00D10175"/>
    <w:rsid w:val="00D11913"/>
    <w:rsid w:val="00D12D97"/>
    <w:rsid w:val="00D12E64"/>
    <w:rsid w:val="00D20023"/>
    <w:rsid w:val="00D209A7"/>
    <w:rsid w:val="00D20E25"/>
    <w:rsid w:val="00D2204C"/>
    <w:rsid w:val="00D23705"/>
    <w:rsid w:val="00D31672"/>
    <w:rsid w:val="00D32DF1"/>
    <w:rsid w:val="00D33755"/>
    <w:rsid w:val="00D36388"/>
    <w:rsid w:val="00D44E36"/>
    <w:rsid w:val="00D513B0"/>
    <w:rsid w:val="00D51832"/>
    <w:rsid w:val="00D53AA5"/>
    <w:rsid w:val="00D541AD"/>
    <w:rsid w:val="00D636DB"/>
    <w:rsid w:val="00D676F5"/>
    <w:rsid w:val="00D67829"/>
    <w:rsid w:val="00D71F14"/>
    <w:rsid w:val="00D73543"/>
    <w:rsid w:val="00D75540"/>
    <w:rsid w:val="00D76D80"/>
    <w:rsid w:val="00D80E80"/>
    <w:rsid w:val="00D82A96"/>
    <w:rsid w:val="00D8313F"/>
    <w:rsid w:val="00D84DDC"/>
    <w:rsid w:val="00D87ED1"/>
    <w:rsid w:val="00D92A7F"/>
    <w:rsid w:val="00D93AFE"/>
    <w:rsid w:val="00D951AF"/>
    <w:rsid w:val="00D95C74"/>
    <w:rsid w:val="00D967F0"/>
    <w:rsid w:val="00D975E7"/>
    <w:rsid w:val="00DA0175"/>
    <w:rsid w:val="00DA15F5"/>
    <w:rsid w:val="00DA1860"/>
    <w:rsid w:val="00DA5084"/>
    <w:rsid w:val="00DA5878"/>
    <w:rsid w:val="00DA6314"/>
    <w:rsid w:val="00DB1126"/>
    <w:rsid w:val="00DB1B08"/>
    <w:rsid w:val="00DB46C3"/>
    <w:rsid w:val="00DB553D"/>
    <w:rsid w:val="00DC5B8F"/>
    <w:rsid w:val="00DC715C"/>
    <w:rsid w:val="00DC76EB"/>
    <w:rsid w:val="00DD1020"/>
    <w:rsid w:val="00DD1384"/>
    <w:rsid w:val="00DD1C09"/>
    <w:rsid w:val="00DD1F73"/>
    <w:rsid w:val="00DD3692"/>
    <w:rsid w:val="00DE14B8"/>
    <w:rsid w:val="00DE2CB3"/>
    <w:rsid w:val="00DE2CEC"/>
    <w:rsid w:val="00DE2E6F"/>
    <w:rsid w:val="00DE3D73"/>
    <w:rsid w:val="00DE428B"/>
    <w:rsid w:val="00DF24C0"/>
    <w:rsid w:val="00DF5014"/>
    <w:rsid w:val="00DF5D23"/>
    <w:rsid w:val="00E00694"/>
    <w:rsid w:val="00E0273B"/>
    <w:rsid w:val="00E03088"/>
    <w:rsid w:val="00E036CD"/>
    <w:rsid w:val="00E0746A"/>
    <w:rsid w:val="00E10762"/>
    <w:rsid w:val="00E1154E"/>
    <w:rsid w:val="00E15EAE"/>
    <w:rsid w:val="00E16305"/>
    <w:rsid w:val="00E17B5E"/>
    <w:rsid w:val="00E211F3"/>
    <w:rsid w:val="00E269D4"/>
    <w:rsid w:val="00E27423"/>
    <w:rsid w:val="00E30F4F"/>
    <w:rsid w:val="00E34058"/>
    <w:rsid w:val="00E37B09"/>
    <w:rsid w:val="00E44D13"/>
    <w:rsid w:val="00E44F0B"/>
    <w:rsid w:val="00E46632"/>
    <w:rsid w:val="00E46E1B"/>
    <w:rsid w:val="00E46F87"/>
    <w:rsid w:val="00E517E4"/>
    <w:rsid w:val="00E53468"/>
    <w:rsid w:val="00E53CBA"/>
    <w:rsid w:val="00E60066"/>
    <w:rsid w:val="00E60796"/>
    <w:rsid w:val="00E629AC"/>
    <w:rsid w:val="00E75E2A"/>
    <w:rsid w:val="00E76581"/>
    <w:rsid w:val="00E773C4"/>
    <w:rsid w:val="00E85813"/>
    <w:rsid w:val="00E85FF7"/>
    <w:rsid w:val="00E86D77"/>
    <w:rsid w:val="00E902FC"/>
    <w:rsid w:val="00EA7801"/>
    <w:rsid w:val="00EB2B80"/>
    <w:rsid w:val="00EB51B4"/>
    <w:rsid w:val="00EB6293"/>
    <w:rsid w:val="00EB76AE"/>
    <w:rsid w:val="00EB7F7A"/>
    <w:rsid w:val="00EC224B"/>
    <w:rsid w:val="00EC7661"/>
    <w:rsid w:val="00ED0E7A"/>
    <w:rsid w:val="00ED3020"/>
    <w:rsid w:val="00ED4AA4"/>
    <w:rsid w:val="00EE0D2F"/>
    <w:rsid w:val="00EE57CF"/>
    <w:rsid w:val="00EF1574"/>
    <w:rsid w:val="00EF1C04"/>
    <w:rsid w:val="00EF7919"/>
    <w:rsid w:val="00F03C4B"/>
    <w:rsid w:val="00F04145"/>
    <w:rsid w:val="00F05E10"/>
    <w:rsid w:val="00F06079"/>
    <w:rsid w:val="00F135A8"/>
    <w:rsid w:val="00F1623B"/>
    <w:rsid w:val="00F23712"/>
    <w:rsid w:val="00F33F3C"/>
    <w:rsid w:val="00F3534D"/>
    <w:rsid w:val="00F364AB"/>
    <w:rsid w:val="00F40D38"/>
    <w:rsid w:val="00F4702D"/>
    <w:rsid w:val="00F50A82"/>
    <w:rsid w:val="00F51421"/>
    <w:rsid w:val="00F51BB5"/>
    <w:rsid w:val="00F51DF1"/>
    <w:rsid w:val="00F535E7"/>
    <w:rsid w:val="00F55CEF"/>
    <w:rsid w:val="00F562CC"/>
    <w:rsid w:val="00F564E2"/>
    <w:rsid w:val="00F617E4"/>
    <w:rsid w:val="00F63D69"/>
    <w:rsid w:val="00F71C39"/>
    <w:rsid w:val="00F75275"/>
    <w:rsid w:val="00F76F87"/>
    <w:rsid w:val="00F80294"/>
    <w:rsid w:val="00F80D9C"/>
    <w:rsid w:val="00F83367"/>
    <w:rsid w:val="00F877B8"/>
    <w:rsid w:val="00F9060F"/>
    <w:rsid w:val="00F91499"/>
    <w:rsid w:val="00F91756"/>
    <w:rsid w:val="00F942A1"/>
    <w:rsid w:val="00F949F2"/>
    <w:rsid w:val="00F96382"/>
    <w:rsid w:val="00F96597"/>
    <w:rsid w:val="00F96859"/>
    <w:rsid w:val="00FA0322"/>
    <w:rsid w:val="00FA0739"/>
    <w:rsid w:val="00FA2F25"/>
    <w:rsid w:val="00FA4C44"/>
    <w:rsid w:val="00FA7D1E"/>
    <w:rsid w:val="00FB0360"/>
    <w:rsid w:val="00FB1408"/>
    <w:rsid w:val="00FB1588"/>
    <w:rsid w:val="00FB3435"/>
    <w:rsid w:val="00FB5867"/>
    <w:rsid w:val="00FB6812"/>
    <w:rsid w:val="00FD0F26"/>
    <w:rsid w:val="00FD20BF"/>
    <w:rsid w:val="00FD74A4"/>
    <w:rsid w:val="00FE1A0F"/>
    <w:rsid w:val="00FE5F9B"/>
    <w:rsid w:val="00FE7E7C"/>
    <w:rsid w:val="00FF1F6A"/>
    <w:rsid w:val="00FF5A4F"/>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18706017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n-20-3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1" ma:contentTypeDescription="Create a new document." ma:contentTypeScope="" ma:versionID="461f89d9e09e5105e098f0e058372348">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059e7169824374300e5c634b14b7a1b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001C-CE0A-4290-9747-32132E23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626F73C6-F271-D047-BDE1-D4D9462B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2018-01-08T16:59:00Z</cp:lastPrinted>
  <dcterms:created xsi:type="dcterms:W3CDTF">2020-05-13T21:23:00Z</dcterms:created>
  <dcterms:modified xsi:type="dcterms:W3CDTF">2020-05-13T21:23:00Z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