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5871" w14:textId="7A51612C" w:rsidR="00102C3F" w:rsidRDefault="001029DC" w:rsidP="00D20E25">
      <w:r>
        <w:rPr>
          <w:noProof/>
        </w:rPr>
        <w:drawing>
          <wp:anchor distT="0" distB="0" distL="114300" distR="114300" simplePos="0" relativeHeight="251658240" behindDoc="1" locked="0" layoutInCell="1" allowOverlap="1" wp14:anchorId="2B5EF197" wp14:editId="12B81E57">
            <wp:simplePos x="0" y="0"/>
            <wp:positionH relativeFrom="column">
              <wp:posOffset>-718185</wp:posOffset>
            </wp:positionH>
            <wp:positionV relativeFrom="paragraph">
              <wp:posOffset>121399</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E5">
        <w:rPr>
          <w:noProof/>
        </w:rPr>
        <mc:AlternateContent>
          <mc:Choice Requires="wps">
            <w:drawing>
              <wp:anchor distT="0" distB="0" distL="114300" distR="114300" simplePos="0" relativeHeight="251657216" behindDoc="0" locked="0" layoutInCell="1" allowOverlap="1" wp14:anchorId="7F9FAA8D" wp14:editId="1F09C53B">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FAA8D"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" filled="f" stroked="f">
                <v:path arrowok="t"/>
                <v:textbox>
                  <w:txbxContent>
                    <w:p w14:paraId="59EBFD8D" w14:textId="77777777" w:rsidR="005C07B5" w:rsidRPr="009B5ABE" w:rsidRDefault="005C07B5" w:rsidP="00D20E25">
                      <w:pPr>
                        <w:jc w:val="right"/>
                        <w:rPr>
                          <w:color w:val="FFFFFF"/>
                          <w:sz w:val="44"/>
                          <w:szCs w:val="44"/>
                        </w:rPr>
                      </w:pPr>
                      <w:r w:rsidRPr="009B5ABE">
                        <w:rPr>
                          <w:color w:val="FFFFFF"/>
                          <w:sz w:val="44"/>
                          <w:szCs w:val="44"/>
                        </w:rPr>
                        <w:t>Compliance Alert</w:t>
                      </w:r>
                    </w:p>
                    <w:p w14:paraId="4D6AECFA" w14:textId="77777777" w:rsidR="005C07B5" w:rsidRPr="00D636DB" w:rsidRDefault="005C07B5" w:rsidP="00D20E25">
                      <w:pPr>
                        <w:jc w:val="right"/>
                      </w:pPr>
                    </w:p>
                  </w:txbxContent>
                </v:textbox>
              </v:shape>
            </w:pict>
          </mc:Fallback>
        </mc:AlternateContent>
      </w:r>
    </w:p>
    <w:p w14:paraId="03B38C4B" w14:textId="77777777" w:rsidR="00383956" w:rsidRDefault="00383956" w:rsidP="00D20E25">
      <w:pPr>
        <w:pStyle w:val="Heading1"/>
      </w:pPr>
    </w:p>
    <w:p w14:paraId="49D0DB6B" w14:textId="77777777" w:rsidR="001029DC" w:rsidRDefault="001029DC" w:rsidP="00ED14BC">
      <w:pPr>
        <w:pStyle w:val="MediumGrid2-Accent11"/>
        <w:rPr>
          <w:b/>
          <w:bCs/>
          <w:sz w:val="24"/>
          <w:szCs w:val="24"/>
        </w:rPr>
      </w:pPr>
    </w:p>
    <w:p w14:paraId="4B9D909D" w14:textId="77777777" w:rsidR="001029DC" w:rsidRDefault="001029DC" w:rsidP="00ED14BC">
      <w:pPr>
        <w:pStyle w:val="MediumGrid2-Accent11"/>
        <w:rPr>
          <w:b/>
          <w:bCs/>
          <w:sz w:val="24"/>
          <w:szCs w:val="24"/>
        </w:rPr>
      </w:pPr>
    </w:p>
    <w:p w14:paraId="01044388" w14:textId="77777777" w:rsidR="001029DC" w:rsidRDefault="001029DC" w:rsidP="00ED14BC">
      <w:pPr>
        <w:pStyle w:val="MediumGrid2-Accent11"/>
        <w:rPr>
          <w:b/>
          <w:bCs/>
          <w:sz w:val="24"/>
          <w:szCs w:val="24"/>
        </w:rPr>
      </w:pPr>
    </w:p>
    <w:p w14:paraId="4E90080D" w14:textId="77777777" w:rsidR="001029DC" w:rsidRDefault="001029DC" w:rsidP="00ED14BC">
      <w:pPr>
        <w:pStyle w:val="MediumGrid2-Accent11"/>
        <w:rPr>
          <w:b/>
          <w:bCs/>
          <w:sz w:val="24"/>
          <w:szCs w:val="24"/>
        </w:rPr>
      </w:pPr>
    </w:p>
    <w:p w14:paraId="1D126DBF" w14:textId="77777777" w:rsidR="001029DC" w:rsidRDefault="001029DC" w:rsidP="00ED14BC">
      <w:pPr>
        <w:pStyle w:val="MediumGrid2-Accent11"/>
        <w:rPr>
          <w:b/>
          <w:bCs/>
          <w:sz w:val="24"/>
          <w:szCs w:val="24"/>
        </w:rPr>
      </w:pPr>
    </w:p>
    <w:p w14:paraId="5EF3B06F" w14:textId="77777777" w:rsidR="001029DC" w:rsidRDefault="001029DC" w:rsidP="00ED14BC">
      <w:pPr>
        <w:pStyle w:val="MediumGrid2-Accent11"/>
        <w:rPr>
          <w:b/>
          <w:bCs/>
          <w:sz w:val="24"/>
          <w:szCs w:val="24"/>
        </w:rPr>
      </w:pPr>
    </w:p>
    <w:p w14:paraId="1A19D74A" w14:textId="6708FD8B" w:rsidR="00ED14BC" w:rsidRPr="00A14BE0" w:rsidRDefault="00ED14BC" w:rsidP="00ED14BC">
      <w:pPr>
        <w:pStyle w:val="MediumGrid2-Accent11"/>
        <w:rPr>
          <w:b/>
          <w:bCs/>
          <w:sz w:val="24"/>
          <w:szCs w:val="24"/>
        </w:rPr>
      </w:pPr>
      <w:r w:rsidRPr="00A14BE0">
        <w:rPr>
          <w:b/>
          <w:bCs/>
          <w:sz w:val="24"/>
          <w:szCs w:val="24"/>
        </w:rPr>
        <w:t xml:space="preserve">REMINDER: PCORI Fees </w:t>
      </w:r>
    </w:p>
    <w:p w14:paraId="09E18D45" w14:textId="77777777" w:rsidR="007C54B2" w:rsidRPr="00ED14BC" w:rsidRDefault="007C54B2" w:rsidP="00ED14BC">
      <w:pPr>
        <w:pStyle w:val="MediumGrid2-Accent11"/>
        <w:rPr>
          <w:b/>
          <w:bCs/>
        </w:rPr>
      </w:pPr>
    </w:p>
    <w:p w14:paraId="6C64F4A4" w14:textId="531E524A" w:rsidR="00ED14BC" w:rsidRPr="00A14BE0" w:rsidRDefault="00ED14BC" w:rsidP="00ED14BC">
      <w:pPr>
        <w:pStyle w:val="MediumGrid2-Accent11"/>
        <w:rPr>
          <w:b/>
          <w:bCs/>
          <w:lang w:val="en-US"/>
        </w:rPr>
      </w:pPr>
      <w:r w:rsidRPr="00A14BE0">
        <w:rPr>
          <w:b/>
          <w:bCs/>
        </w:rPr>
        <w:t>Issue Date: May 20</w:t>
      </w:r>
      <w:r w:rsidR="007C54B2" w:rsidRPr="00A14BE0">
        <w:rPr>
          <w:b/>
          <w:bCs/>
          <w:lang w:val="en-US"/>
        </w:rPr>
        <w:t>20</w:t>
      </w:r>
    </w:p>
    <w:p w14:paraId="780A31B5" w14:textId="77777777" w:rsidR="00ED14BC" w:rsidRPr="00ED14BC" w:rsidRDefault="00ED14BC" w:rsidP="00ED14BC">
      <w:pPr>
        <w:pStyle w:val="MediumGrid2-Accent11"/>
      </w:pPr>
    </w:p>
    <w:p w14:paraId="3A21EFF4" w14:textId="350153C6" w:rsidR="0099053D" w:rsidRPr="007C54B2" w:rsidRDefault="00ED14BC" w:rsidP="0099053D">
      <w:pPr>
        <w:pStyle w:val="MediumGrid2-Accent11"/>
        <w:rPr>
          <w:lang w:val="en-US"/>
        </w:rPr>
      </w:pPr>
      <w:r w:rsidRPr="00ED14BC">
        <w:t>Employers who sponsored self-funded medical plans ending sometime during 201</w:t>
      </w:r>
      <w:r w:rsidR="007C54B2">
        <w:rPr>
          <w:lang w:val="en-US"/>
        </w:rPr>
        <w:t>9</w:t>
      </w:r>
      <w:r w:rsidRPr="00ED14BC">
        <w:t xml:space="preserve"> </w:t>
      </w:r>
      <w:r w:rsidR="007C54B2">
        <w:rPr>
          <w:lang w:val="en-US"/>
        </w:rPr>
        <w:t>are required to</w:t>
      </w:r>
      <w:r w:rsidRPr="00ED14BC">
        <w:t xml:space="preserve"> report and pay the ACA Patient-Centered Outcomes Research Institute (PCORI) fees no later than July 31, 20</w:t>
      </w:r>
      <w:r w:rsidR="007C54B2">
        <w:rPr>
          <w:lang w:val="en-US"/>
        </w:rPr>
        <w:t>20</w:t>
      </w:r>
      <w:r w:rsidRPr="00ED14BC">
        <w:t xml:space="preserve">. </w:t>
      </w:r>
      <w:r w:rsidR="007C54B2" w:rsidRPr="007C54B2">
        <w:t>In the spending bill passed late in 2019, the PCORI fee (which was set to expire) was extended another 10 years</w:t>
      </w:r>
      <w:r w:rsidR="007C54B2">
        <w:rPr>
          <w:lang w:val="en-US"/>
        </w:rPr>
        <w:t xml:space="preserve">, and therefore even plans ending in October – December 2019 are subject to the fee. </w:t>
      </w:r>
      <w:r w:rsidR="00A14BE0">
        <w:rPr>
          <w:lang w:val="en-US"/>
        </w:rPr>
        <w:t>At this time, the IRS has not provided any extension to the July 31</w:t>
      </w:r>
      <w:r w:rsidR="00A14BE0" w:rsidRPr="00A14BE0">
        <w:rPr>
          <w:vertAlign w:val="superscript"/>
          <w:lang w:val="en-US"/>
        </w:rPr>
        <w:t>st</w:t>
      </w:r>
      <w:r w:rsidR="00A14BE0">
        <w:rPr>
          <w:lang w:val="en-US"/>
        </w:rPr>
        <w:t xml:space="preserve"> deadline to report and pay the PCORI fee. </w:t>
      </w:r>
    </w:p>
    <w:p w14:paraId="42FF3F94" w14:textId="69656303" w:rsidR="00ED14BC" w:rsidRDefault="00ED14BC" w:rsidP="00ED14BC">
      <w:pPr>
        <w:pStyle w:val="MediumGrid2-Accent11"/>
      </w:pPr>
    </w:p>
    <w:p w14:paraId="719447F9" w14:textId="77777777" w:rsidR="00A14BE0" w:rsidRDefault="00A14BE0" w:rsidP="00ED14BC">
      <w:pPr>
        <w:pStyle w:val="MediumGrid2-Accent11"/>
      </w:pPr>
    </w:p>
    <w:p w14:paraId="5536E5BC" w14:textId="77777777" w:rsidR="0099053D" w:rsidRPr="0099053D" w:rsidRDefault="0099053D" w:rsidP="00ED14BC">
      <w:pPr>
        <w:pStyle w:val="MediumGrid2-Accent11"/>
        <w:rPr>
          <w:b/>
          <w:lang w:val="en-US"/>
        </w:rPr>
      </w:pPr>
      <w:r>
        <w:rPr>
          <w:b/>
          <w:lang w:val="en-US"/>
        </w:rPr>
        <w:t>Background</w:t>
      </w:r>
    </w:p>
    <w:p w14:paraId="32E98B73" w14:textId="0E7B90C7" w:rsidR="0099053D" w:rsidRPr="00A14BE0" w:rsidRDefault="00A14BE0" w:rsidP="0099053D">
      <w:pPr>
        <w:pStyle w:val="MediumGrid2-Accent11"/>
      </w:pPr>
      <w:r>
        <w:rPr>
          <w:lang w:val="en-US"/>
        </w:rPr>
        <w:t>General s</w:t>
      </w:r>
      <w:proofErr w:type="spellStart"/>
      <w:r w:rsidRPr="00ED14BC">
        <w:t>ummary</w:t>
      </w:r>
      <w:proofErr w:type="spellEnd"/>
      <w:r w:rsidRPr="00ED14BC">
        <w:t xml:space="preserve"> information regarding PCORI fees can be found at </w:t>
      </w:r>
      <w:hyperlink r:id="rId12" w:history="1">
        <w:r w:rsidRPr="00ED14BC">
          <w:rPr>
            <w:rStyle w:val="Hyperlink"/>
          </w:rPr>
          <w:t>https://www.irs.gov/newsroom/patient-centered-outcomes-research-institute-fee</w:t>
        </w:r>
      </w:hyperlink>
      <w:r>
        <w:rPr>
          <w:lang w:val="en-US"/>
        </w:rPr>
        <w:t xml:space="preserve">. </w:t>
      </w:r>
    </w:p>
    <w:p w14:paraId="44978542" w14:textId="77777777" w:rsidR="0099053D" w:rsidRDefault="0099053D" w:rsidP="0099053D">
      <w:pPr>
        <w:pStyle w:val="MediumGrid2-Accent11"/>
        <w:rPr>
          <w:lang w:val="en-US"/>
        </w:rPr>
      </w:pPr>
    </w:p>
    <w:p w14:paraId="5B5C591E" w14:textId="51D982BE" w:rsidR="0099053D" w:rsidRPr="00A14BE0" w:rsidRDefault="0099053D" w:rsidP="0099053D">
      <w:pPr>
        <w:pStyle w:val="MediumGrid2-Accent11"/>
      </w:pPr>
      <w:r w:rsidRPr="00ED14BC">
        <w:t>Health insurance carriers pay the fee directly in the case of fully-insured plans</w:t>
      </w:r>
      <w:r>
        <w:rPr>
          <w:lang w:val="en-US"/>
        </w:rPr>
        <w:t>, so employers offering only fully-insured group health plans do not have to do anything</w:t>
      </w:r>
      <w:r w:rsidRPr="00ED14BC">
        <w:t>.</w:t>
      </w:r>
      <w:r>
        <w:rPr>
          <w:lang w:val="en-US"/>
        </w:rPr>
        <w:t xml:space="preserve"> </w:t>
      </w:r>
      <w:r w:rsidR="007C54B2">
        <w:rPr>
          <w:lang w:val="en-US"/>
        </w:rPr>
        <w:t>However, e</w:t>
      </w:r>
      <w:r>
        <w:rPr>
          <w:lang w:val="en-US"/>
        </w:rPr>
        <w:t xml:space="preserve">mployers are responsible for reporting and paying the fee for any self-funded group health plans, including HRAs. </w:t>
      </w:r>
      <w:r w:rsidR="00A14BE0" w:rsidRPr="00ED14BC">
        <w:t>The PCORI fee applies to most group health plans, but not to excepted benefits. The IRS published a chart that describes the different types of plans subject to the fee</w:t>
      </w:r>
      <w:r w:rsidR="00A14BE0">
        <w:rPr>
          <w:lang w:val="en-US"/>
        </w:rPr>
        <w:t xml:space="preserve"> here -</w:t>
      </w:r>
      <w:r w:rsidR="00A14BE0" w:rsidRPr="00ED14BC">
        <w:t xml:space="preserve"> </w:t>
      </w:r>
      <w:hyperlink r:id="rId13" w:history="1">
        <w:r w:rsidR="00A14BE0" w:rsidRPr="00ED14BC">
          <w:rPr>
            <w:rStyle w:val="Hyperlink"/>
          </w:rPr>
          <w:t>https://www.irs.gov/newsroom/application-of-the-patient-centered-outcomes-research-trust-fund-fee-to-common-types-of-health-coverage-or-arrangements</w:t>
        </w:r>
      </w:hyperlink>
      <w:r w:rsidR="00A14BE0" w:rsidRPr="00ED14BC">
        <w:t>.</w:t>
      </w:r>
    </w:p>
    <w:p w14:paraId="00D3BF0D" w14:textId="69600C68" w:rsidR="0099053D" w:rsidRDefault="0099053D" w:rsidP="00ED14BC">
      <w:pPr>
        <w:pStyle w:val="MediumGrid2-Accent11"/>
      </w:pPr>
    </w:p>
    <w:p w14:paraId="24C8D031" w14:textId="3AC4ECEB" w:rsidR="00A14BE0" w:rsidRDefault="00A14BE0" w:rsidP="00ED14BC">
      <w:pPr>
        <w:pStyle w:val="MediumGrid2-Accent11"/>
      </w:pPr>
      <w:r w:rsidRPr="00ED14BC">
        <w:t xml:space="preserve">The fee is paid using quarterly excise tax Form 720 and must </w:t>
      </w:r>
      <w:r>
        <w:rPr>
          <w:lang w:val="en-US"/>
        </w:rPr>
        <w:t xml:space="preserve">generally </w:t>
      </w:r>
      <w:r w:rsidRPr="00ED14BC">
        <w:t>be paid no later than July 31</w:t>
      </w:r>
      <w:r w:rsidRPr="007C54B2">
        <w:rPr>
          <w:vertAlign w:val="superscript"/>
          <w:lang w:val="en-US"/>
        </w:rPr>
        <w:t>st</w:t>
      </w:r>
      <w:r>
        <w:rPr>
          <w:lang w:val="en-US"/>
        </w:rPr>
        <w:t xml:space="preserve"> </w:t>
      </w:r>
      <w:r w:rsidRPr="00ED14BC">
        <w:t>of the year following the last day of the plan year. If any corrections need to be made for prior years, use Form 720X.</w:t>
      </w:r>
    </w:p>
    <w:p w14:paraId="2FC1D30E" w14:textId="52B217BD" w:rsidR="00A14BE0" w:rsidRDefault="00A14BE0" w:rsidP="00ED14BC">
      <w:pPr>
        <w:pStyle w:val="MediumGrid2-Accent11"/>
      </w:pPr>
    </w:p>
    <w:p w14:paraId="1545888D" w14:textId="77777777" w:rsidR="00A14BE0" w:rsidRPr="00ED14BC" w:rsidRDefault="00A14BE0" w:rsidP="00ED14BC">
      <w:pPr>
        <w:pStyle w:val="MediumGrid2-Accent11"/>
      </w:pPr>
    </w:p>
    <w:p w14:paraId="5654FF75" w14:textId="02EB8A9B" w:rsidR="00ED14BC" w:rsidRPr="00A14BE0" w:rsidRDefault="00ED14BC" w:rsidP="00ED14BC">
      <w:pPr>
        <w:pStyle w:val="MediumGrid2-Accent11"/>
        <w:rPr>
          <w:b/>
          <w:lang w:val="en-US"/>
        </w:rPr>
      </w:pPr>
      <w:r w:rsidRPr="00ED14BC">
        <w:rPr>
          <w:b/>
        </w:rPr>
        <w:t>Fee</w:t>
      </w:r>
      <w:r w:rsidR="00A14BE0">
        <w:rPr>
          <w:b/>
          <w:lang w:val="en-US"/>
        </w:rPr>
        <w:t xml:space="preserve"> Amount</w:t>
      </w:r>
    </w:p>
    <w:p w14:paraId="15D90C04" w14:textId="6CBD3D0B" w:rsidR="00ED14BC" w:rsidRPr="00ED14BC" w:rsidRDefault="00ED14BC" w:rsidP="00ED14BC">
      <w:pPr>
        <w:pStyle w:val="MediumGrid2-Accent11"/>
      </w:pPr>
      <w:r w:rsidRPr="00ED14BC">
        <w:t>Payment amounts due in 20</w:t>
      </w:r>
      <w:r w:rsidR="007C54B2">
        <w:rPr>
          <w:lang w:val="en-US"/>
        </w:rPr>
        <w:t>20 will likely</w:t>
      </w:r>
      <w:r w:rsidRPr="00ED14BC">
        <w:t xml:space="preserve"> differ based on the employer’s plan year. The IRS put together a chart showing applicable fee amounts depending on the plan year end date at </w:t>
      </w:r>
      <w:hyperlink r:id="rId14" w:history="1">
        <w:r w:rsidRPr="00ED14BC">
          <w:rPr>
            <w:rStyle w:val="Hyperlink"/>
          </w:rPr>
          <w:t>https://www.irs.gov/affordable-care-act/patient-centered-outreach-research-institute-filing-due-dates-and-applicable-rates</w:t>
        </w:r>
      </w:hyperlink>
      <w:r w:rsidRPr="00ED14BC">
        <w:t>.</w:t>
      </w:r>
    </w:p>
    <w:p w14:paraId="42AEB298" w14:textId="394241EF" w:rsidR="00ED14BC" w:rsidRPr="00ED14BC" w:rsidRDefault="00ED14BC" w:rsidP="00ED14BC">
      <w:pPr>
        <w:pStyle w:val="MediumGrid2-Accent11"/>
        <w:numPr>
          <w:ilvl w:val="0"/>
          <w:numId w:val="39"/>
        </w:numPr>
      </w:pPr>
      <w:r w:rsidRPr="00ED14BC">
        <w:t>$2.</w:t>
      </w:r>
      <w:r w:rsidR="007C54B2">
        <w:rPr>
          <w:lang w:val="en-US"/>
        </w:rPr>
        <w:t>45</w:t>
      </w:r>
      <w:r w:rsidRPr="00ED14BC">
        <w:t xml:space="preserve"> per covered life for plan years ending in January – September 201</w:t>
      </w:r>
      <w:r w:rsidR="007C54B2">
        <w:rPr>
          <w:lang w:val="en-US"/>
        </w:rPr>
        <w:t>9</w:t>
      </w:r>
      <w:r w:rsidRPr="00ED14BC">
        <w:t>.</w:t>
      </w:r>
    </w:p>
    <w:p w14:paraId="43065373" w14:textId="75A81948" w:rsidR="00ED14BC" w:rsidRPr="00ED14BC" w:rsidRDefault="007C54B2" w:rsidP="00ED14BC">
      <w:pPr>
        <w:pStyle w:val="MediumGrid2-Accent11"/>
        <w:numPr>
          <w:ilvl w:val="0"/>
          <w:numId w:val="39"/>
        </w:numPr>
      </w:pPr>
      <w:r>
        <w:rPr>
          <w:lang w:val="en-US"/>
        </w:rPr>
        <w:t>???</w:t>
      </w:r>
      <w:r w:rsidR="00ED14BC" w:rsidRPr="00ED14BC">
        <w:t xml:space="preserve"> per covered life for plan years ending in October – December 201</w:t>
      </w:r>
      <w:r>
        <w:rPr>
          <w:lang w:val="en-US"/>
        </w:rPr>
        <w:t>9</w:t>
      </w:r>
      <w:r w:rsidR="00ED14BC" w:rsidRPr="00ED14BC">
        <w:t>.</w:t>
      </w:r>
    </w:p>
    <w:p w14:paraId="64BC41A2" w14:textId="08DBE3FB" w:rsidR="00ED14BC" w:rsidRDefault="00ED14BC" w:rsidP="00ED14BC">
      <w:pPr>
        <w:pStyle w:val="MediumGrid2-Accent11"/>
      </w:pPr>
    </w:p>
    <w:p w14:paraId="76C5CC60" w14:textId="7F0B31F2" w:rsidR="007C54B2" w:rsidRDefault="007C54B2" w:rsidP="00ED14BC">
      <w:pPr>
        <w:pStyle w:val="MediumGrid2-Accent11"/>
        <w:rPr>
          <w:lang w:val="en-US"/>
        </w:rPr>
      </w:pPr>
      <w:r>
        <w:rPr>
          <w:lang w:val="en-US"/>
        </w:rPr>
        <w:t xml:space="preserve">Since the PCORI fee was extended, the IRS has not provided the updated fee for plan years ending in October, November or December 2019, and has not updated Form 720 either. The IRS will need to provide this information before the fees can be reported and paid. </w:t>
      </w:r>
      <w:r w:rsidRPr="007C54B2">
        <w:rPr>
          <w:lang w:val="en-US"/>
        </w:rPr>
        <w:t>We expect the fee to increase slightly, but it will probably be less than $3</w:t>
      </w:r>
      <w:r>
        <w:rPr>
          <w:lang w:val="en-US"/>
        </w:rPr>
        <w:t xml:space="preserve"> per covered life</w:t>
      </w:r>
      <w:r w:rsidRPr="007C54B2">
        <w:rPr>
          <w:lang w:val="en-US"/>
        </w:rPr>
        <w:t>.</w:t>
      </w:r>
    </w:p>
    <w:p w14:paraId="7718F895" w14:textId="048125FF" w:rsidR="007C54B2" w:rsidRDefault="007C54B2" w:rsidP="00ED14BC">
      <w:pPr>
        <w:pStyle w:val="MediumGrid2-Accent11"/>
        <w:rPr>
          <w:lang w:val="en-US"/>
        </w:rPr>
      </w:pPr>
    </w:p>
    <w:p w14:paraId="1E5334A1" w14:textId="77777777" w:rsidR="001029DC" w:rsidRDefault="001029DC">
      <w:pPr>
        <w:rPr>
          <w:lang w:eastAsia="x-none"/>
        </w:rPr>
      </w:pPr>
      <w:r>
        <w:br w:type="page"/>
      </w:r>
    </w:p>
    <w:p w14:paraId="7A42B1E1" w14:textId="77777777" w:rsidR="001029DC" w:rsidRDefault="001029DC" w:rsidP="00ED14BC">
      <w:pPr>
        <w:pStyle w:val="MediumGrid2-Accent11"/>
        <w:rPr>
          <w:b/>
        </w:rPr>
      </w:pPr>
    </w:p>
    <w:p w14:paraId="252EE268" w14:textId="7916C9A5" w:rsidR="00ED14BC" w:rsidRPr="00ED14BC" w:rsidRDefault="00ED14BC" w:rsidP="00ED14BC">
      <w:pPr>
        <w:pStyle w:val="MediumGrid2-Accent11"/>
        <w:rPr>
          <w:b/>
        </w:rPr>
      </w:pPr>
      <w:r w:rsidRPr="00ED14BC">
        <w:rPr>
          <w:b/>
        </w:rPr>
        <w:t>Calculating the Average Covered Lives</w:t>
      </w:r>
    </w:p>
    <w:p w14:paraId="12B0819B" w14:textId="77777777" w:rsidR="00ED14BC" w:rsidRPr="00ED14BC" w:rsidRDefault="00ED14BC" w:rsidP="00ED14BC">
      <w:pPr>
        <w:pStyle w:val="MediumGrid2-Accent11"/>
      </w:pPr>
      <w:r w:rsidRPr="00ED14BC">
        <w:t xml:space="preserve">Self-funded plans may use one of three methods to determine the average covered lives. Plan sponsors must stick with one method for the entire plan year, but are allowed to change from year to year.  </w:t>
      </w:r>
      <w:bookmarkStart w:id="0" w:name="HCRFRM:4264.11"/>
      <w:bookmarkEnd w:id="0"/>
    </w:p>
    <w:p w14:paraId="1868D846" w14:textId="77777777" w:rsidR="00ED14BC" w:rsidRPr="00ED14BC" w:rsidRDefault="00ED14BC" w:rsidP="006469E5">
      <w:pPr>
        <w:pStyle w:val="MediumGrid2-Accent11"/>
        <w:numPr>
          <w:ilvl w:val="0"/>
          <w:numId w:val="40"/>
        </w:numPr>
        <w:rPr>
          <w:iCs/>
        </w:rPr>
      </w:pPr>
      <w:r w:rsidRPr="00ED14BC">
        <w:rPr>
          <w:bCs/>
          <w:iCs/>
          <w:u w:val="single"/>
        </w:rPr>
        <w:t>Actual Count Method</w:t>
      </w:r>
      <w:r w:rsidRPr="00ED14BC">
        <w:rPr>
          <w:iCs/>
        </w:rPr>
        <w:t xml:space="preserve"> – Calculate the lives covered for each day of the plan year and divide by the number of days in the plan year. </w:t>
      </w:r>
    </w:p>
    <w:p w14:paraId="093DBB6B" w14:textId="77777777" w:rsidR="00ED14BC" w:rsidRPr="00ED14BC" w:rsidRDefault="00ED14BC" w:rsidP="006469E5">
      <w:pPr>
        <w:pStyle w:val="MediumGrid2-Accent11"/>
        <w:numPr>
          <w:ilvl w:val="0"/>
          <w:numId w:val="40"/>
        </w:numPr>
      </w:pPr>
      <w:bookmarkStart w:id="1" w:name="HCRFRM:4264.13"/>
      <w:bookmarkEnd w:id="1"/>
      <w:r w:rsidRPr="00ED14BC">
        <w:rPr>
          <w:bCs/>
          <w:u w:val="single"/>
        </w:rPr>
        <w:t>Snapshot Method</w:t>
      </w:r>
      <w:r w:rsidRPr="00ED14BC">
        <w:t xml:space="preserve"> – Add the lives covered on a date during the first, second, or third month in each quarter, or an equal number of dates for each quarter, and divide the total by the number of dates on which a count was made. There are two methods for counting family members: </w:t>
      </w:r>
    </w:p>
    <w:p w14:paraId="204B9E03" w14:textId="77777777" w:rsidR="00ED14BC" w:rsidRPr="00ED14BC" w:rsidRDefault="00ED14BC" w:rsidP="006469E5">
      <w:pPr>
        <w:pStyle w:val="MediumGrid2-Accent11"/>
        <w:ind w:left="1440"/>
      </w:pPr>
      <w:r w:rsidRPr="00ED14BC">
        <w:t xml:space="preserve">(a) Count the actual lives covered on the designated date; or </w:t>
      </w:r>
    </w:p>
    <w:p w14:paraId="0FF99E07" w14:textId="77777777" w:rsidR="00ED14BC" w:rsidRPr="00ED14BC" w:rsidRDefault="00ED14BC" w:rsidP="006469E5">
      <w:pPr>
        <w:pStyle w:val="MediumGrid2-Accent11"/>
        <w:ind w:left="1440"/>
      </w:pPr>
      <w:r w:rsidRPr="00ED14BC">
        <w:t>(b) Count the participants with self-only coverage on the designated date, plus the participants with coverage other than self-only coverage on the designated date multiplied by 2.35</w:t>
      </w:r>
      <w:bookmarkStart w:id="2" w:name="SRC_167"/>
      <w:bookmarkStart w:id="3" w:name="HCRFRM:4264.17"/>
      <w:bookmarkEnd w:id="2"/>
      <w:bookmarkEnd w:id="3"/>
      <w:r w:rsidRPr="00ED14BC">
        <w:t>.</w:t>
      </w:r>
    </w:p>
    <w:p w14:paraId="76302A36" w14:textId="77777777" w:rsidR="00ED14BC" w:rsidRPr="00ED14BC" w:rsidRDefault="00ED14BC" w:rsidP="006469E5">
      <w:pPr>
        <w:pStyle w:val="MediumGrid2-Accent11"/>
        <w:numPr>
          <w:ilvl w:val="0"/>
          <w:numId w:val="40"/>
        </w:numPr>
      </w:pPr>
      <w:r w:rsidRPr="00ED14BC">
        <w:rPr>
          <w:bCs/>
          <w:u w:val="single"/>
        </w:rPr>
        <w:t>Form 5500 Method</w:t>
      </w:r>
      <w:r w:rsidRPr="00ED14BC">
        <w:t xml:space="preserve"> – Use the participants actually reported on the Form 5500 for the plan year (this method may be used only if the Form 5500 is filed no later than the due date for the fee imposed for that plan year). Total number of lives is determined by adding the participant counts at the beginning and the end of the plan year. Note—if a plan offers only single coverage, the final result is divided by 2.</w:t>
      </w:r>
    </w:p>
    <w:p w14:paraId="30D0583F" w14:textId="77777777" w:rsidR="00ED14BC" w:rsidRPr="00ED14BC" w:rsidRDefault="00ED14BC" w:rsidP="00ED14BC">
      <w:pPr>
        <w:pStyle w:val="MediumGrid2-Accent11"/>
      </w:pPr>
    </w:p>
    <w:p w14:paraId="43D641D4" w14:textId="77777777" w:rsidR="00ED14BC" w:rsidRPr="00ED14BC" w:rsidRDefault="00ED14BC" w:rsidP="00ED14BC">
      <w:pPr>
        <w:pStyle w:val="MediumGrid2-Accent11"/>
      </w:pPr>
      <w:r w:rsidRPr="00ED14BC">
        <w:t>Special rules for counting covered lives:</w:t>
      </w:r>
    </w:p>
    <w:p w14:paraId="0DA82CCC" w14:textId="77777777" w:rsidR="00ED14BC" w:rsidRPr="00ED14BC" w:rsidRDefault="00ED14BC" w:rsidP="00515089">
      <w:pPr>
        <w:pStyle w:val="MediumGrid2-Accent11"/>
        <w:numPr>
          <w:ilvl w:val="0"/>
          <w:numId w:val="20"/>
        </w:numPr>
      </w:pPr>
      <w:r w:rsidRPr="00ED14BC">
        <w:rPr>
          <w:u w:val="single"/>
        </w:rPr>
        <w:t>Multiple Self-Funded Plans</w:t>
      </w:r>
      <w:r w:rsidR="00515089">
        <w:rPr>
          <w:lang w:val="en-US"/>
        </w:rPr>
        <w:t xml:space="preserve"> – </w:t>
      </w:r>
      <w:r w:rsidRPr="00ED14BC">
        <w:t>If one plan sponsor maintains more than one self-funded health plan with the same plan year, the arrangements can be treated as a single plan for purposes of the fee.</w:t>
      </w:r>
    </w:p>
    <w:p w14:paraId="07CB4C3B" w14:textId="3A98F998" w:rsidR="00D20E25" w:rsidRPr="00515089" w:rsidRDefault="00ED14BC" w:rsidP="00D20E25">
      <w:pPr>
        <w:pStyle w:val="MediumGrid2-Accent11"/>
        <w:numPr>
          <w:ilvl w:val="0"/>
          <w:numId w:val="20"/>
        </w:numPr>
        <w:rPr>
          <w:u w:val="single"/>
        </w:rPr>
      </w:pPr>
      <w:r w:rsidRPr="00ED14BC">
        <w:rPr>
          <w:u w:val="single"/>
        </w:rPr>
        <w:t>HRAs</w:t>
      </w:r>
      <w:r w:rsidR="00515089" w:rsidRPr="00515089">
        <w:rPr>
          <w:lang w:val="en-US"/>
        </w:rPr>
        <w:t xml:space="preserve"> </w:t>
      </w:r>
      <w:r w:rsidR="00515089" w:rsidRPr="00515089">
        <w:t xml:space="preserve">– </w:t>
      </w:r>
      <w:r w:rsidRPr="00ED14BC">
        <w:t xml:space="preserve">An employer who sponsors an HRA </w:t>
      </w:r>
      <w:r w:rsidRPr="00515089">
        <w:rPr>
          <w:i/>
        </w:rPr>
        <w:t>integrated</w:t>
      </w:r>
      <w:r w:rsidRPr="00ED14BC">
        <w:t xml:space="preserve"> with a fully-insured medical plan is required to pay the fee only with respect to each HRA participant/employee (not required to count dependents or beneficiaries).</w:t>
      </w:r>
    </w:p>
    <w:p w14:paraId="1D3816CD" w14:textId="77777777" w:rsidR="006E42C0" w:rsidRDefault="006E42C0" w:rsidP="00D20E25">
      <w:pPr>
        <w:pStyle w:val="MediumGrid2-Accent11"/>
      </w:pPr>
    </w:p>
    <w:p w14:paraId="0BCF8620" w14:textId="55575BCE" w:rsidR="00515089" w:rsidRDefault="00515089" w:rsidP="00D20E25">
      <w:pPr>
        <w:pStyle w:val="MediumGrid2-Accent11"/>
      </w:pPr>
    </w:p>
    <w:p w14:paraId="1369DFF4" w14:textId="77777777" w:rsidR="00A14BE0" w:rsidRPr="00D20E25" w:rsidRDefault="00A14BE0" w:rsidP="00D20E25">
      <w:pPr>
        <w:pStyle w:val="MediumGrid2-Accent11"/>
      </w:pPr>
    </w:p>
    <w:p w14:paraId="33593053"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5"/>
      <w:footerReference w:type="first" r:id="rId16"/>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CDD3" w14:textId="77777777" w:rsidR="00CB233F" w:rsidRDefault="00CB233F" w:rsidP="00D20E25">
      <w:r>
        <w:separator/>
      </w:r>
    </w:p>
  </w:endnote>
  <w:endnote w:type="continuationSeparator" w:id="0">
    <w:p w14:paraId="1B1BAB72" w14:textId="77777777" w:rsidR="00CB233F" w:rsidRDefault="00CB233F"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DF43" w14:textId="77777777" w:rsidR="005C07B5" w:rsidRDefault="005C07B5" w:rsidP="00D20E25">
    <w:pPr>
      <w:pStyle w:val="Footer"/>
      <w:jc w:val="center"/>
    </w:pPr>
  </w:p>
  <w:p w14:paraId="39CFF0EC" w14:textId="1FB5BAD7" w:rsidR="005C07B5" w:rsidRDefault="005C07B5" w:rsidP="00D20E25">
    <w:pPr>
      <w:pStyle w:val="Footer"/>
      <w:jc w:val="center"/>
      <w:rPr>
        <w:lang w:val="en-US"/>
      </w:rPr>
    </w:pPr>
    <w:r w:rsidRPr="006C7EC1">
      <w:t>© 20</w:t>
    </w:r>
    <w:r w:rsidR="00A14BE0">
      <w:rPr>
        <w:lang w:val="en-US"/>
      </w:rPr>
      <w:t>20</w:t>
    </w:r>
    <w:r w:rsidRPr="006C7EC1">
      <w:t xml:space="preserve"> </w:t>
    </w:r>
    <w:r>
      <w:t>Benefit Comply, LLC</w:t>
    </w:r>
  </w:p>
  <w:p w14:paraId="795A5091"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EF" w14:textId="254128B9" w:rsidR="005C07B5" w:rsidRDefault="005C07B5" w:rsidP="00D20E25">
    <w:pPr>
      <w:pStyle w:val="Footer"/>
      <w:jc w:val="center"/>
      <w:rPr>
        <w:lang w:val="en-US"/>
      </w:rPr>
    </w:pPr>
    <w:r>
      <w:t>© 20</w:t>
    </w:r>
    <w:r w:rsidR="00A14BE0">
      <w:rPr>
        <w:lang w:val="en-US"/>
      </w:rPr>
      <w:t>20</w:t>
    </w:r>
    <w:r w:rsidRPr="006C7EC1">
      <w:t xml:space="preserve"> </w:t>
    </w:r>
    <w:r>
      <w:t>Benefit Comply, LLC</w:t>
    </w:r>
  </w:p>
  <w:p w14:paraId="2383CB18"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971D2A">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51A3" w14:textId="77777777" w:rsidR="00CB233F" w:rsidRDefault="00CB233F" w:rsidP="00D20E25">
      <w:r>
        <w:separator/>
      </w:r>
    </w:p>
  </w:footnote>
  <w:footnote w:type="continuationSeparator" w:id="0">
    <w:p w14:paraId="7D707A44" w14:textId="77777777" w:rsidR="00CB233F" w:rsidRDefault="00CB233F"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4559C8"/>
    <w:multiLevelType w:val="hybridMultilevel"/>
    <w:tmpl w:val="79E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3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3"/>
  </w:num>
  <w:num w:numId="3">
    <w:abstractNumId w:val="22"/>
  </w:num>
  <w:num w:numId="4">
    <w:abstractNumId w:val="8"/>
  </w:num>
  <w:num w:numId="5">
    <w:abstractNumId w:val="27"/>
  </w:num>
  <w:num w:numId="6">
    <w:abstractNumId w:val="6"/>
  </w:num>
  <w:num w:numId="7">
    <w:abstractNumId w:val="12"/>
  </w:num>
  <w:num w:numId="8">
    <w:abstractNumId w:val="28"/>
  </w:num>
  <w:num w:numId="9">
    <w:abstractNumId w:val="15"/>
  </w:num>
  <w:num w:numId="10">
    <w:abstractNumId w:val="33"/>
  </w:num>
  <w:num w:numId="11">
    <w:abstractNumId w:val="1"/>
  </w:num>
  <w:num w:numId="12">
    <w:abstractNumId w:val="14"/>
  </w:num>
  <w:num w:numId="13">
    <w:abstractNumId w:val="21"/>
  </w:num>
  <w:num w:numId="14">
    <w:abstractNumId w:val="38"/>
  </w:num>
  <w:num w:numId="15">
    <w:abstractNumId w:val="25"/>
  </w:num>
  <w:num w:numId="16">
    <w:abstractNumId w:val="32"/>
  </w:num>
  <w:num w:numId="17">
    <w:abstractNumId w:val="9"/>
  </w:num>
  <w:num w:numId="18">
    <w:abstractNumId w:val="17"/>
  </w:num>
  <w:num w:numId="19">
    <w:abstractNumId w:val="26"/>
  </w:num>
  <w:num w:numId="20">
    <w:abstractNumId w:val="35"/>
  </w:num>
  <w:num w:numId="21">
    <w:abstractNumId w:val="16"/>
  </w:num>
  <w:num w:numId="22">
    <w:abstractNumId w:val="30"/>
  </w:num>
  <w:num w:numId="23">
    <w:abstractNumId w:val="39"/>
  </w:num>
  <w:num w:numId="24">
    <w:abstractNumId w:val="29"/>
  </w:num>
  <w:num w:numId="25">
    <w:abstractNumId w:val="13"/>
  </w:num>
  <w:num w:numId="26">
    <w:abstractNumId w:val="11"/>
  </w:num>
  <w:num w:numId="27">
    <w:abstractNumId w:val="37"/>
  </w:num>
  <w:num w:numId="28">
    <w:abstractNumId w:val="7"/>
  </w:num>
  <w:num w:numId="29">
    <w:abstractNumId w:val="2"/>
  </w:num>
  <w:num w:numId="30">
    <w:abstractNumId w:val="10"/>
  </w:num>
  <w:num w:numId="31">
    <w:abstractNumId w:val="0"/>
  </w:num>
  <w:num w:numId="32">
    <w:abstractNumId w:val="19"/>
  </w:num>
  <w:num w:numId="33">
    <w:abstractNumId w:val="4"/>
  </w:num>
  <w:num w:numId="34">
    <w:abstractNumId w:val="3"/>
  </w:num>
  <w:num w:numId="35">
    <w:abstractNumId w:val="36"/>
  </w:num>
  <w:num w:numId="36">
    <w:abstractNumId w:val="24"/>
  </w:num>
  <w:num w:numId="37">
    <w:abstractNumId w:val="31"/>
  </w:num>
  <w:num w:numId="38">
    <w:abstractNumId w:val="34"/>
  </w:num>
  <w:num w:numId="39">
    <w:abstractNumId w:val="20"/>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hideSpellingErrors/>
  <w:hideGrammaticalErrors/>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657F"/>
    <w:rsid w:val="00041D34"/>
    <w:rsid w:val="00042D2A"/>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C41B5"/>
    <w:rsid w:val="000C5473"/>
    <w:rsid w:val="000E03AB"/>
    <w:rsid w:val="000E668C"/>
    <w:rsid w:val="000F11E2"/>
    <w:rsid w:val="000F7498"/>
    <w:rsid w:val="0010150B"/>
    <w:rsid w:val="001029DC"/>
    <w:rsid w:val="00102C3F"/>
    <w:rsid w:val="00103F85"/>
    <w:rsid w:val="00104680"/>
    <w:rsid w:val="00113F23"/>
    <w:rsid w:val="00137BDB"/>
    <w:rsid w:val="00140769"/>
    <w:rsid w:val="00142A3F"/>
    <w:rsid w:val="001432A3"/>
    <w:rsid w:val="00144A9C"/>
    <w:rsid w:val="00150473"/>
    <w:rsid w:val="0015387D"/>
    <w:rsid w:val="00160335"/>
    <w:rsid w:val="001824D9"/>
    <w:rsid w:val="00187547"/>
    <w:rsid w:val="001912DE"/>
    <w:rsid w:val="0019308E"/>
    <w:rsid w:val="001B1A88"/>
    <w:rsid w:val="001C256F"/>
    <w:rsid w:val="001C70AE"/>
    <w:rsid w:val="001D58D8"/>
    <w:rsid w:val="001D745D"/>
    <w:rsid w:val="001E2972"/>
    <w:rsid w:val="001E622E"/>
    <w:rsid w:val="001F0404"/>
    <w:rsid w:val="001F20E5"/>
    <w:rsid w:val="00200664"/>
    <w:rsid w:val="00211FC6"/>
    <w:rsid w:val="00231306"/>
    <w:rsid w:val="00246370"/>
    <w:rsid w:val="00247077"/>
    <w:rsid w:val="00255A5D"/>
    <w:rsid w:val="00270D0F"/>
    <w:rsid w:val="00273D4E"/>
    <w:rsid w:val="00277CAA"/>
    <w:rsid w:val="0029167B"/>
    <w:rsid w:val="002A51D5"/>
    <w:rsid w:val="002C4ADB"/>
    <w:rsid w:val="002D6E4B"/>
    <w:rsid w:val="002E41EF"/>
    <w:rsid w:val="002F1D78"/>
    <w:rsid w:val="002F2BFF"/>
    <w:rsid w:val="002F3FBC"/>
    <w:rsid w:val="002F5B6A"/>
    <w:rsid w:val="002F7CDF"/>
    <w:rsid w:val="00311883"/>
    <w:rsid w:val="00311D22"/>
    <w:rsid w:val="00314066"/>
    <w:rsid w:val="003231B2"/>
    <w:rsid w:val="00332855"/>
    <w:rsid w:val="003332F7"/>
    <w:rsid w:val="00337651"/>
    <w:rsid w:val="00341F9B"/>
    <w:rsid w:val="00342727"/>
    <w:rsid w:val="003536E9"/>
    <w:rsid w:val="0035725D"/>
    <w:rsid w:val="003606B3"/>
    <w:rsid w:val="00367D54"/>
    <w:rsid w:val="00373838"/>
    <w:rsid w:val="0037534B"/>
    <w:rsid w:val="00376CF8"/>
    <w:rsid w:val="00377A73"/>
    <w:rsid w:val="00383956"/>
    <w:rsid w:val="00386166"/>
    <w:rsid w:val="003902B6"/>
    <w:rsid w:val="003902B9"/>
    <w:rsid w:val="0039272A"/>
    <w:rsid w:val="00397F1D"/>
    <w:rsid w:val="003A15A0"/>
    <w:rsid w:val="003A5845"/>
    <w:rsid w:val="003A5F0F"/>
    <w:rsid w:val="003B0730"/>
    <w:rsid w:val="003B180D"/>
    <w:rsid w:val="003B7105"/>
    <w:rsid w:val="003D3ABE"/>
    <w:rsid w:val="003D5BB6"/>
    <w:rsid w:val="003D69F0"/>
    <w:rsid w:val="003E5815"/>
    <w:rsid w:val="0040100E"/>
    <w:rsid w:val="004019B7"/>
    <w:rsid w:val="00402CF5"/>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E4565"/>
    <w:rsid w:val="004F0122"/>
    <w:rsid w:val="004F38E5"/>
    <w:rsid w:val="004F4484"/>
    <w:rsid w:val="005061CA"/>
    <w:rsid w:val="00515089"/>
    <w:rsid w:val="00521F45"/>
    <w:rsid w:val="0052609C"/>
    <w:rsid w:val="00532F84"/>
    <w:rsid w:val="005378A2"/>
    <w:rsid w:val="00540CCF"/>
    <w:rsid w:val="00554B62"/>
    <w:rsid w:val="00554D66"/>
    <w:rsid w:val="0055764A"/>
    <w:rsid w:val="005660E9"/>
    <w:rsid w:val="005718C3"/>
    <w:rsid w:val="00581F18"/>
    <w:rsid w:val="005865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FD0"/>
    <w:rsid w:val="00633D0E"/>
    <w:rsid w:val="006466D7"/>
    <w:rsid w:val="006469E5"/>
    <w:rsid w:val="006577E9"/>
    <w:rsid w:val="006717AA"/>
    <w:rsid w:val="00675439"/>
    <w:rsid w:val="00683EE3"/>
    <w:rsid w:val="00685C8D"/>
    <w:rsid w:val="00686AFD"/>
    <w:rsid w:val="006924DC"/>
    <w:rsid w:val="006A61F3"/>
    <w:rsid w:val="006B1545"/>
    <w:rsid w:val="006B23FC"/>
    <w:rsid w:val="006B28BC"/>
    <w:rsid w:val="006B35C9"/>
    <w:rsid w:val="006C3EE1"/>
    <w:rsid w:val="006C6E71"/>
    <w:rsid w:val="006C7B72"/>
    <w:rsid w:val="006C7EC1"/>
    <w:rsid w:val="006D5631"/>
    <w:rsid w:val="006E1247"/>
    <w:rsid w:val="006E42C0"/>
    <w:rsid w:val="00713909"/>
    <w:rsid w:val="00736A9B"/>
    <w:rsid w:val="007508F7"/>
    <w:rsid w:val="00764D79"/>
    <w:rsid w:val="007709F7"/>
    <w:rsid w:val="00776816"/>
    <w:rsid w:val="00781D99"/>
    <w:rsid w:val="007821CE"/>
    <w:rsid w:val="007908B7"/>
    <w:rsid w:val="007A5C28"/>
    <w:rsid w:val="007A5F8B"/>
    <w:rsid w:val="007B1E18"/>
    <w:rsid w:val="007B4885"/>
    <w:rsid w:val="007C3D13"/>
    <w:rsid w:val="007C4419"/>
    <w:rsid w:val="007C54B2"/>
    <w:rsid w:val="007C77AA"/>
    <w:rsid w:val="007C7C7C"/>
    <w:rsid w:val="007D3E4D"/>
    <w:rsid w:val="007E18DE"/>
    <w:rsid w:val="007E193A"/>
    <w:rsid w:val="007E2565"/>
    <w:rsid w:val="007E377B"/>
    <w:rsid w:val="007E53F1"/>
    <w:rsid w:val="007F34B4"/>
    <w:rsid w:val="008020F4"/>
    <w:rsid w:val="0080349F"/>
    <w:rsid w:val="008052A3"/>
    <w:rsid w:val="0083063B"/>
    <w:rsid w:val="008322DC"/>
    <w:rsid w:val="008351DA"/>
    <w:rsid w:val="008362F4"/>
    <w:rsid w:val="00840509"/>
    <w:rsid w:val="008477BE"/>
    <w:rsid w:val="008557A4"/>
    <w:rsid w:val="008615C4"/>
    <w:rsid w:val="0086304F"/>
    <w:rsid w:val="00866B99"/>
    <w:rsid w:val="00882FA5"/>
    <w:rsid w:val="00897617"/>
    <w:rsid w:val="008A5DF8"/>
    <w:rsid w:val="008A65DA"/>
    <w:rsid w:val="008C712B"/>
    <w:rsid w:val="008D0598"/>
    <w:rsid w:val="008D3E7A"/>
    <w:rsid w:val="008D5BAD"/>
    <w:rsid w:val="008E2AFE"/>
    <w:rsid w:val="008E2D74"/>
    <w:rsid w:val="008E4117"/>
    <w:rsid w:val="008F0F5D"/>
    <w:rsid w:val="008F6B65"/>
    <w:rsid w:val="008F75A9"/>
    <w:rsid w:val="00922438"/>
    <w:rsid w:val="009312C4"/>
    <w:rsid w:val="00935D00"/>
    <w:rsid w:val="00951D03"/>
    <w:rsid w:val="009536DD"/>
    <w:rsid w:val="00953E85"/>
    <w:rsid w:val="0096627B"/>
    <w:rsid w:val="00971D2A"/>
    <w:rsid w:val="0099053D"/>
    <w:rsid w:val="009A3A08"/>
    <w:rsid w:val="009A4AD6"/>
    <w:rsid w:val="009B5ABE"/>
    <w:rsid w:val="009C3F26"/>
    <w:rsid w:val="009C5E1D"/>
    <w:rsid w:val="009D2536"/>
    <w:rsid w:val="009D30FA"/>
    <w:rsid w:val="009D6B8F"/>
    <w:rsid w:val="009D73B3"/>
    <w:rsid w:val="009E2006"/>
    <w:rsid w:val="009E21BA"/>
    <w:rsid w:val="009E43E3"/>
    <w:rsid w:val="009F0EFE"/>
    <w:rsid w:val="009F1035"/>
    <w:rsid w:val="009F112E"/>
    <w:rsid w:val="00A10143"/>
    <w:rsid w:val="00A139C1"/>
    <w:rsid w:val="00A14BE0"/>
    <w:rsid w:val="00A21DC4"/>
    <w:rsid w:val="00A35CFA"/>
    <w:rsid w:val="00A45E46"/>
    <w:rsid w:val="00A50245"/>
    <w:rsid w:val="00A51D54"/>
    <w:rsid w:val="00A563B1"/>
    <w:rsid w:val="00A62B5A"/>
    <w:rsid w:val="00A65FD1"/>
    <w:rsid w:val="00A671B6"/>
    <w:rsid w:val="00A94DC8"/>
    <w:rsid w:val="00A9585D"/>
    <w:rsid w:val="00AA3E90"/>
    <w:rsid w:val="00AA6A57"/>
    <w:rsid w:val="00AB0F84"/>
    <w:rsid w:val="00AB1C85"/>
    <w:rsid w:val="00AB2DCF"/>
    <w:rsid w:val="00AC60D1"/>
    <w:rsid w:val="00AD14A0"/>
    <w:rsid w:val="00AD5E20"/>
    <w:rsid w:val="00AE1425"/>
    <w:rsid w:val="00AE2B47"/>
    <w:rsid w:val="00AE33B8"/>
    <w:rsid w:val="00AF0B9D"/>
    <w:rsid w:val="00B065B2"/>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90848"/>
    <w:rsid w:val="00B9448D"/>
    <w:rsid w:val="00B96BF7"/>
    <w:rsid w:val="00BA6FBA"/>
    <w:rsid w:val="00BB01DD"/>
    <w:rsid w:val="00BC1E4F"/>
    <w:rsid w:val="00BC5BB5"/>
    <w:rsid w:val="00BD2EC1"/>
    <w:rsid w:val="00BE0984"/>
    <w:rsid w:val="00BE5FA7"/>
    <w:rsid w:val="00BF49EF"/>
    <w:rsid w:val="00C14297"/>
    <w:rsid w:val="00C24151"/>
    <w:rsid w:val="00C24CC8"/>
    <w:rsid w:val="00C27347"/>
    <w:rsid w:val="00C37884"/>
    <w:rsid w:val="00C60F20"/>
    <w:rsid w:val="00C70F5A"/>
    <w:rsid w:val="00C75185"/>
    <w:rsid w:val="00C87D79"/>
    <w:rsid w:val="00C93821"/>
    <w:rsid w:val="00CB2087"/>
    <w:rsid w:val="00CB233F"/>
    <w:rsid w:val="00CB7F8B"/>
    <w:rsid w:val="00CD3AB1"/>
    <w:rsid w:val="00CD6579"/>
    <w:rsid w:val="00CE15AE"/>
    <w:rsid w:val="00CE2D96"/>
    <w:rsid w:val="00D00064"/>
    <w:rsid w:val="00D0013D"/>
    <w:rsid w:val="00D12D97"/>
    <w:rsid w:val="00D12E64"/>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24C0"/>
    <w:rsid w:val="00DF5014"/>
    <w:rsid w:val="00DF5D23"/>
    <w:rsid w:val="00E0273B"/>
    <w:rsid w:val="00E03088"/>
    <w:rsid w:val="00E10762"/>
    <w:rsid w:val="00E17B5E"/>
    <w:rsid w:val="00E269D4"/>
    <w:rsid w:val="00E37B09"/>
    <w:rsid w:val="00E44F0B"/>
    <w:rsid w:val="00E46F87"/>
    <w:rsid w:val="00E52CD0"/>
    <w:rsid w:val="00E53468"/>
    <w:rsid w:val="00E53CBA"/>
    <w:rsid w:val="00E76581"/>
    <w:rsid w:val="00E773C4"/>
    <w:rsid w:val="00E85FF7"/>
    <w:rsid w:val="00EA7801"/>
    <w:rsid w:val="00EB2B80"/>
    <w:rsid w:val="00EB6293"/>
    <w:rsid w:val="00EB76AE"/>
    <w:rsid w:val="00ED0E7A"/>
    <w:rsid w:val="00ED14BC"/>
    <w:rsid w:val="00EF1C04"/>
    <w:rsid w:val="00EF7919"/>
    <w:rsid w:val="00F05E10"/>
    <w:rsid w:val="00F06079"/>
    <w:rsid w:val="00F2230C"/>
    <w:rsid w:val="00F33F3C"/>
    <w:rsid w:val="00F4702D"/>
    <w:rsid w:val="00F50A82"/>
    <w:rsid w:val="00F51BB5"/>
    <w:rsid w:val="00F51DF1"/>
    <w:rsid w:val="00F535E7"/>
    <w:rsid w:val="00F55CEF"/>
    <w:rsid w:val="00F562CC"/>
    <w:rsid w:val="00F617E4"/>
    <w:rsid w:val="00F75275"/>
    <w:rsid w:val="00F80D9C"/>
    <w:rsid w:val="00F83367"/>
    <w:rsid w:val="00F877B8"/>
    <w:rsid w:val="00F91499"/>
    <w:rsid w:val="00F949F2"/>
    <w:rsid w:val="00F96597"/>
    <w:rsid w:val="00FA0739"/>
    <w:rsid w:val="00FA2F25"/>
    <w:rsid w:val="00FA4C44"/>
    <w:rsid w:val="00FB0360"/>
    <w:rsid w:val="00FB1408"/>
    <w:rsid w:val="00FB6812"/>
    <w:rsid w:val="00FD0F26"/>
    <w:rsid w:val="00FD20BF"/>
    <w:rsid w:val="00FE5F9B"/>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0CAB"/>
  <w15:chartTrackingRefBased/>
  <w15:docId w15:val="{F3D7F08E-65AE-4EC6-9B7E-EC74FAC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9905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newsroom/application-of-the-patient-centered-outcomes-research-trust-fund-fee-to-common-types-of-health-coverage-or-arrang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rs.gov/newsroom/patient-centered-outcomes-research-institute-f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affordable-care-act/patient-centered-outreach-research-institute-filing-due-dates-and-applicable-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FB4B0-965F-48D5-82D3-78F414510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603514-9213-9247-AC63-3CA256FE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5094</CharactersWithSpaces>
  <SharedDoc>false</SharedDoc>
  <HLinks>
    <vt:vector size="18" baseType="variant">
      <vt:variant>
        <vt:i4>3997809</vt:i4>
      </vt:variant>
      <vt:variant>
        <vt:i4>6</vt:i4>
      </vt:variant>
      <vt:variant>
        <vt:i4>0</vt:i4>
      </vt:variant>
      <vt:variant>
        <vt:i4>5</vt:i4>
      </vt:variant>
      <vt:variant>
        <vt:lpwstr>https://www.irs.gov/affordable-care-act/patient-centered-outreach-research-institute-filing-due-dates-and-applicable-rates</vt:lpwstr>
      </vt:variant>
      <vt:variant>
        <vt:lpwstr/>
      </vt:variant>
      <vt:variant>
        <vt:i4>65642</vt:i4>
      </vt:variant>
      <vt:variant>
        <vt:i4>3</vt:i4>
      </vt:variant>
      <vt:variant>
        <vt:i4>0</vt:i4>
      </vt:variant>
      <vt:variant>
        <vt:i4>5</vt:i4>
      </vt:variant>
      <vt:variant>
        <vt:lpwstr>https://www.irs.gov/newsroom/patient-centered-outcomes-research-institute-fee</vt:lpwstr>
      </vt:variant>
      <vt:variant>
        <vt:lpwstr/>
      </vt:variant>
      <vt:variant>
        <vt:i4>4653124</vt:i4>
      </vt:variant>
      <vt:variant>
        <vt:i4>0</vt:i4>
      </vt:variant>
      <vt:variant>
        <vt:i4>0</vt:i4>
      </vt:variant>
      <vt:variant>
        <vt:i4>5</vt:i4>
      </vt:variant>
      <vt:variant>
        <vt:lpwstr>https://www.irs.gov/newsroom/application-of-the-patient-centered-outcomes-research-trust-fund-fee-to-common-types-of-health-coverage-or-arrangements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2018-01-08T16:59:00Z</cp:lastPrinted>
  <dcterms:created xsi:type="dcterms:W3CDTF">2020-05-27T16:38:00Z</dcterms:created>
  <dcterms:modified xsi:type="dcterms:W3CDTF">2020-05-27T16:39:00Z</dcterms:modified>
</cp:coreProperties>
</file>