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7A51612C" w:rsidR="00102C3F" w:rsidRDefault="001029DC" w:rsidP="00D20E25">
      <w:r>
        <w:rPr>
          <w:noProof/>
        </w:rPr>
        <w:drawing>
          <wp:anchor distT="0" distB="0" distL="114300" distR="114300" simplePos="0" relativeHeight="251658240" behindDoc="1" locked="0" layoutInCell="1" allowOverlap="1" wp14:anchorId="2B5EF197" wp14:editId="63FC85C1">
            <wp:simplePos x="0" y="0"/>
            <wp:positionH relativeFrom="column">
              <wp:posOffset>-826135</wp:posOffset>
            </wp:positionH>
            <wp:positionV relativeFrom="paragraph">
              <wp:posOffset>-808613</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E5">
        <w:rPr>
          <w:noProof/>
        </w:rPr>
        <mc:AlternateContent>
          <mc:Choice Requires="wps">
            <w:drawing>
              <wp:anchor distT="0" distB="0" distL="114300" distR="114300" simplePos="0" relativeHeight="251657216" behindDoc="0" locked="0" layoutInCell="1" allowOverlap="1" wp14:anchorId="7F9FAA8D" wp14:editId="1F09C53B">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v:textbox>
              </v:shape>
            </w:pict>
          </mc:Fallback>
        </mc:AlternateContent>
      </w:r>
    </w:p>
    <w:p w14:paraId="03B38C4B" w14:textId="77777777" w:rsidR="00383956" w:rsidRDefault="00383956" w:rsidP="00D20E25">
      <w:pPr>
        <w:pStyle w:val="Heading1"/>
      </w:pPr>
    </w:p>
    <w:p w14:paraId="49D0DB6B" w14:textId="77777777" w:rsidR="001029DC" w:rsidRDefault="001029DC" w:rsidP="00ED14BC">
      <w:pPr>
        <w:pStyle w:val="MediumGrid2-Accent11"/>
        <w:rPr>
          <w:b/>
          <w:bCs/>
          <w:sz w:val="24"/>
          <w:szCs w:val="24"/>
        </w:rPr>
      </w:pPr>
    </w:p>
    <w:p w14:paraId="1A19D74A" w14:textId="1018C708" w:rsidR="00ED14BC" w:rsidRPr="00317FA1" w:rsidRDefault="00B866B5" w:rsidP="00ED14BC">
      <w:pPr>
        <w:pStyle w:val="MediumGrid2-Accent11"/>
        <w:rPr>
          <w:b/>
          <w:bCs/>
          <w:sz w:val="24"/>
          <w:szCs w:val="24"/>
          <w:lang w:val="en-US"/>
        </w:rPr>
      </w:pPr>
      <w:r>
        <w:rPr>
          <w:b/>
          <w:bCs/>
          <w:sz w:val="24"/>
          <w:szCs w:val="24"/>
          <w:lang w:val="en-US"/>
        </w:rPr>
        <w:t>Agency Updates</w:t>
      </w:r>
    </w:p>
    <w:p w14:paraId="09E18D45" w14:textId="77777777" w:rsidR="007C54B2" w:rsidRPr="00ED14BC" w:rsidRDefault="007C54B2" w:rsidP="00ED14BC">
      <w:pPr>
        <w:pStyle w:val="MediumGrid2-Accent11"/>
        <w:rPr>
          <w:b/>
          <w:bCs/>
        </w:rPr>
      </w:pPr>
    </w:p>
    <w:p w14:paraId="6C64F4A4" w14:textId="35FDAB07" w:rsidR="00ED14BC" w:rsidRPr="00A14BE0" w:rsidRDefault="00ED14BC" w:rsidP="00ED14BC">
      <w:pPr>
        <w:pStyle w:val="MediumGrid2-Accent11"/>
        <w:rPr>
          <w:b/>
          <w:bCs/>
          <w:lang w:val="en-US"/>
        </w:rPr>
      </w:pPr>
      <w:r w:rsidRPr="00A14BE0">
        <w:rPr>
          <w:b/>
          <w:bCs/>
        </w:rPr>
        <w:t xml:space="preserve">Issue Date: </w:t>
      </w:r>
      <w:r w:rsidR="00317FA1">
        <w:rPr>
          <w:b/>
          <w:bCs/>
          <w:lang w:val="en-US"/>
        </w:rPr>
        <w:t xml:space="preserve">June </w:t>
      </w:r>
      <w:r w:rsidR="00B866B5">
        <w:rPr>
          <w:b/>
          <w:bCs/>
          <w:lang w:val="en-US"/>
        </w:rPr>
        <w:t>1</w:t>
      </w:r>
      <w:r w:rsidR="002D5E04">
        <w:rPr>
          <w:b/>
          <w:bCs/>
          <w:lang w:val="en-US"/>
        </w:rPr>
        <w:t>8</w:t>
      </w:r>
      <w:r w:rsidR="00317FA1">
        <w:rPr>
          <w:b/>
          <w:bCs/>
          <w:lang w:val="en-US"/>
        </w:rPr>
        <w:t>,</w:t>
      </w:r>
      <w:r w:rsidRPr="00A14BE0">
        <w:rPr>
          <w:b/>
          <w:bCs/>
        </w:rPr>
        <w:t xml:space="preserve"> 20</w:t>
      </w:r>
      <w:r w:rsidR="007C54B2" w:rsidRPr="00A14BE0">
        <w:rPr>
          <w:b/>
          <w:bCs/>
          <w:lang w:val="en-US"/>
        </w:rPr>
        <w:t>20</w:t>
      </w:r>
    </w:p>
    <w:p w14:paraId="780A31B5" w14:textId="77777777" w:rsidR="00ED14BC" w:rsidRPr="00ED14BC" w:rsidRDefault="00ED14BC" w:rsidP="00ED14BC">
      <w:pPr>
        <w:pStyle w:val="MediumGrid2-Accent11"/>
      </w:pPr>
    </w:p>
    <w:p w14:paraId="42FF3F94" w14:textId="167A5189" w:rsidR="00ED14BC" w:rsidRDefault="00B866B5" w:rsidP="00ED14BC">
      <w:pPr>
        <w:pStyle w:val="MediumGrid2-Accent11"/>
        <w:rPr>
          <w:lang w:val="en-US"/>
        </w:rPr>
      </w:pPr>
      <w:r>
        <w:rPr>
          <w:lang w:val="en-US"/>
        </w:rPr>
        <w:t>In the last</w:t>
      </w:r>
      <w:r w:rsidR="00780B7F">
        <w:rPr>
          <w:lang w:val="en-US"/>
        </w:rPr>
        <w:t xml:space="preserve"> couple</w:t>
      </w:r>
      <w:r>
        <w:rPr>
          <w:lang w:val="en-US"/>
        </w:rPr>
        <w:t xml:space="preserve"> week</w:t>
      </w:r>
      <w:r w:rsidR="00780B7F">
        <w:rPr>
          <w:lang w:val="en-US"/>
        </w:rPr>
        <w:t>s</w:t>
      </w:r>
      <w:r>
        <w:rPr>
          <w:lang w:val="en-US"/>
        </w:rPr>
        <w:t xml:space="preserve">, </w:t>
      </w:r>
      <w:r w:rsidR="0047474C">
        <w:rPr>
          <w:lang w:val="en-US"/>
        </w:rPr>
        <w:t>the</w:t>
      </w:r>
      <w:r w:rsidR="005445A6">
        <w:rPr>
          <w:lang w:val="en-US"/>
        </w:rPr>
        <w:t xml:space="preserve"> government agencies (</w:t>
      </w:r>
      <w:r w:rsidR="00A54AB4">
        <w:rPr>
          <w:lang w:val="en-US"/>
        </w:rPr>
        <w:t xml:space="preserve">the </w:t>
      </w:r>
      <w:r w:rsidR="005445A6">
        <w:rPr>
          <w:lang w:val="en-US"/>
        </w:rPr>
        <w:t>EEOC,</w:t>
      </w:r>
      <w:r w:rsidR="0047474C">
        <w:rPr>
          <w:lang w:val="en-US"/>
        </w:rPr>
        <w:t xml:space="preserve"> IRS, DOL</w:t>
      </w:r>
      <w:r w:rsidR="00A201F8">
        <w:rPr>
          <w:lang w:val="en-US"/>
        </w:rPr>
        <w:t xml:space="preserve"> </w:t>
      </w:r>
      <w:r w:rsidR="00DC47B1">
        <w:rPr>
          <w:lang w:val="en-US"/>
        </w:rPr>
        <w:t xml:space="preserve">and </w:t>
      </w:r>
      <w:r w:rsidR="0047474C">
        <w:rPr>
          <w:lang w:val="en-US"/>
        </w:rPr>
        <w:t>HHS</w:t>
      </w:r>
      <w:r w:rsidR="005445A6">
        <w:rPr>
          <w:lang w:val="en-US"/>
        </w:rPr>
        <w:t>)</w:t>
      </w:r>
      <w:r w:rsidR="0047474C">
        <w:rPr>
          <w:lang w:val="en-US"/>
        </w:rPr>
        <w:t xml:space="preserve"> </w:t>
      </w:r>
      <w:r w:rsidR="00A02849">
        <w:rPr>
          <w:lang w:val="en-US"/>
        </w:rPr>
        <w:t>h</w:t>
      </w:r>
      <w:r w:rsidR="005445A6">
        <w:rPr>
          <w:lang w:val="en-US"/>
        </w:rPr>
        <w:t xml:space="preserve">ave </w:t>
      </w:r>
      <w:r w:rsidR="00A54AB4">
        <w:rPr>
          <w:lang w:val="en-US"/>
        </w:rPr>
        <w:t>held public meetings, released proposed and final rules, and updated form</w:t>
      </w:r>
      <w:r w:rsidR="00897B4F">
        <w:rPr>
          <w:lang w:val="en-US"/>
        </w:rPr>
        <w:t>s</w:t>
      </w:r>
      <w:r w:rsidR="00B601B3">
        <w:rPr>
          <w:lang w:val="en-US"/>
        </w:rPr>
        <w:t xml:space="preserve"> and fees</w:t>
      </w:r>
      <w:r w:rsidR="00384D05">
        <w:rPr>
          <w:lang w:val="en-US"/>
        </w:rPr>
        <w:t xml:space="preserve"> affecting employee benefit offerings</w:t>
      </w:r>
      <w:r w:rsidR="00897B4F">
        <w:rPr>
          <w:lang w:val="en-US"/>
        </w:rPr>
        <w:t xml:space="preserve">. </w:t>
      </w:r>
      <w:r w:rsidR="00384D05">
        <w:rPr>
          <w:lang w:val="en-US"/>
        </w:rPr>
        <w:t>The following items are summarized below:</w:t>
      </w:r>
    </w:p>
    <w:p w14:paraId="6D96A3D2" w14:textId="031C704F" w:rsidR="00384D05" w:rsidRDefault="00384D05" w:rsidP="00384D05">
      <w:pPr>
        <w:pStyle w:val="MediumGrid2-Accent11"/>
        <w:numPr>
          <w:ilvl w:val="0"/>
          <w:numId w:val="45"/>
        </w:numPr>
        <w:rPr>
          <w:lang w:val="en-US"/>
        </w:rPr>
      </w:pPr>
      <w:r w:rsidRPr="00384D05">
        <w:rPr>
          <w:lang w:val="en-US"/>
        </w:rPr>
        <w:t>PCORI Fee – Updated Form 720</w:t>
      </w:r>
    </w:p>
    <w:p w14:paraId="750D2F3C" w14:textId="177C9522" w:rsidR="00384D05" w:rsidRDefault="00384D05" w:rsidP="00384D05">
      <w:pPr>
        <w:pStyle w:val="MediumGrid2-Accent11"/>
        <w:numPr>
          <w:ilvl w:val="0"/>
          <w:numId w:val="45"/>
        </w:numPr>
        <w:rPr>
          <w:lang w:val="en-US"/>
        </w:rPr>
      </w:pPr>
      <w:r w:rsidRPr="00384D05">
        <w:rPr>
          <w:lang w:val="en-US"/>
        </w:rPr>
        <w:t>Qualifying Medical Expenses – Direct Primary Care &amp; Health Care Sharing Ministries</w:t>
      </w:r>
    </w:p>
    <w:p w14:paraId="2171E4F6" w14:textId="549BFF83" w:rsidR="00384D05" w:rsidRDefault="00384D05" w:rsidP="00384D05">
      <w:pPr>
        <w:pStyle w:val="MediumGrid2-Accent11"/>
        <w:numPr>
          <w:ilvl w:val="0"/>
          <w:numId w:val="45"/>
        </w:numPr>
        <w:rPr>
          <w:lang w:val="en-US"/>
        </w:rPr>
      </w:pPr>
      <w:r w:rsidRPr="00384D05">
        <w:rPr>
          <w:lang w:val="en-US"/>
        </w:rPr>
        <w:t>EEOC Wellness Rules – Notice of Proposed Rules</w:t>
      </w:r>
    </w:p>
    <w:p w14:paraId="7FA632A8" w14:textId="073E7BCB" w:rsidR="00384D05" w:rsidRDefault="00384D05" w:rsidP="00384D05">
      <w:pPr>
        <w:pStyle w:val="MediumGrid2-Accent11"/>
        <w:numPr>
          <w:ilvl w:val="0"/>
          <w:numId w:val="45"/>
        </w:numPr>
        <w:rPr>
          <w:lang w:val="en-US"/>
        </w:rPr>
      </w:pPr>
      <w:r w:rsidRPr="00384D05">
        <w:rPr>
          <w:lang w:val="en-US"/>
        </w:rPr>
        <w:t>§1557 Nondiscrimination Rules Modified</w:t>
      </w:r>
    </w:p>
    <w:p w14:paraId="488B1238" w14:textId="77777777" w:rsidR="00CF6F4C" w:rsidRDefault="00CF6F4C" w:rsidP="00ED14BC">
      <w:pPr>
        <w:pStyle w:val="MediumGrid2-Accent11"/>
      </w:pPr>
    </w:p>
    <w:p w14:paraId="719447F9" w14:textId="4CC3EFB4" w:rsidR="00A14BE0" w:rsidRPr="00317FA1" w:rsidRDefault="00A14BE0" w:rsidP="00ED14BC">
      <w:pPr>
        <w:pStyle w:val="MediumGrid2-Accent11"/>
        <w:rPr>
          <w:lang w:val="en-US"/>
        </w:rPr>
      </w:pPr>
    </w:p>
    <w:p w14:paraId="5536E5BC" w14:textId="4B6C55DC" w:rsidR="0099053D" w:rsidRPr="0099053D" w:rsidRDefault="00897B4F" w:rsidP="00ED14BC">
      <w:pPr>
        <w:pStyle w:val="MediumGrid2-Accent11"/>
        <w:rPr>
          <w:b/>
          <w:lang w:val="en-US"/>
        </w:rPr>
      </w:pPr>
      <w:r>
        <w:rPr>
          <w:b/>
          <w:lang w:val="en-US"/>
        </w:rPr>
        <w:t>PCORI Fee – Updated Form 720</w:t>
      </w:r>
    </w:p>
    <w:p w14:paraId="27A61786" w14:textId="77777777" w:rsidR="00671B37" w:rsidRDefault="00897B4F" w:rsidP="00ED14BC">
      <w:pPr>
        <w:pStyle w:val="MediumGrid2-Accent11"/>
        <w:rPr>
          <w:lang w:val="en-US"/>
        </w:rPr>
      </w:pPr>
      <w:r>
        <w:rPr>
          <w:lang w:val="en-US"/>
        </w:rPr>
        <w:t xml:space="preserve">The PCORI fee for plan years ending in 2019 is due </w:t>
      </w:r>
      <w:r w:rsidR="004913F4">
        <w:rPr>
          <w:lang w:val="en-US"/>
        </w:rPr>
        <w:t>no later than July 31</w:t>
      </w:r>
      <w:r w:rsidR="004913F4" w:rsidRPr="004913F4">
        <w:rPr>
          <w:vertAlign w:val="superscript"/>
          <w:lang w:val="en-US"/>
        </w:rPr>
        <w:t>st</w:t>
      </w:r>
      <w:r w:rsidR="004913F4">
        <w:rPr>
          <w:lang w:val="en-US"/>
        </w:rPr>
        <w:t xml:space="preserve">, 2020. </w:t>
      </w:r>
    </w:p>
    <w:p w14:paraId="40F6DA33" w14:textId="77777777" w:rsidR="00671B37" w:rsidRDefault="00671B37" w:rsidP="00ED14BC">
      <w:pPr>
        <w:pStyle w:val="MediumGrid2-Accent11"/>
        <w:rPr>
          <w:lang w:val="en-US"/>
        </w:rPr>
      </w:pPr>
    </w:p>
    <w:p w14:paraId="1545888D" w14:textId="29E13D3B" w:rsidR="00A14BE0" w:rsidRPr="00ED14BC" w:rsidRDefault="00C709E1" w:rsidP="00ED14BC">
      <w:pPr>
        <w:pStyle w:val="MediumGrid2-Accent11"/>
      </w:pPr>
      <w:r>
        <w:rPr>
          <w:lang w:val="en-US"/>
        </w:rPr>
        <w:t>The IRS provided indexed PCORI fees for plan years ending in October – December 2019 in IRS Notice 2020-44</w:t>
      </w:r>
      <w:r w:rsidR="00601EFB">
        <w:rPr>
          <w:lang w:val="en-US"/>
        </w:rPr>
        <w:t xml:space="preserve"> (</w:t>
      </w:r>
      <w:hyperlink r:id="rId12" w:history="1">
        <w:r w:rsidR="00601EFB">
          <w:rPr>
            <w:rStyle w:val="Hyperlink"/>
          </w:rPr>
          <w:t>https://www.irs.gov/pub/irs-drop/n-20-44.pdf</w:t>
        </w:r>
      </w:hyperlink>
      <w:r w:rsidR="00601EFB">
        <w:rPr>
          <w:lang w:val="en-US"/>
        </w:rPr>
        <w:t>)</w:t>
      </w:r>
      <w:r>
        <w:rPr>
          <w:lang w:val="en-US"/>
        </w:rPr>
        <w:t xml:space="preserve">. </w:t>
      </w:r>
      <w:r w:rsidR="004913F4">
        <w:rPr>
          <w:lang w:val="en-US"/>
        </w:rPr>
        <w:t>The payment amounts are as follows:</w:t>
      </w:r>
    </w:p>
    <w:p w14:paraId="42AEB298" w14:textId="394241EF" w:rsidR="00ED14BC" w:rsidRPr="00ED14BC" w:rsidRDefault="00ED14BC" w:rsidP="00ED14BC">
      <w:pPr>
        <w:pStyle w:val="MediumGrid2-Accent11"/>
        <w:numPr>
          <w:ilvl w:val="0"/>
          <w:numId w:val="39"/>
        </w:numPr>
      </w:pPr>
      <w:r w:rsidRPr="00ED14BC">
        <w:t>$2.</w:t>
      </w:r>
      <w:r w:rsidR="007C54B2">
        <w:rPr>
          <w:lang w:val="en-US"/>
        </w:rPr>
        <w:t>45</w:t>
      </w:r>
      <w:r w:rsidRPr="00ED14BC">
        <w:t xml:space="preserve"> per covered life for plan years ending in January – September 201</w:t>
      </w:r>
      <w:r w:rsidR="007C54B2">
        <w:rPr>
          <w:lang w:val="en-US"/>
        </w:rPr>
        <w:t>9</w:t>
      </w:r>
      <w:r w:rsidRPr="00ED14BC">
        <w:t>.</w:t>
      </w:r>
    </w:p>
    <w:p w14:paraId="43065373" w14:textId="08328A24" w:rsidR="00ED14BC" w:rsidRDefault="00317FA1" w:rsidP="00ED14BC">
      <w:pPr>
        <w:pStyle w:val="MediumGrid2-Accent11"/>
        <w:numPr>
          <w:ilvl w:val="0"/>
          <w:numId w:val="39"/>
        </w:numPr>
      </w:pPr>
      <w:r>
        <w:rPr>
          <w:lang w:val="en-US"/>
        </w:rPr>
        <w:t>$2.54</w:t>
      </w:r>
      <w:r w:rsidR="00ED14BC" w:rsidRPr="00ED14BC">
        <w:t xml:space="preserve"> per covered life for plan years ending in October – December 201</w:t>
      </w:r>
      <w:r w:rsidR="007C54B2">
        <w:rPr>
          <w:lang w:val="en-US"/>
        </w:rPr>
        <w:t>9</w:t>
      </w:r>
      <w:r w:rsidR="00ED14BC" w:rsidRPr="00ED14BC">
        <w:t>.</w:t>
      </w:r>
    </w:p>
    <w:p w14:paraId="15EA49EB" w14:textId="582270BF" w:rsidR="00390803" w:rsidRDefault="00390803" w:rsidP="00390803">
      <w:pPr>
        <w:pStyle w:val="MediumGrid2-Accent11"/>
      </w:pPr>
    </w:p>
    <w:p w14:paraId="3C4C27F4" w14:textId="0DBD138A" w:rsidR="00390803" w:rsidRPr="004903AB" w:rsidRDefault="004913F4" w:rsidP="00390803">
      <w:pPr>
        <w:pStyle w:val="MediumGrid2-Accent11"/>
        <w:rPr>
          <w:lang w:val="en-US"/>
        </w:rPr>
      </w:pPr>
      <w:r>
        <w:rPr>
          <w:lang w:val="en-US"/>
        </w:rPr>
        <w:t xml:space="preserve">The updated Form 720 can be found here - </w:t>
      </w:r>
      <w:hyperlink r:id="rId13" w:history="1">
        <w:r w:rsidR="004903AB">
          <w:rPr>
            <w:rStyle w:val="Hyperlink"/>
          </w:rPr>
          <w:t>https://www.irs.gov/pub/irs-pdf/f720.pdf</w:t>
        </w:r>
      </w:hyperlink>
      <w:r w:rsidR="004903AB">
        <w:rPr>
          <w:lang w:val="en-US"/>
        </w:rPr>
        <w:t>.</w:t>
      </w:r>
    </w:p>
    <w:p w14:paraId="403F178F" w14:textId="77777777" w:rsidR="00390803" w:rsidRPr="00390803" w:rsidRDefault="00390803" w:rsidP="00390803">
      <w:pPr>
        <w:pStyle w:val="MediumGrid2-Accent11"/>
        <w:rPr>
          <w:lang w:val="en-US"/>
        </w:rPr>
      </w:pPr>
    </w:p>
    <w:p w14:paraId="64BC41A2" w14:textId="08DBE3FB" w:rsidR="00ED14BC" w:rsidRDefault="00ED14BC" w:rsidP="00ED14BC">
      <w:pPr>
        <w:pStyle w:val="MediumGrid2-Accent11"/>
      </w:pPr>
    </w:p>
    <w:p w14:paraId="252EE268" w14:textId="35564D37" w:rsidR="00ED14BC" w:rsidRPr="00390803" w:rsidRDefault="00671B37" w:rsidP="00390803">
      <w:pPr>
        <w:rPr>
          <w:lang w:eastAsia="x-none"/>
        </w:rPr>
      </w:pPr>
      <w:r>
        <w:rPr>
          <w:b/>
        </w:rPr>
        <w:t>Qualifying Medical Expenses –</w:t>
      </w:r>
      <w:r w:rsidR="00DF3964">
        <w:rPr>
          <w:b/>
        </w:rPr>
        <w:t xml:space="preserve"> </w:t>
      </w:r>
      <w:r>
        <w:rPr>
          <w:b/>
        </w:rPr>
        <w:t>Direct</w:t>
      </w:r>
      <w:r w:rsidR="00C95582">
        <w:rPr>
          <w:b/>
        </w:rPr>
        <w:t xml:space="preserve"> Primary Care &amp; Health Care Sharing Ministries</w:t>
      </w:r>
    </w:p>
    <w:p w14:paraId="78DCB946" w14:textId="11AA5945" w:rsidR="0044105A" w:rsidRDefault="00513BF1" w:rsidP="00D20E25">
      <w:pPr>
        <w:pStyle w:val="MediumGrid2-Accent11"/>
        <w:rPr>
          <w:lang w:val="en-US"/>
        </w:rPr>
      </w:pPr>
      <w:r>
        <w:rPr>
          <w:lang w:val="en-US"/>
        </w:rPr>
        <w:t xml:space="preserve">The </w:t>
      </w:r>
      <w:r w:rsidR="006A6D45">
        <w:rPr>
          <w:lang w:val="en-US"/>
        </w:rPr>
        <w:t xml:space="preserve">IRS released proposed rules indicating that most direct primary care (DPC) arrangements and health care sharing ministries </w:t>
      </w:r>
      <w:r w:rsidR="00621409">
        <w:rPr>
          <w:lang w:val="en-US"/>
        </w:rPr>
        <w:t>will be considered “medical coverage” or “medical insurance” and thereby meet the definition of a qualifying medical expense under §213(d)</w:t>
      </w:r>
      <w:r w:rsidR="001D2EEE">
        <w:rPr>
          <w:lang w:val="en-US"/>
        </w:rPr>
        <w:t xml:space="preserve">. </w:t>
      </w:r>
      <w:r w:rsidR="0028102F">
        <w:rPr>
          <w:lang w:val="en-US"/>
        </w:rPr>
        <w:t xml:space="preserve">While these IRS rules clarify some of the tax issues surrounding these </w:t>
      </w:r>
      <w:r w:rsidR="007C0C17">
        <w:rPr>
          <w:lang w:val="en-US"/>
        </w:rPr>
        <w:t>arrangements</w:t>
      </w:r>
      <w:r w:rsidR="0028102F">
        <w:rPr>
          <w:lang w:val="en-US"/>
        </w:rPr>
        <w:t>, they do not address other compliance questions such ERISA applicability, COBRA,</w:t>
      </w:r>
      <w:r w:rsidR="009934B1">
        <w:rPr>
          <w:lang w:val="en-US"/>
        </w:rPr>
        <w:t xml:space="preserve"> ACA compliance,</w:t>
      </w:r>
      <w:r w:rsidR="0028102F">
        <w:rPr>
          <w:lang w:val="en-US"/>
        </w:rPr>
        <w:t xml:space="preserve"> and others.</w:t>
      </w:r>
      <w:r w:rsidR="00635D6D">
        <w:rPr>
          <w:lang w:val="en-US"/>
        </w:rPr>
        <w:t xml:space="preserve"> </w:t>
      </w:r>
      <w:r w:rsidR="007C0C17">
        <w:rPr>
          <w:lang w:val="en-US"/>
        </w:rPr>
        <w:t>Note that t</w:t>
      </w:r>
      <w:r w:rsidR="00635D6D">
        <w:rPr>
          <w:lang w:val="en-US"/>
        </w:rPr>
        <w:t xml:space="preserve">hese rules </w:t>
      </w:r>
      <w:r w:rsidR="009F5F11">
        <w:rPr>
          <w:lang w:val="en-US"/>
        </w:rPr>
        <w:t>will not take effect</w:t>
      </w:r>
      <w:r w:rsidR="00635D6D">
        <w:rPr>
          <w:lang w:val="en-US"/>
        </w:rPr>
        <w:t xml:space="preserve"> until after the final rules are published.</w:t>
      </w:r>
    </w:p>
    <w:p w14:paraId="4F7CC9D7" w14:textId="2C1A8C43" w:rsidR="0044105A" w:rsidRDefault="0044105A" w:rsidP="00D20E25">
      <w:pPr>
        <w:pStyle w:val="MediumGrid2-Accent11"/>
        <w:rPr>
          <w:lang w:val="en-US"/>
        </w:rPr>
      </w:pPr>
    </w:p>
    <w:p w14:paraId="6EC8C238" w14:textId="53D3A581" w:rsidR="0028102F" w:rsidRDefault="008D1EE7" w:rsidP="0028102F">
      <w:pPr>
        <w:pStyle w:val="MediumGrid2-Accent11"/>
        <w:ind w:left="360"/>
        <w:rPr>
          <w:u w:val="single"/>
          <w:lang w:val="en-US"/>
        </w:rPr>
      </w:pPr>
      <w:r w:rsidRPr="00405BAE">
        <w:rPr>
          <w:u w:val="single"/>
          <w:lang w:val="en-US"/>
        </w:rPr>
        <w:t>DPC Arrangement</w:t>
      </w:r>
    </w:p>
    <w:p w14:paraId="6C10C57C" w14:textId="2C46E72F" w:rsidR="008D1EE7" w:rsidRDefault="00D05EEF" w:rsidP="00635D6D">
      <w:pPr>
        <w:pStyle w:val="MediumGrid2-Accent11"/>
        <w:ind w:left="420"/>
        <w:rPr>
          <w:lang w:val="en-US"/>
        </w:rPr>
      </w:pPr>
      <w:r>
        <w:rPr>
          <w:lang w:val="en-US"/>
        </w:rPr>
        <w:t>In the proposed rules, a</w:t>
      </w:r>
      <w:r w:rsidR="00A00BD4">
        <w:rPr>
          <w:lang w:val="en-US"/>
        </w:rPr>
        <w:t xml:space="preserve"> DPC arrangement is defined as </w:t>
      </w:r>
      <w:r w:rsidR="00A00BD4" w:rsidRPr="00A00BD4">
        <w:rPr>
          <w:i/>
          <w:iCs/>
          <w:lang w:val="en-US"/>
        </w:rPr>
        <w:t>“a contract between an individual and one or more primary care physicians under which the physician or physicians agree to provide medical care…for a fixed annual or periodic fee without billing a third party.”</w:t>
      </w:r>
      <w:r>
        <w:rPr>
          <w:lang w:val="en-US"/>
        </w:rPr>
        <w:t xml:space="preserve"> </w:t>
      </w:r>
      <w:r w:rsidR="00A41F13">
        <w:rPr>
          <w:lang w:val="en-US"/>
        </w:rPr>
        <w:t xml:space="preserve">However, </w:t>
      </w:r>
      <w:r w:rsidR="0028102F">
        <w:rPr>
          <w:lang w:val="en-US"/>
        </w:rPr>
        <w:t>there are many different arrangements that fall under the category of a DPC arrangement</w:t>
      </w:r>
      <w:r w:rsidR="00B11434">
        <w:rPr>
          <w:lang w:val="en-US"/>
        </w:rPr>
        <w:t>,</w:t>
      </w:r>
      <w:r w:rsidR="0028102F">
        <w:rPr>
          <w:lang w:val="en-US"/>
        </w:rPr>
        <w:t xml:space="preserve"> so </w:t>
      </w:r>
      <w:r w:rsidR="00A41F13">
        <w:rPr>
          <w:lang w:val="en-US"/>
        </w:rPr>
        <w:t xml:space="preserve">the </w:t>
      </w:r>
      <w:r w:rsidR="0028102F">
        <w:rPr>
          <w:lang w:val="en-US"/>
        </w:rPr>
        <w:t xml:space="preserve">IRS </w:t>
      </w:r>
      <w:r w:rsidR="00A41F13">
        <w:rPr>
          <w:lang w:val="en-US"/>
        </w:rPr>
        <w:t>guidance also requests comments on this definition, suggesting that it may need to be expanded to include</w:t>
      </w:r>
      <w:r w:rsidR="004642FB">
        <w:rPr>
          <w:lang w:val="en-US"/>
        </w:rPr>
        <w:t xml:space="preserve"> individuals beyond just </w:t>
      </w:r>
      <w:r w:rsidR="0028102F">
        <w:rPr>
          <w:lang w:val="en-US"/>
        </w:rPr>
        <w:t>physicians</w:t>
      </w:r>
      <w:r w:rsidR="004642FB">
        <w:rPr>
          <w:lang w:val="en-US"/>
        </w:rPr>
        <w:t xml:space="preserve"> (e.g. </w:t>
      </w:r>
      <w:r w:rsidR="005A4D68">
        <w:rPr>
          <w:lang w:val="en-US"/>
        </w:rPr>
        <w:t>nurse practitioners</w:t>
      </w:r>
      <w:r w:rsidR="00A610A7">
        <w:rPr>
          <w:lang w:val="en-US"/>
        </w:rPr>
        <w:t>, physician assistants</w:t>
      </w:r>
      <w:r w:rsidR="00686679">
        <w:rPr>
          <w:lang w:val="en-US"/>
        </w:rPr>
        <w:t xml:space="preserve"> or dentists</w:t>
      </w:r>
      <w:r w:rsidR="00A610A7">
        <w:rPr>
          <w:lang w:val="en-US"/>
        </w:rPr>
        <w:t>)</w:t>
      </w:r>
      <w:r w:rsidR="00686679">
        <w:rPr>
          <w:lang w:val="en-US"/>
        </w:rPr>
        <w:t xml:space="preserve">. </w:t>
      </w:r>
    </w:p>
    <w:p w14:paraId="12D6BF35" w14:textId="77777777" w:rsidR="00635D6D" w:rsidRDefault="00635D6D" w:rsidP="00336C4D">
      <w:pPr>
        <w:pStyle w:val="MediumGrid2-Accent11"/>
        <w:ind w:left="420"/>
        <w:rPr>
          <w:lang w:val="en-US"/>
        </w:rPr>
      </w:pPr>
    </w:p>
    <w:p w14:paraId="1DCABDF4" w14:textId="5F96F6EB" w:rsidR="0028102F" w:rsidRDefault="0028102F" w:rsidP="00336C4D">
      <w:pPr>
        <w:pStyle w:val="MediumGrid2-Accent11"/>
        <w:ind w:left="360"/>
        <w:rPr>
          <w:lang w:val="en-US"/>
        </w:rPr>
      </w:pPr>
      <w:r>
        <w:rPr>
          <w:lang w:val="en-US"/>
        </w:rPr>
        <w:t xml:space="preserve">Whether a DPC arrangement is considered “medical care” or “medical insurance” depends upon the specifics of the arrangement. It seems likely that </w:t>
      </w:r>
      <w:r w:rsidR="00BA46B1">
        <w:rPr>
          <w:lang w:val="en-US"/>
        </w:rPr>
        <w:t>the final rule will provide</w:t>
      </w:r>
      <w:r>
        <w:rPr>
          <w:lang w:val="en-US"/>
        </w:rPr>
        <w:t xml:space="preserve"> more guidance on how to categorize a DPC arrangement</w:t>
      </w:r>
      <w:r w:rsidR="00BA46B1">
        <w:rPr>
          <w:lang w:val="en-US"/>
        </w:rPr>
        <w:t xml:space="preserve"> and will</w:t>
      </w:r>
      <w:r>
        <w:rPr>
          <w:lang w:val="en-US"/>
        </w:rPr>
        <w:t xml:space="preserve"> clarify whether the expenses are reimbursable only by an HRA, or by an HSA and health FSA as well.</w:t>
      </w:r>
      <w:r w:rsidR="003D7143">
        <w:rPr>
          <w:lang w:val="en-US"/>
        </w:rPr>
        <w:t xml:space="preserve"> An HRA is permitted to reimburse any qualifying medical expenses, while HSAs and health FSAs are permitted to reimburse all qualifying medical expenses except for medical insurance premiums.</w:t>
      </w:r>
    </w:p>
    <w:p w14:paraId="7A384232" w14:textId="77777777" w:rsidR="00405BAE" w:rsidRPr="0028102F" w:rsidRDefault="00405BAE" w:rsidP="00336C4D">
      <w:pPr>
        <w:pStyle w:val="MediumGrid2-Accent11"/>
        <w:ind w:left="720"/>
        <w:rPr>
          <w:lang w:val="en-US"/>
        </w:rPr>
      </w:pPr>
    </w:p>
    <w:p w14:paraId="73468C43" w14:textId="77777777" w:rsidR="00635D6D" w:rsidRDefault="008D1EE7" w:rsidP="0028102F">
      <w:pPr>
        <w:pStyle w:val="MediumGrid2-Accent11"/>
        <w:ind w:left="360"/>
        <w:rPr>
          <w:u w:val="single"/>
          <w:lang w:val="en-US"/>
        </w:rPr>
      </w:pPr>
      <w:r w:rsidRPr="00405BAE">
        <w:rPr>
          <w:u w:val="single"/>
          <w:lang w:val="en-US"/>
        </w:rPr>
        <w:t>Health Care Sharing Ministry</w:t>
      </w:r>
    </w:p>
    <w:p w14:paraId="45AE5D2E" w14:textId="05D39D64" w:rsidR="0028102F" w:rsidRDefault="003328A1" w:rsidP="00336C4D">
      <w:pPr>
        <w:pStyle w:val="MediumGrid2-Accent11"/>
        <w:ind w:left="420"/>
        <w:rPr>
          <w:lang w:val="en-US"/>
        </w:rPr>
      </w:pPr>
      <w:r>
        <w:rPr>
          <w:lang w:val="en-US"/>
        </w:rPr>
        <w:t xml:space="preserve">The proposed regulations define a health care sharing ministry </w:t>
      </w:r>
      <w:r w:rsidRPr="003328A1">
        <w:rPr>
          <w:lang w:val="en-US"/>
        </w:rPr>
        <w:t xml:space="preserve">as an organization: </w:t>
      </w:r>
    </w:p>
    <w:p w14:paraId="10B05175" w14:textId="2249AC98" w:rsidR="0028102F" w:rsidRDefault="003328A1" w:rsidP="00336C4D">
      <w:pPr>
        <w:pStyle w:val="MediumGrid2-Accent11"/>
        <w:numPr>
          <w:ilvl w:val="1"/>
          <w:numId w:val="50"/>
        </w:numPr>
        <w:rPr>
          <w:lang w:val="en-US"/>
        </w:rPr>
      </w:pPr>
      <w:r w:rsidRPr="003328A1">
        <w:rPr>
          <w:lang w:val="en-US"/>
        </w:rPr>
        <w:t xml:space="preserve"> Which is described in section 501(c)(3) and is exempt from taxation under section 501(a); </w:t>
      </w:r>
    </w:p>
    <w:p w14:paraId="2A1D94F9" w14:textId="7614F8DF" w:rsidR="0028102F" w:rsidRDefault="003328A1" w:rsidP="00336C4D">
      <w:pPr>
        <w:pStyle w:val="MediumGrid2-Accent11"/>
        <w:numPr>
          <w:ilvl w:val="1"/>
          <w:numId w:val="50"/>
        </w:numPr>
        <w:rPr>
          <w:lang w:val="en-US"/>
        </w:rPr>
      </w:pPr>
      <w:r w:rsidRPr="003328A1">
        <w:rPr>
          <w:lang w:val="en-US"/>
        </w:rPr>
        <w:t xml:space="preserve"> members of which share a common set of ethical or religious beliefs and share medical </w:t>
      </w:r>
      <w:r>
        <w:rPr>
          <w:lang w:val="en-US"/>
        </w:rPr>
        <w:t>e</w:t>
      </w:r>
      <w:r w:rsidRPr="003328A1">
        <w:rPr>
          <w:lang w:val="en-US"/>
        </w:rPr>
        <w:t>xpenses among members in accordance with those beliefs</w:t>
      </w:r>
      <w:r w:rsidR="00CA00AC">
        <w:rPr>
          <w:lang w:val="en-US"/>
        </w:rPr>
        <w:t>;</w:t>
      </w:r>
      <w:r w:rsidRPr="003328A1">
        <w:rPr>
          <w:lang w:val="en-US"/>
        </w:rPr>
        <w:t xml:space="preserve"> </w:t>
      </w:r>
    </w:p>
    <w:p w14:paraId="4124B5A1" w14:textId="7A31B6B8" w:rsidR="0028102F" w:rsidRDefault="003328A1" w:rsidP="00336C4D">
      <w:pPr>
        <w:pStyle w:val="MediumGrid2-Accent11"/>
        <w:numPr>
          <w:ilvl w:val="1"/>
          <w:numId w:val="50"/>
        </w:numPr>
        <w:rPr>
          <w:lang w:val="en-US"/>
        </w:rPr>
      </w:pPr>
      <w:r w:rsidRPr="003328A1">
        <w:rPr>
          <w:lang w:val="en-US"/>
        </w:rPr>
        <w:t xml:space="preserve"> members of which retain membership even after they develop a medical condition; </w:t>
      </w:r>
    </w:p>
    <w:p w14:paraId="3664F02C" w14:textId="77777777" w:rsidR="008E1A4F" w:rsidRDefault="003328A1" w:rsidP="008E1A4F">
      <w:pPr>
        <w:pStyle w:val="MediumGrid2-Accent11"/>
        <w:numPr>
          <w:ilvl w:val="1"/>
          <w:numId w:val="50"/>
        </w:numPr>
        <w:rPr>
          <w:lang w:val="en-US"/>
        </w:rPr>
      </w:pPr>
      <w:r w:rsidRPr="003328A1">
        <w:rPr>
          <w:lang w:val="en-US"/>
        </w:rPr>
        <w:lastRenderedPageBreak/>
        <w:t xml:space="preserve"> which (or a predecessor of which) has been in existence at all times since December 31, 1999, and medical expenses of its members have been shared continuously and without interruption since at least December 31, 1999; and </w:t>
      </w:r>
    </w:p>
    <w:p w14:paraId="182E882E" w14:textId="21A3FADA" w:rsidR="00863B94" w:rsidRDefault="003328A1" w:rsidP="00863B94">
      <w:pPr>
        <w:pStyle w:val="MediumGrid2-Accent11"/>
        <w:numPr>
          <w:ilvl w:val="1"/>
          <w:numId w:val="50"/>
        </w:numPr>
        <w:rPr>
          <w:lang w:val="en-US"/>
        </w:rPr>
      </w:pPr>
      <w:r w:rsidRPr="008E1A4F">
        <w:rPr>
          <w:lang w:val="en-US"/>
        </w:rPr>
        <w:t>which conducts an annual audit which is performed by an independent certified public accounting firm</w:t>
      </w:r>
      <w:r w:rsidR="00863B94">
        <w:rPr>
          <w:lang w:val="en-US"/>
        </w:rPr>
        <w:t>.</w:t>
      </w:r>
    </w:p>
    <w:p w14:paraId="2ADB4F05" w14:textId="77777777" w:rsidR="00863B94" w:rsidRPr="00863B94" w:rsidRDefault="00863B94" w:rsidP="00863B94">
      <w:pPr>
        <w:pStyle w:val="MediumGrid2-Accent11"/>
        <w:ind w:left="1440"/>
        <w:rPr>
          <w:lang w:val="en-US"/>
        </w:rPr>
      </w:pPr>
    </w:p>
    <w:p w14:paraId="5AC95150" w14:textId="1D09E353" w:rsidR="0003557F" w:rsidRDefault="0028102F" w:rsidP="00336C4D">
      <w:pPr>
        <w:pStyle w:val="MediumGrid2-Accent11"/>
        <w:ind w:left="420"/>
        <w:rPr>
          <w:lang w:val="en-US"/>
        </w:rPr>
      </w:pPr>
      <w:r>
        <w:rPr>
          <w:lang w:val="en-US"/>
        </w:rPr>
        <w:t>The proposed rules indicate that a health care sharing ministry is “medical insurance</w:t>
      </w:r>
      <w:r w:rsidR="00A70FFB">
        <w:rPr>
          <w:lang w:val="en-US"/>
        </w:rPr>
        <w:t>,</w:t>
      </w:r>
      <w:r>
        <w:rPr>
          <w:lang w:val="en-US"/>
        </w:rPr>
        <w:t>” and therefore the costs are reimbursable by an HRA, but not by an HSA or health FSA</w:t>
      </w:r>
      <w:r w:rsidR="003D7143">
        <w:rPr>
          <w:lang w:val="en-US"/>
        </w:rPr>
        <w:t xml:space="preserve"> (because HSAs and health FSAs are not permitted to reimburse insurance premiums)</w:t>
      </w:r>
      <w:r>
        <w:rPr>
          <w:lang w:val="en-US"/>
        </w:rPr>
        <w:t xml:space="preserve">.  </w:t>
      </w:r>
    </w:p>
    <w:p w14:paraId="5389DEBA" w14:textId="6B3279B5" w:rsidR="00910D12" w:rsidRDefault="00910D12" w:rsidP="00573056">
      <w:pPr>
        <w:pStyle w:val="MediumGrid2-Accent11"/>
        <w:rPr>
          <w:lang w:val="en-US"/>
        </w:rPr>
      </w:pPr>
    </w:p>
    <w:p w14:paraId="723EA57E" w14:textId="77777777" w:rsidR="00635D6D" w:rsidRPr="00336C4D" w:rsidRDefault="00635D6D" w:rsidP="00573056">
      <w:pPr>
        <w:pStyle w:val="MediumGrid2-Accent11"/>
        <w:rPr>
          <w:u w:val="single"/>
          <w:lang w:val="en-US"/>
        </w:rPr>
      </w:pPr>
      <w:r w:rsidRPr="00336C4D">
        <w:rPr>
          <w:u w:val="single"/>
          <w:lang w:val="en-US"/>
        </w:rPr>
        <w:t>HSA Eligibility</w:t>
      </w:r>
    </w:p>
    <w:p w14:paraId="0A74036D" w14:textId="350A968E" w:rsidR="00910D12" w:rsidRDefault="00947E39" w:rsidP="00573056">
      <w:pPr>
        <w:pStyle w:val="MediumGrid2-Accent11"/>
        <w:rPr>
          <w:lang w:val="en-US"/>
        </w:rPr>
      </w:pPr>
      <w:r>
        <w:rPr>
          <w:lang w:val="en-US"/>
        </w:rPr>
        <w:t xml:space="preserve">The proposed rules also clarify that </w:t>
      </w:r>
      <w:r w:rsidR="000E58ED">
        <w:rPr>
          <w:lang w:val="en-US"/>
        </w:rPr>
        <w:t xml:space="preserve">participation in a DPC arrangement or health care sharing ministry will generally make individuals ineligible to contribute to an HSA. </w:t>
      </w:r>
      <w:r w:rsidR="00386D35">
        <w:rPr>
          <w:lang w:val="en-US"/>
        </w:rPr>
        <w:t xml:space="preserve">To be HSA-eligible, </w:t>
      </w:r>
      <w:r w:rsidR="00720B1D">
        <w:rPr>
          <w:lang w:val="en-US"/>
        </w:rPr>
        <w:t xml:space="preserve">an individual must be enrolled in a qualifying HDHP and not have any other disqualifying coverage. </w:t>
      </w:r>
      <w:r w:rsidR="00BF30CF">
        <w:rPr>
          <w:lang w:val="en-US"/>
        </w:rPr>
        <w:t>A health care sharing ministry will always be considered disqualifying coverage, and most DPC arrangements (</w:t>
      </w:r>
      <w:r w:rsidR="00787868">
        <w:rPr>
          <w:lang w:val="en-US"/>
        </w:rPr>
        <w:t>including those paid for by the employer) will also be disqualifying coverage.</w:t>
      </w:r>
    </w:p>
    <w:p w14:paraId="7E5D5DFA" w14:textId="77777777" w:rsidR="0003557F" w:rsidRDefault="0003557F" w:rsidP="00573056">
      <w:pPr>
        <w:pStyle w:val="MediumGrid2-Accent11"/>
        <w:rPr>
          <w:lang w:val="en-US"/>
        </w:rPr>
      </w:pPr>
    </w:p>
    <w:p w14:paraId="0237F55E" w14:textId="1A46BA53" w:rsidR="00573056" w:rsidRDefault="00AF1693" w:rsidP="00573056">
      <w:pPr>
        <w:pStyle w:val="MediumGrid2-Accent11"/>
        <w:rPr>
          <w:lang w:val="en-US"/>
        </w:rPr>
      </w:pPr>
      <w:r>
        <w:rPr>
          <w:lang w:val="en-US"/>
        </w:rPr>
        <w:t xml:space="preserve"> </w:t>
      </w:r>
    </w:p>
    <w:p w14:paraId="2666BCAC" w14:textId="411CBDC6" w:rsidR="00CF6F4C" w:rsidRPr="00CF6F4C" w:rsidRDefault="00CF6F4C" w:rsidP="00573056">
      <w:pPr>
        <w:pStyle w:val="MediumGrid2-Accent11"/>
        <w:rPr>
          <w:b/>
          <w:bCs/>
          <w:lang w:val="en-US"/>
        </w:rPr>
      </w:pPr>
      <w:r>
        <w:rPr>
          <w:b/>
          <w:bCs/>
          <w:lang w:val="en-US"/>
        </w:rPr>
        <w:t>EEOC Wellness Rules – Notice of Proposed Rules</w:t>
      </w:r>
    </w:p>
    <w:p w14:paraId="1D3816CD" w14:textId="234CF8C4" w:rsidR="006E42C0" w:rsidRDefault="00342B18" w:rsidP="00D20E25">
      <w:pPr>
        <w:pStyle w:val="MediumGrid2-Accent11"/>
        <w:rPr>
          <w:lang w:val="en-US"/>
        </w:rPr>
      </w:pPr>
      <w:r>
        <w:rPr>
          <w:lang w:val="en-US"/>
        </w:rPr>
        <w:t>Wellness programs involving</w:t>
      </w:r>
      <w:r w:rsidR="00716B53">
        <w:rPr>
          <w:lang w:val="en-US"/>
        </w:rPr>
        <w:t xml:space="preserve"> </w:t>
      </w:r>
      <w:r w:rsidR="00716B53" w:rsidRPr="00716B53">
        <w:rPr>
          <w:lang w:val="en-US"/>
        </w:rPr>
        <w:t>disability-related questions (e.g. health risk assessment) or medical testing or examinations (e.g. biometric screening or annual physical)</w:t>
      </w:r>
      <w:r w:rsidR="002C4272">
        <w:rPr>
          <w:lang w:val="en-US"/>
        </w:rPr>
        <w:t xml:space="preserve"> must comply with EEOC wellness rules to avoid violating the Americans with Disabilities Act (ADA).</w:t>
      </w:r>
      <w:r w:rsidR="004C35A3">
        <w:rPr>
          <w:lang w:val="en-US"/>
        </w:rPr>
        <w:t xml:space="preserve"> The original rules provided by the EEOC in 2016 indicated that an incentive limit of 30% or less was acceptable. Howev</w:t>
      </w:r>
      <w:r w:rsidR="006968FE">
        <w:rPr>
          <w:lang w:val="en-US"/>
        </w:rPr>
        <w:t xml:space="preserve">er, following a </w:t>
      </w:r>
      <w:r w:rsidR="00425601">
        <w:rPr>
          <w:lang w:val="en-US"/>
        </w:rPr>
        <w:t>court decision challenging whether the 30% limit was “voluntary</w:t>
      </w:r>
      <w:r w:rsidR="005D1DDD">
        <w:rPr>
          <w:lang w:val="en-US"/>
        </w:rPr>
        <w:t>,</w:t>
      </w:r>
      <w:r w:rsidR="00425601">
        <w:rPr>
          <w:lang w:val="en-US"/>
        </w:rPr>
        <w:t xml:space="preserve">” the EEOC vacated the incentive limit without providing any definitive guidance in regard to what level of incentive, if any, </w:t>
      </w:r>
      <w:r w:rsidR="00C73DA8">
        <w:rPr>
          <w:lang w:val="en-US"/>
        </w:rPr>
        <w:t>could be provided with violating the ADA.</w:t>
      </w:r>
    </w:p>
    <w:p w14:paraId="072CC020" w14:textId="5AD35295" w:rsidR="00C73DA8" w:rsidRDefault="00C73DA8" w:rsidP="00D20E25">
      <w:pPr>
        <w:pStyle w:val="MediumGrid2-Accent11"/>
        <w:rPr>
          <w:lang w:val="en-US"/>
        </w:rPr>
      </w:pPr>
    </w:p>
    <w:p w14:paraId="7813F87D" w14:textId="1F455B0C" w:rsidR="00C73DA8" w:rsidRDefault="00701EA2" w:rsidP="00D20E25">
      <w:pPr>
        <w:pStyle w:val="MediumGrid2-Accent11"/>
        <w:rPr>
          <w:lang w:val="en-US"/>
        </w:rPr>
      </w:pPr>
      <w:r>
        <w:rPr>
          <w:lang w:val="en-US"/>
        </w:rPr>
        <w:t xml:space="preserve">Just last week, the EEOC held a remote public meeting during which the </w:t>
      </w:r>
      <w:r w:rsidR="000D610E">
        <w:rPr>
          <w:lang w:val="en-US"/>
        </w:rPr>
        <w:t>C</w:t>
      </w:r>
      <w:r>
        <w:rPr>
          <w:lang w:val="en-US"/>
        </w:rPr>
        <w:t>ommission</w:t>
      </w:r>
      <w:r w:rsidR="000D610E">
        <w:rPr>
          <w:lang w:val="en-US"/>
        </w:rPr>
        <w:t xml:space="preserve"> voted </w:t>
      </w:r>
      <w:r w:rsidR="0047245B">
        <w:rPr>
          <w:lang w:val="en-US"/>
        </w:rPr>
        <w:t xml:space="preserve">in favor of approving </w:t>
      </w:r>
      <w:r w:rsidR="00635D6D">
        <w:rPr>
          <w:lang w:val="en-US"/>
        </w:rPr>
        <w:t>new</w:t>
      </w:r>
      <w:r w:rsidR="0047245B">
        <w:rPr>
          <w:lang w:val="en-US"/>
        </w:rPr>
        <w:t xml:space="preserve"> proposed rules. The proposed rules will </w:t>
      </w:r>
      <w:r w:rsidR="00635D6D">
        <w:rPr>
          <w:lang w:val="en-US"/>
        </w:rPr>
        <w:t xml:space="preserve">likely </w:t>
      </w:r>
      <w:r w:rsidR="0047245B">
        <w:rPr>
          <w:lang w:val="en-US"/>
        </w:rPr>
        <w:t>be released</w:t>
      </w:r>
      <w:r w:rsidR="00BE571F">
        <w:rPr>
          <w:lang w:val="en-US"/>
        </w:rPr>
        <w:t xml:space="preserve"> for public comment</w:t>
      </w:r>
      <w:r w:rsidR="0047245B">
        <w:rPr>
          <w:lang w:val="en-US"/>
        </w:rPr>
        <w:t xml:space="preserve"> </w:t>
      </w:r>
      <w:r w:rsidR="00635D6D">
        <w:rPr>
          <w:lang w:val="en-US"/>
        </w:rPr>
        <w:t xml:space="preserve">soon. </w:t>
      </w:r>
      <w:r w:rsidR="0009294C">
        <w:rPr>
          <w:lang w:val="en-US"/>
        </w:rPr>
        <w:t xml:space="preserve"> During the public meeting, the Commission described </w:t>
      </w:r>
      <w:r w:rsidR="00D14F9F">
        <w:rPr>
          <w:lang w:val="en-US"/>
        </w:rPr>
        <w:t>two key components of the proposed rule:</w:t>
      </w:r>
    </w:p>
    <w:p w14:paraId="35EAA237" w14:textId="3B926F62" w:rsidR="00D14F9F" w:rsidRDefault="00D14F9F" w:rsidP="00D14F9F">
      <w:pPr>
        <w:pStyle w:val="MediumGrid2-Accent11"/>
        <w:numPr>
          <w:ilvl w:val="0"/>
          <w:numId w:val="42"/>
        </w:numPr>
        <w:rPr>
          <w:lang w:val="en-US"/>
        </w:rPr>
      </w:pPr>
      <w:r w:rsidRPr="00E13E6B">
        <w:rPr>
          <w:u w:val="single"/>
          <w:lang w:val="en-US"/>
        </w:rPr>
        <w:t>Incentive Limits</w:t>
      </w:r>
      <w:r>
        <w:rPr>
          <w:lang w:val="en-US"/>
        </w:rPr>
        <w:t xml:space="preserve"> – The g</w:t>
      </w:r>
      <w:r w:rsidRPr="00D14F9F">
        <w:rPr>
          <w:lang w:val="en-US"/>
        </w:rPr>
        <w:t xml:space="preserve">eneral </w:t>
      </w:r>
      <w:r w:rsidR="003D7143">
        <w:rPr>
          <w:lang w:val="en-US"/>
        </w:rPr>
        <w:t>EEOC</w:t>
      </w:r>
      <w:r w:rsidR="00635D6D">
        <w:rPr>
          <w:lang w:val="en-US"/>
        </w:rPr>
        <w:t xml:space="preserve"> </w:t>
      </w:r>
      <w:r w:rsidRPr="00D14F9F">
        <w:rPr>
          <w:lang w:val="en-US"/>
        </w:rPr>
        <w:t>rule</w:t>
      </w:r>
      <w:r>
        <w:rPr>
          <w:lang w:val="en-US"/>
        </w:rPr>
        <w:t xml:space="preserve"> is that</w:t>
      </w:r>
      <w:r w:rsidRPr="00D14F9F">
        <w:rPr>
          <w:lang w:val="en-US"/>
        </w:rPr>
        <w:t xml:space="preserve"> </w:t>
      </w:r>
      <w:r>
        <w:rPr>
          <w:lang w:val="en-US"/>
        </w:rPr>
        <w:t>o</w:t>
      </w:r>
      <w:r w:rsidRPr="00D14F9F">
        <w:rPr>
          <w:lang w:val="en-US"/>
        </w:rPr>
        <w:t>nly a de minimis incentive</w:t>
      </w:r>
      <w:r w:rsidR="002D5E04">
        <w:rPr>
          <w:lang w:val="en-US"/>
        </w:rPr>
        <w:t xml:space="preserve"> is</w:t>
      </w:r>
      <w:r w:rsidRPr="00D14F9F">
        <w:rPr>
          <w:lang w:val="en-US"/>
        </w:rPr>
        <w:t xml:space="preserve"> permitted to encourage participation</w:t>
      </w:r>
      <w:r>
        <w:rPr>
          <w:lang w:val="en-US"/>
        </w:rPr>
        <w:t>. However, there is a broad exception for any wellness</w:t>
      </w:r>
      <w:r w:rsidRPr="00D14F9F">
        <w:rPr>
          <w:lang w:val="en-US"/>
        </w:rPr>
        <w:t xml:space="preserve"> programs that are part of an employer-sponsored group health plan</w:t>
      </w:r>
      <w:r w:rsidR="00E13E6B">
        <w:rPr>
          <w:lang w:val="en-US"/>
        </w:rPr>
        <w:t xml:space="preserve"> and therefore subject to HIPAA wellness rules</w:t>
      </w:r>
      <w:r w:rsidR="00CF0C96">
        <w:rPr>
          <w:lang w:val="en-US"/>
        </w:rPr>
        <w:t>. S</w:t>
      </w:r>
      <w:r w:rsidR="00E13E6B">
        <w:rPr>
          <w:lang w:val="en-US"/>
        </w:rPr>
        <w:t>uch wellness programs</w:t>
      </w:r>
      <w:r w:rsidRPr="00D14F9F">
        <w:rPr>
          <w:lang w:val="en-US"/>
        </w:rPr>
        <w:t xml:space="preserve"> are permitted to follow </w:t>
      </w:r>
      <w:r w:rsidR="00E13E6B">
        <w:rPr>
          <w:lang w:val="en-US"/>
        </w:rPr>
        <w:t xml:space="preserve">the </w:t>
      </w:r>
      <w:r w:rsidRPr="00D14F9F">
        <w:rPr>
          <w:lang w:val="en-US"/>
        </w:rPr>
        <w:t xml:space="preserve">HIPAA incentive </w:t>
      </w:r>
      <w:r w:rsidR="00E13E6B">
        <w:rPr>
          <w:lang w:val="en-US"/>
        </w:rPr>
        <w:t>limit of 30%.</w:t>
      </w:r>
    </w:p>
    <w:p w14:paraId="7BD79F29" w14:textId="24BB3338" w:rsidR="00E13E6B" w:rsidRPr="00D14F9F" w:rsidRDefault="00E13E6B" w:rsidP="00D14F9F">
      <w:pPr>
        <w:pStyle w:val="MediumGrid2-Accent11"/>
        <w:numPr>
          <w:ilvl w:val="0"/>
          <w:numId w:val="42"/>
        </w:numPr>
        <w:rPr>
          <w:lang w:val="en-US"/>
        </w:rPr>
      </w:pPr>
      <w:r>
        <w:rPr>
          <w:u w:val="single"/>
          <w:lang w:val="en-US"/>
        </w:rPr>
        <w:t>Confidentiality</w:t>
      </w:r>
      <w:r w:rsidRPr="009B3D0E">
        <w:rPr>
          <w:lang w:val="en-US"/>
        </w:rPr>
        <w:t xml:space="preserve"> </w:t>
      </w:r>
      <w:r>
        <w:rPr>
          <w:lang w:val="en-US"/>
        </w:rPr>
        <w:t>– There will be increased requirements</w:t>
      </w:r>
      <w:r w:rsidR="0067748A">
        <w:rPr>
          <w:lang w:val="en-US"/>
        </w:rPr>
        <w:t xml:space="preserve"> </w:t>
      </w:r>
      <w:r w:rsidR="008240D4">
        <w:rPr>
          <w:lang w:val="en-US"/>
        </w:rPr>
        <w:t xml:space="preserve">for </w:t>
      </w:r>
      <w:r w:rsidR="0067748A">
        <w:rPr>
          <w:lang w:val="en-US"/>
        </w:rPr>
        <w:t>communication about the type of medical information collected</w:t>
      </w:r>
      <w:r w:rsidR="008240D4">
        <w:rPr>
          <w:lang w:val="en-US"/>
        </w:rPr>
        <w:t xml:space="preserve"> and stored</w:t>
      </w:r>
      <w:r w:rsidR="0067748A">
        <w:rPr>
          <w:lang w:val="en-US"/>
        </w:rPr>
        <w:t xml:space="preserve"> as part of the wellness program </w:t>
      </w:r>
      <w:r w:rsidR="00BC38D3">
        <w:rPr>
          <w:lang w:val="en-US"/>
        </w:rPr>
        <w:t xml:space="preserve">and consent for such </w:t>
      </w:r>
      <w:r w:rsidR="008240D4">
        <w:rPr>
          <w:lang w:val="en-US"/>
        </w:rPr>
        <w:t>collection</w:t>
      </w:r>
      <w:r w:rsidR="009B3D0E">
        <w:rPr>
          <w:lang w:val="en-US"/>
        </w:rPr>
        <w:t xml:space="preserve"> and storage of information</w:t>
      </w:r>
      <w:r w:rsidR="00BC38D3">
        <w:rPr>
          <w:lang w:val="en-US"/>
        </w:rPr>
        <w:t>.</w:t>
      </w:r>
      <w:r w:rsidR="009B3D0E">
        <w:rPr>
          <w:lang w:val="en-US"/>
        </w:rPr>
        <w:t xml:space="preserve"> There may also be some additional requirements that extend to third parties assisting in offering or administering the wellness program.</w:t>
      </w:r>
    </w:p>
    <w:p w14:paraId="6AB38F01" w14:textId="5B1475A7" w:rsidR="004A706F" w:rsidRDefault="004A706F" w:rsidP="00D20E25">
      <w:pPr>
        <w:pStyle w:val="MediumGrid2-Accent11"/>
      </w:pPr>
    </w:p>
    <w:p w14:paraId="6A9A472A" w14:textId="1DB0B676" w:rsidR="004A706F" w:rsidRPr="009B3D0E" w:rsidRDefault="008134B9" w:rsidP="00D20E25">
      <w:pPr>
        <w:pStyle w:val="MediumGrid2-Accent11"/>
        <w:rPr>
          <w:lang w:val="en-US"/>
        </w:rPr>
      </w:pPr>
      <w:r>
        <w:rPr>
          <w:lang w:val="en-US"/>
        </w:rPr>
        <w:t>We will get more details once the proposed rules are officially released</w:t>
      </w:r>
      <w:r w:rsidR="002667A4">
        <w:rPr>
          <w:lang w:val="en-US"/>
        </w:rPr>
        <w:t>, but in the meantime, wellness programs</w:t>
      </w:r>
      <w:r w:rsidR="005263FB">
        <w:rPr>
          <w:lang w:val="en-US"/>
        </w:rPr>
        <w:t xml:space="preserve"> with an incentive</w:t>
      </w:r>
      <w:r w:rsidR="00FA1F01">
        <w:rPr>
          <w:lang w:val="en-US"/>
        </w:rPr>
        <w:t xml:space="preserve"> of 30% or less</w:t>
      </w:r>
      <w:r w:rsidR="005263FB">
        <w:rPr>
          <w:lang w:val="en-US"/>
        </w:rPr>
        <w:t xml:space="preserve"> tied to the group health plan (e.g. reduction in cost-sharing or monthly premium)</w:t>
      </w:r>
      <w:r w:rsidR="00FA1F01">
        <w:rPr>
          <w:lang w:val="en-US"/>
        </w:rPr>
        <w:t xml:space="preserve"> </w:t>
      </w:r>
      <w:r w:rsidR="00AB4EFF">
        <w:rPr>
          <w:lang w:val="en-US"/>
        </w:rPr>
        <w:t>are</w:t>
      </w:r>
      <w:r w:rsidR="00FA1F01">
        <w:rPr>
          <w:lang w:val="en-US"/>
        </w:rPr>
        <w:t xml:space="preserve"> likely acceptable</w:t>
      </w:r>
      <w:r>
        <w:rPr>
          <w:lang w:val="en-US"/>
        </w:rPr>
        <w:t xml:space="preserve">. </w:t>
      </w:r>
      <w:r w:rsidR="009B3D0E">
        <w:rPr>
          <w:lang w:val="en-US"/>
        </w:rPr>
        <w:t xml:space="preserve">These rules </w:t>
      </w:r>
      <w:r w:rsidR="00254D45">
        <w:rPr>
          <w:lang w:val="en-US"/>
        </w:rPr>
        <w:t xml:space="preserve">will not be effective until after the </w:t>
      </w:r>
      <w:r>
        <w:rPr>
          <w:lang w:val="en-US"/>
        </w:rPr>
        <w:t xml:space="preserve">proposed rules are released, time for public comment is provided, and the </w:t>
      </w:r>
      <w:r w:rsidR="00254D45">
        <w:rPr>
          <w:lang w:val="en-US"/>
        </w:rPr>
        <w:t xml:space="preserve">final rules are published. </w:t>
      </w:r>
    </w:p>
    <w:p w14:paraId="79285973" w14:textId="1BFC9075" w:rsidR="004A706F" w:rsidRDefault="004A706F" w:rsidP="00D20E25">
      <w:pPr>
        <w:pStyle w:val="MediumGrid2-Accent11"/>
      </w:pPr>
    </w:p>
    <w:p w14:paraId="11418FE5" w14:textId="52B4DCDF" w:rsidR="00514FCD" w:rsidRPr="00973E25" w:rsidRDefault="00AA31D5" w:rsidP="00D20E25">
      <w:pPr>
        <w:pStyle w:val="MediumGrid2-Accent11"/>
        <w:rPr>
          <w:b/>
          <w:bCs/>
          <w:lang w:val="en-US"/>
        </w:rPr>
      </w:pPr>
      <w:r w:rsidRPr="00AA31D5">
        <w:rPr>
          <w:b/>
          <w:bCs/>
        </w:rPr>
        <w:t>§</w:t>
      </w:r>
      <w:r w:rsidRPr="00AA31D5">
        <w:rPr>
          <w:b/>
          <w:bCs/>
          <w:lang w:val="en-US"/>
        </w:rPr>
        <w:t>1557 Nondiscrimination Rules Modified</w:t>
      </w:r>
    </w:p>
    <w:p w14:paraId="2EFC42EE" w14:textId="3125AD80" w:rsidR="00C632ED" w:rsidRDefault="00A04FA6" w:rsidP="00D20E25">
      <w:pPr>
        <w:pStyle w:val="MediumGrid2-Accent11"/>
        <w:rPr>
          <w:lang w:val="en-US"/>
        </w:rPr>
      </w:pPr>
      <w:r w:rsidRPr="00A04FA6">
        <w:t>§</w:t>
      </w:r>
      <w:r w:rsidRPr="00A04FA6">
        <w:rPr>
          <w:lang w:val="en-US"/>
        </w:rPr>
        <w:t>1557</w:t>
      </w:r>
      <w:r w:rsidR="00C85F09">
        <w:rPr>
          <w:lang w:val="en-US"/>
        </w:rPr>
        <w:t xml:space="preserve">, added by the ACA, </w:t>
      </w:r>
      <w:r w:rsidR="00514FCD" w:rsidRPr="00514FCD">
        <w:rPr>
          <w:lang w:val="en-US"/>
        </w:rPr>
        <w:t xml:space="preserve">prohibits </w:t>
      </w:r>
      <w:r w:rsidR="00C85F09">
        <w:rPr>
          <w:lang w:val="en-US"/>
        </w:rPr>
        <w:t>covered entities</w:t>
      </w:r>
      <w:r w:rsidR="00514FCD" w:rsidRPr="00514FCD">
        <w:rPr>
          <w:lang w:val="en-US"/>
        </w:rPr>
        <w:t xml:space="preserve"> from discriminating against individuals on account of race, color, national origin, sex, age, and disability.</w:t>
      </w:r>
      <w:r w:rsidR="00D91870">
        <w:rPr>
          <w:lang w:val="en-US"/>
        </w:rPr>
        <w:t xml:space="preserve"> </w:t>
      </w:r>
    </w:p>
    <w:p w14:paraId="74F69C0D" w14:textId="33CD9FD3" w:rsidR="00973E25" w:rsidRDefault="00973E25" w:rsidP="00D20E25">
      <w:pPr>
        <w:pStyle w:val="MediumGrid2-Accent11"/>
        <w:rPr>
          <w:lang w:val="en-US"/>
        </w:rPr>
      </w:pPr>
    </w:p>
    <w:p w14:paraId="2FBE2484" w14:textId="58E65D10" w:rsidR="00973E25" w:rsidRDefault="006D483B" w:rsidP="00973E25">
      <w:pPr>
        <w:pStyle w:val="MediumGrid2-Accent11"/>
        <w:rPr>
          <w:lang w:val="en-US"/>
        </w:rPr>
      </w:pPr>
      <w:r>
        <w:rPr>
          <w:lang w:val="en-US"/>
        </w:rPr>
        <w:t xml:space="preserve">Late last week, </w:t>
      </w:r>
      <w:r w:rsidR="00973E25">
        <w:rPr>
          <w:lang w:val="en-US"/>
        </w:rPr>
        <w:t xml:space="preserve">HHS </w:t>
      </w:r>
      <w:r>
        <w:rPr>
          <w:lang w:val="en-US"/>
        </w:rPr>
        <w:t>finalized rules</w:t>
      </w:r>
      <w:r w:rsidR="00973E25">
        <w:rPr>
          <w:lang w:val="en-US"/>
        </w:rPr>
        <w:t xml:space="preserve"> </w:t>
      </w:r>
      <w:r w:rsidR="00515F9E">
        <w:rPr>
          <w:lang w:val="en-US"/>
        </w:rPr>
        <w:t>that</w:t>
      </w:r>
      <w:r w:rsidR="00973E25">
        <w:rPr>
          <w:lang w:val="en-US"/>
        </w:rPr>
        <w:t xml:space="preserve"> roll back several of the requirements </w:t>
      </w:r>
      <w:r w:rsidR="00515F9E">
        <w:rPr>
          <w:lang w:val="en-US"/>
        </w:rPr>
        <w:t xml:space="preserve">of previous agency guidance interpreting </w:t>
      </w:r>
      <w:r w:rsidR="00515F9E" w:rsidRPr="00A04FA6">
        <w:t>§</w:t>
      </w:r>
      <w:r w:rsidR="00515F9E" w:rsidRPr="00A04FA6">
        <w:rPr>
          <w:lang w:val="en-US"/>
        </w:rPr>
        <w:t>1557</w:t>
      </w:r>
      <w:r w:rsidR="00515F9E">
        <w:rPr>
          <w:lang w:val="en-US"/>
        </w:rPr>
        <w:t xml:space="preserve"> requirements</w:t>
      </w:r>
      <w:r w:rsidR="00973E25">
        <w:rPr>
          <w:lang w:val="en-US"/>
        </w:rPr>
        <w:t>.</w:t>
      </w:r>
      <w:r w:rsidR="008877DD">
        <w:rPr>
          <w:lang w:val="en-US"/>
        </w:rPr>
        <w:t xml:space="preserve"> </w:t>
      </w:r>
      <w:r w:rsidR="006E36C8">
        <w:rPr>
          <w:lang w:val="en-US"/>
        </w:rPr>
        <w:t>The following changes were made:</w:t>
      </w:r>
    </w:p>
    <w:p w14:paraId="5D3FF83A" w14:textId="77777777" w:rsidR="001F0590" w:rsidRDefault="001F0590" w:rsidP="006E36C8">
      <w:pPr>
        <w:pStyle w:val="MediumGrid2-Accent11"/>
        <w:numPr>
          <w:ilvl w:val="0"/>
          <w:numId w:val="44"/>
        </w:numPr>
        <w:rPr>
          <w:lang w:val="en-US"/>
        </w:rPr>
      </w:pPr>
      <w:r>
        <w:rPr>
          <w:u w:val="single"/>
          <w:lang w:val="en-US"/>
        </w:rPr>
        <w:t>Definition of Covered Entity</w:t>
      </w:r>
      <w:r w:rsidRPr="006A1FC8">
        <w:rPr>
          <w:lang w:val="en-US"/>
        </w:rPr>
        <w:t xml:space="preserve">: </w:t>
      </w:r>
      <w:r>
        <w:rPr>
          <w:lang w:val="en-US"/>
        </w:rPr>
        <w:t>The definition of a “covered entity” previously included any</w:t>
      </w:r>
      <w:r w:rsidRPr="00CF1EE5">
        <w:rPr>
          <w:lang w:val="en-US"/>
        </w:rPr>
        <w:t xml:space="preserve"> </w:t>
      </w:r>
      <w:r>
        <w:rPr>
          <w:lang w:val="en-US"/>
        </w:rPr>
        <w:t>organization providing</w:t>
      </w:r>
      <w:r w:rsidRPr="00CF1EE5">
        <w:rPr>
          <w:lang w:val="en-US"/>
        </w:rPr>
        <w:t xml:space="preserve"> health programs and activities that receive</w:t>
      </w:r>
      <w:r>
        <w:rPr>
          <w:lang w:val="en-US"/>
        </w:rPr>
        <w:t>d</w:t>
      </w:r>
      <w:r w:rsidRPr="00CF1EE5">
        <w:rPr>
          <w:lang w:val="en-US"/>
        </w:rPr>
        <w:t xml:space="preserve"> federal </w:t>
      </w:r>
      <w:r>
        <w:rPr>
          <w:lang w:val="en-US"/>
        </w:rPr>
        <w:t xml:space="preserve">funds </w:t>
      </w:r>
      <w:r w:rsidRPr="00CF1EE5">
        <w:rPr>
          <w:lang w:val="en-US"/>
        </w:rPr>
        <w:t>administered by HHS</w:t>
      </w:r>
      <w:r>
        <w:rPr>
          <w:lang w:val="en-US"/>
        </w:rPr>
        <w:t xml:space="preserve">, </w:t>
      </w:r>
      <w:r w:rsidRPr="00961B1F">
        <w:rPr>
          <w:lang w:val="en-US"/>
        </w:rPr>
        <w:t>health programs and activities administered by HHS</w:t>
      </w:r>
      <w:r>
        <w:rPr>
          <w:lang w:val="en-US"/>
        </w:rPr>
        <w:t>,</w:t>
      </w:r>
      <w:r w:rsidRPr="00961B1F">
        <w:rPr>
          <w:lang w:val="en-US"/>
        </w:rPr>
        <w:t xml:space="preserve"> and health programs and activities administered by entities established under Title I of the ACA</w:t>
      </w:r>
      <w:r>
        <w:rPr>
          <w:lang w:val="en-US"/>
        </w:rPr>
        <w:t xml:space="preserve"> (e.g. public Marketplaces/Exchanges). The final rules limited the application of </w:t>
      </w:r>
      <w:r w:rsidRPr="00A04FA6">
        <w:t>§</w:t>
      </w:r>
      <w:r w:rsidRPr="00A04FA6">
        <w:rPr>
          <w:lang w:val="en-US"/>
        </w:rPr>
        <w:t>1557</w:t>
      </w:r>
      <w:r>
        <w:rPr>
          <w:lang w:val="en-US"/>
        </w:rPr>
        <w:t xml:space="preserve"> </w:t>
      </w:r>
      <w:r w:rsidRPr="006A1FC8">
        <w:rPr>
          <w:lang w:val="en-US"/>
        </w:rPr>
        <w:t xml:space="preserve">to the portion of a business engaged in health programs or activities receiving HHS federal funding rather than applying broadly to the entire organization. </w:t>
      </w:r>
      <w:r>
        <w:rPr>
          <w:lang w:val="en-US"/>
        </w:rPr>
        <w:t>This change means health</w:t>
      </w:r>
      <w:r w:rsidRPr="006A1FC8">
        <w:rPr>
          <w:lang w:val="en-US"/>
        </w:rPr>
        <w:t xml:space="preserve"> insurers </w:t>
      </w:r>
      <w:r w:rsidRPr="006A1FC8">
        <w:rPr>
          <w:lang w:val="en-US"/>
        </w:rPr>
        <w:lastRenderedPageBreak/>
        <w:t>are not covered entities except for operations or product lines that receive federal funding. And importantly, employer-sponsored plans are excluded unless they receive federal funding (e.g. Medicare Part D subsidies).</w:t>
      </w:r>
      <w:r>
        <w:rPr>
          <w:lang w:val="en-US"/>
        </w:rPr>
        <w:t xml:space="preserve"> The reality is that most employers were already excluded from the definition of covered entities and not directly subject to the rules, and this final rule limits </w:t>
      </w:r>
      <w:r w:rsidRPr="00A04FA6">
        <w:t>§</w:t>
      </w:r>
      <w:r w:rsidRPr="00A04FA6">
        <w:rPr>
          <w:lang w:val="en-US"/>
        </w:rPr>
        <w:t>1557</w:t>
      </w:r>
      <w:r>
        <w:rPr>
          <w:lang w:val="en-US"/>
        </w:rPr>
        <w:t xml:space="preserve"> application even further.</w:t>
      </w:r>
    </w:p>
    <w:p w14:paraId="22671C2B" w14:textId="56E26D8C" w:rsidR="00871003" w:rsidRPr="00336C4D" w:rsidRDefault="003D7143" w:rsidP="00336C4D">
      <w:pPr>
        <w:pStyle w:val="MediumGrid2-Accent11"/>
        <w:numPr>
          <w:ilvl w:val="0"/>
          <w:numId w:val="44"/>
        </w:numPr>
        <w:rPr>
          <w:lang w:val="en-US"/>
        </w:rPr>
      </w:pPr>
      <w:r>
        <w:rPr>
          <w:u w:val="single"/>
          <w:lang w:val="en-US"/>
        </w:rPr>
        <w:t>Definition of Sex</w:t>
      </w:r>
      <w:r w:rsidRPr="00336C4D">
        <w:rPr>
          <w:lang w:val="en-US"/>
        </w:rPr>
        <w:t xml:space="preserve">: </w:t>
      </w:r>
      <w:r w:rsidR="006E36C8">
        <w:rPr>
          <w:lang w:val="en-US"/>
        </w:rPr>
        <w:t xml:space="preserve">The definition of </w:t>
      </w:r>
      <w:r w:rsidR="00BF03CA">
        <w:rPr>
          <w:lang w:val="en-US"/>
        </w:rPr>
        <w:t>“sex” for purposes of discrimination no longer includes termination of pregnancy or gender identity.</w:t>
      </w:r>
    </w:p>
    <w:p w14:paraId="48E9B5EA" w14:textId="6824DE69" w:rsidR="00871003" w:rsidRDefault="00871003" w:rsidP="00336C4D">
      <w:pPr>
        <w:pStyle w:val="MediumGrid2-Accent11"/>
        <w:numPr>
          <w:ilvl w:val="0"/>
          <w:numId w:val="44"/>
        </w:numPr>
        <w:rPr>
          <w:lang w:val="en-US"/>
        </w:rPr>
      </w:pPr>
      <w:r>
        <w:rPr>
          <w:u w:val="single"/>
          <w:lang w:val="en-US"/>
        </w:rPr>
        <w:t>Nondiscrimination Notices and Taglines</w:t>
      </w:r>
      <w:r w:rsidRPr="00336C4D">
        <w:rPr>
          <w:lang w:val="en-US"/>
        </w:rPr>
        <w:t xml:space="preserve">: </w:t>
      </w:r>
      <w:r>
        <w:rPr>
          <w:lang w:val="en-US"/>
        </w:rPr>
        <w:t xml:space="preserve">Previous guidance required covered entities to distribute nondiscrimination notices (including foreign language taglines). The final rule removed this requirement. </w:t>
      </w:r>
    </w:p>
    <w:p w14:paraId="4DFB52E6" w14:textId="04C8817A" w:rsidR="00FD5035" w:rsidRDefault="00871003" w:rsidP="00336C4D">
      <w:pPr>
        <w:pStyle w:val="MediumGrid2-Accent11"/>
        <w:numPr>
          <w:ilvl w:val="0"/>
          <w:numId w:val="44"/>
        </w:numPr>
        <w:rPr>
          <w:lang w:val="en-US"/>
        </w:rPr>
      </w:pPr>
      <w:r>
        <w:rPr>
          <w:u w:val="single"/>
          <w:lang w:val="en-US"/>
        </w:rPr>
        <w:t xml:space="preserve">Grievance </w:t>
      </w:r>
      <w:r w:rsidR="001F0590">
        <w:rPr>
          <w:u w:val="single"/>
          <w:lang w:val="en-US"/>
        </w:rPr>
        <w:t>Procedures and Retaliation Prohibition</w:t>
      </w:r>
      <w:r w:rsidR="001F0590" w:rsidRPr="00336C4D">
        <w:rPr>
          <w:lang w:val="en-US"/>
        </w:rPr>
        <w:t xml:space="preserve">: </w:t>
      </w:r>
      <w:r w:rsidR="001F0590">
        <w:rPr>
          <w:lang w:val="en-US"/>
        </w:rPr>
        <w:t xml:space="preserve">Earlier rules required employers to maintain grievance procedures for those with </w:t>
      </w:r>
      <w:r w:rsidR="001F0590" w:rsidRPr="00A04FA6">
        <w:t>§</w:t>
      </w:r>
      <w:r w:rsidR="001F0590" w:rsidRPr="00A04FA6">
        <w:rPr>
          <w:lang w:val="en-US"/>
        </w:rPr>
        <w:t>1557</w:t>
      </w:r>
      <w:r w:rsidR="001F0590">
        <w:rPr>
          <w:lang w:val="en-US"/>
        </w:rPr>
        <w:t xml:space="preserve"> discrimination claims and also prohibited retaliation for those making such claims. </w:t>
      </w:r>
      <w:r w:rsidR="008B2FD9">
        <w:rPr>
          <w:lang w:val="en-US"/>
        </w:rPr>
        <w:t xml:space="preserve">The </w:t>
      </w:r>
      <w:r w:rsidR="001F0590">
        <w:rPr>
          <w:lang w:val="en-US"/>
        </w:rPr>
        <w:t xml:space="preserve">final rule removed the </w:t>
      </w:r>
      <w:r w:rsidR="008B2FD9">
        <w:rPr>
          <w:lang w:val="en-US"/>
        </w:rPr>
        <w:t xml:space="preserve">requirement </w:t>
      </w:r>
      <w:r w:rsidR="001F0590">
        <w:rPr>
          <w:lang w:val="en-US"/>
        </w:rPr>
        <w:t xml:space="preserve">for employers </w:t>
      </w:r>
      <w:r w:rsidR="008B2FD9">
        <w:rPr>
          <w:lang w:val="en-US"/>
        </w:rPr>
        <w:t xml:space="preserve">to maintain grievance procedures </w:t>
      </w:r>
      <w:r w:rsidR="00B430BA">
        <w:rPr>
          <w:lang w:val="en-US"/>
        </w:rPr>
        <w:t>and the</w:t>
      </w:r>
      <w:r w:rsidR="001F0590">
        <w:rPr>
          <w:lang w:val="en-US"/>
        </w:rPr>
        <w:t xml:space="preserve"> </w:t>
      </w:r>
      <w:r w:rsidR="00B430BA">
        <w:rPr>
          <w:lang w:val="en-US"/>
        </w:rPr>
        <w:t>prohibition on retaliation</w:t>
      </w:r>
      <w:r w:rsidR="006C3CD5">
        <w:rPr>
          <w:lang w:val="en-US"/>
        </w:rPr>
        <w:t>.</w:t>
      </w:r>
    </w:p>
    <w:p w14:paraId="72793A4A" w14:textId="77777777" w:rsidR="00973E25" w:rsidRPr="00514FCD" w:rsidRDefault="00973E25" w:rsidP="00D20E25">
      <w:pPr>
        <w:pStyle w:val="MediumGrid2-Accent11"/>
        <w:rPr>
          <w:lang w:val="en-US"/>
        </w:rPr>
      </w:pPr>
    </w:p>
    <w:p w14:paraId="0BCF8620" w14:textId="74AF7201" w:rsidR="00515089" w:rsidRDefault="00A2529F" w:rsidP="00D20E25">
      <w:pPr>
        <w:pStyle w:val="MediumGrid2-Accent11"/>
        <w:rPr>
          <w:lang w:val="en-US"/>
        </w:rPr>
      </w:pPr>
      <w:r>
        <w:rPr>
          <w:lang w:val="en-US"/>
        </w:rPr>
        <w:t>Employers sometimes question</w:t>
      </w:r>
      <w:r w:rsidR="006C3CD5">
        <w:rPr>
          <w:lang w:val="en-US"/>
        </w:rPr>
        <w:t xml:space="preserve"> whether plans are required </w:t>
      </w:r>
      <w:r>
        <w:rPr>
          <w:lang w:val="en-US"/>
        </w:rPr>
        <w:t xml:space="preserve">to provide coverage for </w:t>
      </w:r>
      <w:r w:rsidR="00254251">
        <w:rPr>
          <w:lang w:val="en-US"/>
        </w:rPr>
        <w:t>conditions relating to gender identity s</w:t>
      </w:r>
      <w:r>
        <w:rPr>
          <w:lang w:val="en-US"/>
        </w:rPr>
        <w:t xml:space="preserve">uch as gender dysphoria. </w:t>
      </w:r>
      <w:r w:rsidR="004D513E">
        <w:rPr>
          <w:lang w:val="en-US"/>
        </w:rPr>
        <w:t xml:space="preserve">To the extent that </w:t>
      </w:r>
      <w:r w:rsidR="004D513E" w:rsidRPr="00A04FA6">
        <w:t>§</w:t>
      </w:r>
      <w:r w:rsidR="004D513E" w:rsidRPr="00A04FA6">
        <w:rPr>
          <w:lang w:val="en-US"/>
        </w:rPr>
        <w:t>1557</w:t>
      </w:r>
      <w:r w:rsidR="004D513E">
        <w:rPr>
          <w:lang w:val="en-US"/>
        </w:rPr>
        <w:t xml:space="preserve"> </w:t>
      </w:r>
      <w:r w:rsidR="00436B1C">
        <w:rPr>
          <w:lang w:val="en-US"/>
        </w:rPr>
        <w:t xml:space="preserve">was previously interpreted to </w:t>
      </w:r>
      <w:r w:rsidR="004D513E">
        <w:rPr>
          <w:lang w:val="en-US"/>
        </w:rPr>
        <w:t>require</w:t>
      </w:r>
      <w:r w:rsidR="00436B1C">
        <w:rPr>
          <w:lang w:val="en-US"/>
        </w:rPr>
        <w:t xml:space="preserve"> such coverage</w:t>
      </w:r>
      <w:r w:rsidR="004D513E">
        <w:rPr>
          <w:lang w:val="en-US"/>
        </w:rPr>
        <w:t xml:space="preserve"> </w:t>
      </w:r>
      <w:r w:rsidR="00436B1C">
        <w:rPr>
          <w:lang w:val="en-US"/>
        </w:rPr>
        <w:t xml:space="preserve">by </w:t>
      </w:r>
      <w:r w:rsidR="004D513E">
        <w:rPr>
          <w:lang w:val="en-US"/>
        </w:rPr>
        <w:t>covered entities</w:t>
      </w:r>
      <w:r w:rsidR="006526C1">
        <w:rPr>
          <w:lang w:val="en-US"/>
        </w:rPr>
        <w:t xml:space="preserve">, </w:t>
      </w:r>
      <w:r w:rsidR="001A447E">
        <w:rPr>
          <w:lang w:val="en-US"/>
        </w:rPr>
        <w:t xml:space="preserve">that </w:t>
      </w:r>
      <w:r w:rsidR="00913B1C">
        <w:rPr>
          <w:lang w:val="en-US"/>
        </w:rPr>
        <w:t>may no longer be</w:t>
      </w:r>
      <w:r w:rsidR="001A447E">
        <w:rPr>
          <w:lang w:val="en-US"/>
        </w:rPr>
        <w:t xml:space="preserve"> the case. </w:t>
      </w:r>
      <w:r w:rsidR="00913B1C">
        <w:rPr>
          <w:lang w:val="en-US"/>
        </w:rPr>
        <w:t xml:space="preserve">However, whether a plan is subject to </w:t>
      </w:r>
      <w:r w:rsidR="00913B1C" w:rsidRPr="00A04FA6">
        <w:t>§</w:t>
      </w:r>
      <w:r w:rsidR="00913B1C" w:rsidRPr="00A04FA6">
        <w:rPr>
          <w:lang w:val="en-US"/>
        </w:rPr>
        <w:t>1557</w:t>
      </w:r>
      <w:r w:rsidR="00913B1C">
        <w:rPr>
          <w:lang w:val="en-US"/>
        </w:rPr>
        <w:t xml:space="preserve"> requirements or not, </w:t>
      </w:r>
      <w:r w:rsidR="005E3784">
        <w:rPr>
          <w:lang w:val="en-US"/>
        </w:rPr>
        <w:t xml:space="preserve">employers considering excluding </w:t>
      </w:r>
      <w:r w:rsidR="00697F2E">
        <w:rPr>
          <w:lang w:val="en-US"/>
        </w:rPr>
        <w:t xml:space="preserve">such coverage should consider whether doing so would violate </w:t>
      </w:r>
      <w:r w:rsidR="00F550FC">
        <w:rPr>
          <w:lang w:val="en-US"/>
        </w:rPr>
        <w:t>broader federal and state nondiscrimination requirements (e.g. Title VII)</w:t>
      </w:r>
      <w:r w:rsidR="00A61A12">
        <w:rPr>
          <w:lang w:val="en-US"/>
        </w:rPr>
        <w:t xml:space="preserve">, especially in light of the most recent Supreme Court decision regarding the definition of sex for purposes of employment </w:t>
      </w:r>
      <w:r w:rsidR="004B5118">
        <w:rPr>
          <w:lang w:val="en-US"/>
        </w:rPr>
        <w:t>discrimination.</w:t>
      </w:r>
    </w:p>
    <w:p w14:paraId="09B580FC" w14:textId="1321F753" w:rsidR="004B5118" w:rsidRDefault="004B5118" w:rsidP="00D20E25">
      <w:pPr>
        <w:pStyle w:val="MediumGrid2-Accent11"/>
        <w:rPr>
          <w:lang w:val="en-US"/>
        </w:rPr>
      </w:pPr>
    </w:p>
    <w:p w14:paraId="1919F256" w14:textId="77777777" w:rsidR="004B5118" w:rsidRPr="006C3CD5" w:rsidRDefault="004B5118" w:rsidP="00D20E25">
      <w:pPr>
        <w:pStyle w:val="MediumGrid2-Accent11"/>
        <w:rPr>
          <w:lang w:val="en-US"/>
        </w:rPr>
      </w:pPr>
    </w:p>
    <w:p w14:paraId="1369DFF4" w14:textId="158BE0A8" w:rsidR="00A14BE0" w:rsidRDefault="00A14BE0" w:rsidP="00D20E25">
      <w:pPr>
        <w:pStyle w:val="MediumGrid2-Accent11"/>
      </w:pPr>
    </w:p>
    <w:p w14:paraId="3236398A" w14:textId="77777777" w:rsidR="00DF03E2" w:rsidRPr="00D20E25" w:rsidRDefault="00DF03E2" w:rsidP="00D20E25">
      <w:pPr>
        <w:pStyle w:val="MediumGrid2-Accent11"/>
      </w:pPr>
    </w:p>
    <w:p w14:paraId="33593053"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9EC4" w14:textId="77777777" w:rsidR="00A805AA" w:rsidRDefault="00A805AA" w:rsidP="00D20E25">
      <w:r>
        <w:separator/>
      </w:r>
    </w:p>
  </w:endnote>
  <w:endnote w:type="continuationSeparator" w:id="0">
    <w:p w14:paraId="4746FE6F" w14:textId="77777777" w:rsidR="00A805AA" w:rsidRDefault="00A805AA"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1FB5BAD7" w:rsidR="005C07B5" w:rsidRDefault="005C07B5" w:rsidP="00D20E25">
    <w:pPr>
      <w:pStyle w:val="Footer"/>
      <w:jc w:val="center"/>
      <w:rPr>
        <w:lang w:val="en-US"/>
      </w:rPr>
    </w:pPr>
    <w:r w:rsidRPr="006C7EC1">
      <w:t>© 20</w:t>
    </w:r>
    <w:r w:rsidR="00A14BE0">
      <w:rPr>
        <w:lang w:val="en-US"/>
      </w:rPr>
      <w:t>20</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254128B9" w:rsidR="005C07B5" w:rsidRDefault="005C07B5" w:rsidP="00D20E25">
    <w:pPr>
      <w:pStyle w:val="Footer"/>
      <w:jc w:val="center"/>
      <w:rPr>
        <w:lang w:val="en-US"/>
      </w:rPr>
    </w:pPr>
    <w:r>
      <w:t>© 20</w:t>
    </w:r>
    <w:r w:rsidR="00A14BE0">
      <w:rPr>
        <w:lang w:val="en-US"/>
      </w:rPr>
      <w:t>20</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8399" w14:textId="77777777" w:rsidR="00A805AA" w:rsidRDefault="00A805AA" w:rsidP="00D20E25">
      <w:r>
        <w:separator/>
      </w:r>
    </w:p>
  </w:footnote>
  <w:footnote w:type="continuationSeparator" w:id="0">
    <w:p w14:paraId="2167BD57" w14:textId="77777777" w:rsidR="00A805AA" w:rsidRDefault="00A805AA"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D1879"/>
    <w:multiLevelType w:val="hybridMultilevel"/>
    <w:tmpl w:val="D7A4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D7FF2"/>
    <w:multiLevelType w:val="hybridMultilevel"/>
    <w:tmpl w:val="618C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0BF7"/>
    <w:multiLevelType w:val="hybridMultilevel"/>
    <w:tmpl w:val="EF3E9BDC"/>
    <w:lvl w:ilvl="0" w:tplc="04090001">
      <w:start w:val="1"/>
      <w:numFmt w:val="bullet"/>
      <w:lvlText w:val=""/>
      <w:lvlJc w:val="left"/>
      <w:pPr>
        <w:ind w:left="780" w:hanging="360"/>
      </w:pPr>
      <w:rPr>
        <w:rFonts w:ascii="Symbol" w:hAnsi="Symbo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0AB6"/>
    <w:multiLevelType w:val="hybridMultilevel"/>
    <w:tmpl w:val="564AC1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317552"/>
    <w:multiLevelType w:val="hybridMultilevel"/>
    <w:tmpl w:val="2D4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17731A"/>
    <w:multiLevelType w:val="hybridMultilevel"/>
    <w:tmpl w:val="15D2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53A57"/>
    <w:multiLevelType w:val="hybridMultilevel"/>
    <w:tmpl w:val="D6C49F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A5507"/>
    <w:multiLevelType w:val="hybridMultilevel"/>
    <w:tmpl w:val="70528652"/>
    <w:lvl w:ilvl="0" w:tplc="04090001">
      <w:start w:val="1"/>
      <w:numFmt w:val="bullet"/>
      <w:lvlText w:val=""/>
      <w:lvlJc w:val="left"/>
      <w:pPr>
        <w:ind w:left="780" w:hanging="360"/>
      </w:pPr>
      <w:rPr>
        <w:rFonts w:ascii="Symbol" w:hAnsi="Symbo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B52EA"/>
    <w:multiLevelType w:val="hybridMultilevel"/>
    <w:tmpl w:val="2C28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E66C7"/>
    <w:multiLevelType w:val="hybridMultilevel"/>
    <w:tmpl w:val="53A65BE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6"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4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9"/>
  </w:num>
  <w:num w:numId="3">
    <w:abstractNumId w:val="28"/>
  </w:num>
  <w:num w:numId="4">
    <w:abstractNumId w:val="11"/>
  </w:num>
  <w:num w:numId="5">
    <w:abstractNumId w:val="34"/>
  </w:num>
  <w:num w:numId="6">
    <w:abstractNumId w:val="9"/>
  </w:num>
  <w:num w:numId="7">
    <w:abstractNumId w:val="17"/>
  </w:num>
  <w:num w:numId="8">
    <w:abstractNumId w:val="35"/>
  </w:num>
  <w:num w:numId="9">
    <w:abstractNumId w:val="20"/>
  </w:num>
  <w:num w:numId="10">
    <w:abstractNumId w:val="41"/>
  </w:num>
  <w:num w:numId="11">
    <w:abstractNumId w:val="1"/>
  </w:num>
  <w:num w:numId="12">
    <w:abstractNumId w:val="19"/>
  </w:num>
  <w:num w:numId="13">
    <w:abstractNumId w:val="27"/>
  </w:num>
  <w:num w:numId="14">
    <w:abstractNumId w:val="48"/>
  </w:num>
  <w:num w:numId="15">
    <w:abstractNumId w:val="32"/>
  </w:num>
  <w:num w:numId="16">
    <w:abstractNumId w:val="39"/>
  </w:num>
  <w:num w:numId="17">
    <w:abstractNumId w:val="12"/>
  </w:num>
  <w:num w:numId="18">
    <w:abstractNumId w:val="22"/>
  </w:num>
  <w:num w:numId="19">
    <w:abstractNumId w:val="33"/>
  </w:num>
  <w:num w:numId="20">
    <w:abstractNumId w:val="44"/>
  </w:num>
  <w:num w:numId="21">
    <w:abstractNumId w:val="21"/>
  </w:num>
  <w:num w:numId="22">
    <w:abstractNumId w:val="37"/>
  </w:num>
  <w:num w:numId="23">
    <w:abstractNumId w:val="49"/>
  </w:num>
  <w:num w:numId="24">
    <w:abstractNumId w:val="36"/>
  </w:num>
  <w:num w:numId="25">
    <w:abstractNumId w:val="18"/>
  </w:num>
  <w:num w:numId="26">
    <w:abstractNumId w:val="15"/>
  </w:num>
  <w:num w:numId="27">
    <w:abstractNumId w:val="47"/>
  </w:num>
  <w:num w:numId="28">
    <w:abstractNumId w:val="10"/>
  </w:num>
  <w:num w:numId="29">
    <w:abstractNumId w:val="2"/>
  </w:num>
  <w:num w:numId="30">
    <w:abstractNumId w:val="13"/>
  </w:num>
  <w:num w:numId="31">
    <w:abstractNumId w:val="0"/>
  </w:num>
  <w:num w:numId="32">
    <w:abstractNumId w:val="24"/>
  </w:num>
  <w:num w:numId="33">
    <w:abstractNumId w:val="6"/>
  </w:num>
  <w:num w:numId="34">
    <w:abstractNumId w:val="5"/>
  </w:num>
  <w:num w:numId="35">
    <w:abstractNumId w:val="46"/>
  </w:num>
  <w:num w:numId="36">
    <w:abstractNumId w:val="30"/>
  </w:num>
  <w:num w:numId="37">
    <w:abstractNumId w:val="38"/>
  </w:num>
  <w:num w:numId="38">
    <w:abstractNumId w:val="43"/>
  </w:num>
  <w:num w:numId="39">
    <w:abstractNumId w:val="25"/>
  </w:num>
  <w:num w:numId="40">
    <w:abstractNumId w:val="23"/>
  </w:num>
  <w:num w:numId="41">
    <w:abstractNumId w:val="42"/>
  </w:num>
  <w:num w:numId="42">
    <w:abstractNumId w:val="4"/>
  </w:num>
  <w:num w:numId="43">
    <w:abstractNumId w:val="16"/>
  </w:num>
  <w:num w:numId="44">
    <w:abstractNumId w:val="3"/>
  </w:num>
  <w:num w:numId="45">
    <w:abstractNumId w:val="26"/>
  </w:num>
  <w:num w:numId="46">
    <w:abstractNumId w:val="14"/>
  </w:num>
  <w:num w:numId="47">
    <w:abstractNumId w:val="40"/>
  </w:num>
  <w:num w:numId="48">
    <w:abstractNumId w:val="45"/>
  </w:num>
  <w:num w:numId="49">
    <w:abstractNumId w:val="7"/>
  </w:num>
  <w:num w:numId="5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557F"/>
    <w:rsid w:val="0003657F"/>
    <w:rsid w:val="00041D34"/>
    <w:rsid w:val="00042D2A"/>
    <w:rsid w:val="00055D59"/>
    <w:rsid w:val="00056762"/>
    <w:rsid w:val="0006084A"/>
    <w:rsid w:val="0006208C"/>
    <w:rsid w:val="0006416F"/>
    <w:rsid w:val="00065F15"/>
    <w:rsid w:val="00071F3D"/>
    <w:rsid w:val="0007369E"/>
    <w:rsid w:val="00076EB8"/>
    <w:rsid w:val="000867F5"/>
    <w:rsid w:val="00091CA7"/>
    <w:rsid w:val="0009294C"/>
    <w:rsid w:val="00093BE1"/>
    <w:rsid w:val="00096B1E"/>
    <w:rsid w:val="000A697A"/>
    <w:rsid w:val="000B0AC8"/>
    <w:rsid w:val="000B25B2"/>
    <w:rsid w:val="000C41B5"/>
    <w:rsid w:val="000C44BE"/>
    <w:rsid w:val="000C5473"/>
    <w:rsid w:val="000D610E"/>
    <w:rsid w:val="000E03AB"/>
    <w:rsid w:val="000E58ED"/>
    <w:rsid w:val="000E668C"/>
    <w:rsid w:val="000F11E2"/>
    <w:rsid w:val="000F7498"/>
    <w:rsid w:val="0010150B"/>
    <w:rsid w:val="001029DC"/>
    <w:rsid w:val="00102C3F"/>
    <w:rsid w:val="00103F85"/>
    <w:rsid w:val="00104680"/>
    <w:rsid w:val="00113F23"/>
    <w:rsid w:val="00137BDB"/>
    <w:rsid w:val="00140769"/>
    <w:rsid w:val="00142A3F"/>
    <w:rsid w:val="001432A3"/>
    <w:rsid w:val="00144A9C"/>
    <w:rsid w:val="00150473"/>
    <w:rsid w:val="0015387D"/>
    <w:rsid w:val="00160335"/>
    <w:rsid w:val="001733C2"/>
    <w:rsid w:val="001824D9"/>
    <w:rsid w:val="00187547"/>
    <w:rsid w:val="001912DE"/>
    <w:rsid w:val="0019308E"/>
    <w:rsid w:val="001A447E"/>
    <w:rsid w:val="001B1A88"/>
    <w:rsid w:val="001C256F"/>
    <w:rsid w:val="001C70AE"/>
    <w:rsid w:val="001D2EEE"/>
    <w:rsid w:val="001D58D8"/>
    <w:rsid w:val="001D745D"/>
    <w:rsid w:val="001E2972"/>
    <w:rsid w:val="001E622E"/>
    <w:rsid w:val="001F0404"/>
    <w:rsid w:val="001F0590"/>
    <w:rsid w:val="001F20E5"/>
    <w:rsid w:val="00200664"/>
    <w:rsid w:val="00211FC6"/>
    <w:rsid w:val="00231306"/>
    <w:rsid w:val="00246370"/>
    <w:rsid w:val="00247077"/>
    <w:rsid w:val="00254251"/>
    <w:rsid w:val="00254D45"/>
    <w:rsid w:val="00255A5D"/>
    <w:rsid w:val="002667A4"/>
    <w:rsid w:val="00270D0F"/>
    <w:rsid w:val="00273D4E"/>
    <w:rsid w:val="00277CAA"/>
    <w:rsid w:val="0028102F"/>
    <w:rsid w:val="002829CF"/>
    <w:rsid w:val="0029167B"/>
    <w:rsid w:val="002917B3"/>
    <w:rsid w:val="002A51D5"/>
    <w:rsid w:val="002C4272"/>
    <w:rsid w:val="002C4ADB"/>
    <w:rsid w:val="002D5E04"/>
    <w:rsid w:val="002D6E4B"/>
    <w:rsid w:val="002E1936"/>
    <w:rsid w:val="002E41EF"/>
    <w:rsid w:val="002F1D78"/>
    <w:rsid w:val="002F2BFF"/>
    <w:rsid w:val="002F3FBC"/>
    <w:rsid w:val="002F5B6A"/>
    <w:rsid w:val="002F7CDF"/>
    <w:rsid w:val="00311883"/>
    <w:rsid w:val="00311D22"/>
    <w:rsid w:val="00314066"/>
    <w:rsid w:val="00317FA1"/>
    <w:rsid w:val="003231B2"/>
    <w:rsid w:val="00332855"/>
    <w:rsid w:val="003328A1"/>
    <w:rsid w:val="003332F7"/>
    <w:rsid w:val="00336C4D"/>
    <w:rsid w:val="00337651"/>
    <w:rsid w:val="00341F9B"/>
    <w:rsid w:val="00342727"/>
    <w:rsid w:val="00342B18"/>
    <w:rsid w:val="003536E9"/>
    <w:rsid w:val="0035725D"/>
    <w:rsid w:val="00357581"/>
    <w:rsid w:val="003606B3"/>
    <w:rsid w:val="00367D54"/>
    <w:rsid w:val="00373838"/>
    <w:rsid w:val="0037534B"/>
    <w:rsid w:val="00376CF8"/>
    <w:rsid w:val="00377A73"/>
    <w:rsid w:val="00383956"/>
    <w:rsid w:val="00384D05"/>
    <w:rsid w:val="00386166"/>
    <w:rsid w:val="00386D35"/>
    <w:rsid w:val="003902B6"/>
    <w:rsid w:val="003902B9"/>
    <w:rsid w:val="00390803"/>
    <w:rsid w:val="0039272A"/>
    <w:rsid w:val="00397F1D"/>
    <w:rsid w:val="003A15A0"/>
    <w:rsid w:val="003A5845"/>
    <w:rsid w:val="003A5F0F"/>
    <w:rsid w:val="003B0730"/>
    <w:rsid w:val="003B180D"/>
    <w:rsid w:val="003B7105"/>
    <w:rsid w:val="003C2A02"/>
    <w:rsid w:val="003D3ABE"/>
    <w:rsid w:val="003D5BB6"/>
    <w:rsid w:val="003D5D8A"/>
    <w:rsid w:val="003D69F0"/>
    <w:rsid w:val="003D7143"/>
    <w:rsid w:val="003E0677"/>
    <w:rsid w:val="003E5815"/>
    <w:rsid w:val="003F63F9"/>
    <w:rsid w:val="0040100E"/>
    <w:rsid w:val="004019B7"/>
    <w:rsid w:val="00402CF5"/>
    <w:rsid w:val="00403BF0"/>
    <w:rsid w:val="00405BAE"/>
    <w:rsid w:val="00421453"/>
    <w:rsid w:val="00424799"/>
    <w:rsid w:val="00425601"/>
    <w:rsid w:val="00436B1C"/>
    <w:rsid w:val="0044105A"/>
    <w:rsid w:val="00442266"/>
    <w:rsid w:val="00452FAC"/>
    <w:rsid w:val="00453816"/>
    <w:rsid w:val="004642FB"/>
    <w:rsid w:val="00464CBE"/>
    <w:rsid w:val="00467218"/>
    <w:rsid w:val="00467FDA"/>
    <w:rsid w:val="0047245B"/>
    <w:rsid w:val="0047474C"/>
    <w:rsid w:val="004827D1"/>
    <w:rsid w:val="004870C3"/>
    <w:rsid w:val="00487B4C"/>
    <w:rsid w:val="004903AB"/>
    <w:rsid w:val="004913F4"/>
    <w:rsid w:val="004A15CD"/>
    <w:rsid w:val="004A706F"/>
    <w:rsid w:val="004B2781"/>
    <w:rsid w:val="004B2E8E"/>
    <w:rsid w:val="004B3E30"/>
    <w:rsid w:val="004B4147"/>
    <w:rsid w:val="004B5118"/>
    <w:rsid w:val="004B6441"/>
    <w:rsid w:val="004C35A3"/>
    <w:rsid w:val="004C685A"/>
    <w:rsid w:val="004D513E"/>
    <w:rsid w:val="004E4565"/>
    <w:rsid w:val="004F0122"/>
    <w:rsid w:val="004F38E5"/>
    <w:rsid w:val="004F4484"/>
    <w:rsid w:val="005061CA"/>
    <w:rsid w:val="00513BF1"/>
    <w:rsid w:val="00514FCD"/>
    <w:rsid w:val="00515089"/>
    <w:rsid w:val="00515F9E"/>
    <w:rsid w:val="00521F45"/>
    <w:rsid w:val="0052609C"/>
    <w:rsid w:val="005263FB"/>
    <w:rsid w:val="00532F84"/>
    <w:rsid w:val="005378A2"/>
    <w:rsid w:val="00540CCF"/>
    <w:rsid w:val="005445A6"/>
    <w:rsid w:val="00554B62"/>
    <w:rsid w:val="00554D66"/>
    <w:rsid w:val="0055764A"/>
    <w:rsid w:val="005660E9"/>
    <w:rsid w:val="005718C3"/>
    <w:rsid w:val="00573056"/>
    <w:rsid w:val="00581F18"/>
    <w:rsid w:val="00586571"/>
    <w:rsid w:val="0058733A"/>
    <w:rsid w:val="005926DA"/>
    <w:rsid w:val="00595A34"/>
    <w:rsid w:val="005A0F11"/>
    <w:rsid w:val="005A4D68"/>
    <w:rsid w:val="005A5810"/>
    <w:rsid w:val="005B0103"/>
    <w:rsid w:val="005C07B5"/>
    <w:rsid w:val="005C1BE4"/>
    <w:rsid w:val="005C2382"/>
    <w:rsid w:val="005D1DDD"/>
    <w:rsid w:val="005D2525"/>
    <w:rsid w:val="005E075F"/>
    <w:rsid w:val="005E3784"/>
    <w:rsid w:val="005E4301"/>
    <w:rsid w:val="005E6606"/>
    <w:rsid w:val="005E74DC"/>
    <w:rsid w:val="005F1993"/>
    <w:rsid w:val="005F2269"/>
    <w:rsid w:val="005F4D3F"/>
    <w:rsid w:val="005F6038"/>
    <w:rsid w:val="00600FC4"/>
    <w:rsid w:val="00601EFB"/>
    <w:rsid w:val="006034D7"/>
    <w:rsid w:val="00605355"/>
    <w:rsid w:val="006102F4"/>
    <w:rsid w:val="006149F2"/>
    <w:rsid w:val="006158BC"/>
    <w:rsid w:val="00616FD0"/>
    <w:rsid w:val="00621409"/>
    <w:rsid w:val="00633D0E"/>
    <w:rsid w:val="00635D6D"/>
    <w:rsid w:val="006466D7"/>
    <w:rsid w:val="006469E5"/>
    <w:rsid w:val="006511EC"/>
    <w:rsid w:val="006526C1"/>
    <w:rsid w:val="006577E9"/>
    <w:rsid w:val="006717AA"/>
    <w:rsid w:val="00671B37"/>
    <w:rsid w:val="00675439"/>
    <w:rsid w:val="0067748A"/>
    <w:rsid w:val="00683EE3"/>
    <w:rsid w:val="00685C8D"/>
    <w:rsid w:val="00686679"/>
    <w:rsid w:val="00686AFD"/>
    <w:rsid w:val="006924DC"/>
    <w:rsid w:val="006968FE"/>
    <w:rsid w:val="00697F2E"/>
    <w:rsid w:val="006A61F3"/>
    <w:rsid w:val="006A6D45"/>
    <w:rsid w:val="006B1545"/>
    <w:rsid w:val="006B23FC"/>
    <w:rsid w:val="006B28BC"/>
    <w:rsid w:val="006B35C9"/>
    <w:rsid w:val="006C3CD5"/>
    <w:rsid w:val="006C3EE1"/>
    <w:rsid w:val="006C6E71"/>
    <w:rsid w:val="006C7B72"/>
    <w:rsid w:val="006C7EC1"/>
    <w:rsid w:val="006D483B"/>
    <w:rsid w:val="006D5631"/>
    <w:rsid w:val="006E1247"/>
    <w:rsid w:val="006E36C8"/>
    <w:rsid w:val="006E42C0"/>
    <w:rsid w:val="00701EA2"/>
    <w:rsid w:val="00713909"/>
    <w:rsid w:val="00716B53"/>
    <w:rsid w:val="00716FC7"/>
    <w:rsid w:val="00720B1D"/>
    <w:rsid w:val="007336B7"/>
    <w:rsid w:val="00736A9B"/>
    <w:rsid w:val="007508F7"/>
    <w:rsid w:val="00761988"/>
    <w:rsid w:val="00764D79"/>
    <w:rsid w:val="007709F7"/>
    <w:rsid w:val="00776816"/>
    <w:rsid w:val="00776D8B"/>
    <w:rsid w:val="00780B7F"/>
    <w:rsid w:val="00781D99"/>
    <w:rsid w:val="007821CE"/>
    <w:rsid w:val="00786A5D"/>
    <w:rsid w:val="00787868"/>
    <w:rsid w:val="007908B7"/>
    <w:rsid w:val="007A5C28"/>
    <w:rsid w:val="007A5F8B"/>
    <w:rsid w:val="007B1E18"/>
    <w:rsid w:val="007B4885"/>
    <w:rsid w:val="007C0C17"/>
    <w:rsid w:val="007C3D13"/>
    <w:rsid w:val="007C4419"/>
    <w:rsid w:val="007C54B2"/>
    <w:rsid w:val="007C73FD"/>
    <w:rsid w:val="007C77AA"/>
    <w:rsid w:val="007C7C7C"/>
    <w:rsid w:val="007D0E49"/>
    <w:rsid w:val="007D3E4D"/>
    <w:rsid w:val="007E18DE"/>
    <w:rsid w:val="007E193A"/>
    <w:rsid w:val="007E2565"/>
    <w:rsid w:val="007E377B"/>
    <w:rsid w:val="007E53F1"/>
    <w:rsid w:val="007F34B4"/>
    <w:rsid w:val="008020F4"/>
    <w:rsid w:val="0080349F"/>
    <w:rsid w:val="008052A3"/>
    <w:rsid w:val="008134B9"/>
    <w:rsid w:val="008240D4"/>
    <w:rsid w:val="0083063B"/>
    <w:rsid w:val="008322DC"/>
    <w:rsid w:val="008351DA"/>
    <w:rsid w:val="008362F4"/>
    <w:rsid w:val="00840509"/>
    <w:rsid w:val="00841100"/>
    <w:rsid w:val="008477BE"/>
    <w:rsid w:val="008557A4"/>
    <w:rsid w:val="00860999"/>
    <w:rsid w:val="008615C4"/>
    <w:rsid w:val="0086304F"/>
    <w:rsid w:val="00863B94"/>
    <w:rsid w:val="00866B99"/>
    <w:rsid w:val="00871003"/>
    <w:rsid w:val="0087279A"/>
    <w:rsid w:val="00882FA5"/>
    <w:rsid w:val="008877DD"/>
    <w:rsid w:val="00897617"/>
    <w:rsid w:val="00897B4F"/>
    <w:rsid w:val="008A5DF8"/>
    <w:rsid w:val="008A65DA"/>
    <w:rsid w:val="008B2FD9"/>
    <w:rsid w:val="008C712B"/>
    <w:rsid w:val="008C7AE1"/>
    <w:rsid w:val="008D0598"/>
    <w:rsid w:val="008D1EE7"/>
    <w:rsid w:val="008D3E7A"/>
    <w:rsid w:val="008D5BAD"/>
    <w:rsid w:val="008E1A4F"/>
    <w:rsid w:val="008E2AFE"/>
    <w:rsid w:val="008E2D74"/>
    <w:rsid w:val="008E4117"/>
    <w:rsid w:val="008F0F5D"/>
    <w:rsid w:val="008F6B65"/>
    <w:rsid w:val="008F75A9"/>
    <w:rsid w:val="00910D12"/>
    <w:rsid w:val="00913B1C"/>
    <w:rsid w:val="00913DBC"/>
    <w:rsid w:val="00922438"/>
    <w:rsid w:val="009312C4"/>
    <w:rsid w:val="00935D00"/>
    <w:rsid w:val="00947E39"/>
    <w:rsid w:val="00951D03"/>
    <w:rsid w:val="009536DD"/>
    <w:rsid w:val="00953E85"/>
    <w:rsid w:val="00961B1F"/>
    <w:rsid w:val="0096627B"/>
    <w:rsid w:val="00971D2A"/>
    <w:rsid w:val="00973E25"/>
    <w:rsid w:val="0099053D"/>
    <w:rsid w:val="009934B1"/>
    <w:rsid w:val="009A3A08"/>
    <w:rsid w:val="009A4AD6"/>
    <w:rsid w:val="009B3D0E"/>
    <w:rsid w:val="009B5ABE"/>
    <w:rsid w:val="009B7E1A"/>
    <w:rsid w:val="009C3F26"/>
    <w:rsid w:val="009C5E1D"/>
    <w:rsid w:val="009D2536"/>
    <w:rsid w:val="009D2AD9"/>
    <w:rsid w:val="009D30FA"/>
    <w:rsid w:val="009D6B8F"/>
    <w:rsid w:val="009D73B3"/>
    <w:rsid w:val="009E2006"/>
    <w:rsid w:val="009E21BA"/>
    <w:rsid w:val="009E43E3"/>
    <w:rsid w:val="009F0EFE"/>
    <w:rsid w:val="009F1035"/>
    <w:rsid w:val="009F112E"/>
    <w:rsid w:val="009F5F11"/>
    <w:rsid w:val="009F6DCD"/>
    <w:rsid w:val="00A00BD4"/>
    <w:rsid w:val="00A02849"/>
    <w:rsid w:val="00A04FA6"/>
    <w:rsid w:val="00A10143"/>
    <w:rsid w:val="00A139C1"/>
    <w:rsid w:val="00A14BE0"/>
    <w:rsid w:val="00A201F8"/>
    <w:rsid w:val="00A21DC4"/>
    <w:rsid w:val="00A2529F"/>
    <w:rsid w:val="00A35CFA"/>
    <w:rsid w:val="00A41F13"/>
    <w:rsid w:val="00A45E46"/>
    <w:rsid w:val="00A50245"/>
    <w:rsid w:val="00A51D54"/>
    <w:rsid w:val="00A54AB4"/>
    <w:rsid w:val="00A563B1"/>
    <w:rsid w:val="00A610A7"/>
    <w:rsid w:val="00A61A12"/>
    <w:rsid w:val="00A62B5A"/>
    <w:rsid w:val="00A65FD1"/>
    <w:rsid w:val="00A671B6"/>
    <w:rsid w:val="00A70FFB"/>
    <w:rsid w:val="00A805AA"/>
    <w:rsid w:val="00A87DF9"/>
    <w:rsid w:val="00A94DC8"/>
    <w:rsid w:val="00A9585D"/>
    <w:rsid w:val="00AA276F"/>
    <w:rsid w:val="00AA31D5"/>
    <w:rsid w:val="00AA3E90"/>
    <w:rsid w:val="00AA6A57"/>
    <w:rsid w:val="00AB0F84"/>
    <w:rsid w:val="00AB1C85"/>
    <w:rsid w:val="00AB2DCF"/>
    <w:rsid w:val="00AB4EFF"/>
    <w:rsid w:val="00AC60D1"/>
    <w:rsid w:val="00AD14A0"/>
    <w:rsid w:val="00AD5E20"/>
    <w:rsid w:val="00AE1425"/>
    <w:rsid w:val="00AE2B47"/>
    <w:rsid w:val="00AE33B8"/>
    <w:rsid w:val="00AF0B9D"/>
    <w:rsid w:val="00AF1693"/>
    <w:rsid w:val="00B065B2"/>
    <w:rsid w:val="00B11434"/>
    <w:rsid w:val="00B14799"/>
    <w:rsid w:val="00B15106"/>
    <w:rsid w:val="00B1529E"/>
    <w:rsid w:val="00B273B5"/>
    <w:rsid w:val="00B3020C"/>
    <w:rsid w:val="00B34553"/>
    <w:rsid w:val="00B347E4"/>
    <w:rsid w:val="00B430BA"/>
    <w:rsid w:val="00B51719"/>
    <w:rsid w:val="00B554D2"/>
    <w:rsid w:val="00B55BBA"/>
    <w:rsid w:val="00B57B5E"/>
    <w:rsid w:val="00B601B3"/>
    <w:rsid w:val="00B6090B"/>
    <w:rsid w:val="00B66B60"/>
    <w:rsid w:val="00B7793D"/>
    <w:rsid w:val="00B77E7B"/>
    <w:rsid w:val="00B803FC"/>
    <w:rsid w:val="00B8463D"/>
    <w:rsid w:val="00B85CE3"/>
    <w:rsid w:val="00B866B5"/>
    <w:rsid w:val="00B90848"/>
    <w:rsid w:val="00B9448D"/>
    <w:rsid w:val="00B96BF7"/>
    <w:rsid w:val="00BA46B1"/>
    <w:rsid w:val="00BA6FBA"/>
    <w:rsid w:val="00BB01DD"/>
    <w:rsid w:val="00BB1903"/>
    <w:rsid w:val="00BC1E4F"/>
    <w:rsid w:val="00BC2395"/>
    <w:rsid w:val="00BC38D3"/>
    <w:rsid w:val="00BC5BB5"/>
    <w:rsid w:val="00BD2EC1"/>
    <w:rsid w:val="00BE0984"/>
    <w:rsid w:val="00BE571F"/>
    <w:rsid w:val="00BE5FA7"/>
    <w:rsid w:val="00BF03CA"/>
    <w:rsid w:val="00BF30CF"/>
    <w:rsid w:val="00BF49EF"/>
    <w:rsid w:val="00C14297"/>
    <w:rsid w:val="00C24151"/>
    <w:rsid w:val="00C24CC8"/>
    <w:rsid w:val="00C27347"/>
    <w:rsid w:val="00C37884"/>
    <w:rsid w:val="00C60F20"/>
    <w:rsid w:val="00C632ED"/>
    <w:rsid w:val="00C709E1"/>
    <w:rsid w:val="00C70F5A"/>
    <w:rsid w:val="00C73DA8"/>
    <w:rsid w:val="00C75185"/>
    <w:rsid w:val="00C85F09"/>
    <w:rsid w:val="00C87D79"/>
    <w:rsid w:val="00C93821"/>
    <w:rsid w:val="00C95582"/>
    <w:rsid w:val="00CA00AC"/>
    <w:rsid w:val="00CB2087"/>
    <w:rsid w:val="00CB233F"/>
    <w:rsid w:val="00CB61D4"/>
    <w:rsid w:val="00CB7F8B"/>
    <w:rsid w:val="00CC212E"/>
    <w:rsid w:val="00CD3AB1"/>
    <w:rsid w:val="00CD6579"/>
    <w:rsid w:val="00CE15AE"/>
    <w:rsid w:val="00CE2D96"/>
    <w:rsid w:val="00CF0C96"/>
    <w:rsid w:val="00CF1EE5"/>
    <w:rsid w:val="00CF3E5B"/>
    <w:rsid w:val="00CF6F4C"/>
    <w:rsid w:val="00D00064"/>
    <w:rsid w:val="00D0013D"/>
    <w:rsid w:val="00D05EEF"/>
    <w:rsid w:val="00D12D97"/>
    <w:rsid w:val="00D12E64"/>
    <w:rsid w:val="00D14F9F"/>
    <w:rsid w:val="00D209A7"/>
    <w:rsid w:val="00D20E25"/>
    <w:rsid w:val="00D2204C"/>
    <w:rsid w:val="00D31672"/>
    <w:rsid w:val="00D43AC5"/>
    <w:rsid w:val="00D44E36"/>
    <w:rsid w:val="00D51832"/>
    <w:rsid w:val="00D636DB"/>
    <w:rsid w:val="00D76D80"/>
    <w:rsid w:val="00D84DDC"/>
    <w:rsid w:val="00D87ED1"/>
    <w:rsid w:val="00D91870"/>
    <w:rsid w:val="00D94763"/>
    <w:rsid w:val="00D95C74"/>
    <w:rsid w:val="00D967F0"/>
    <w:rsid w:val="00D975E7"/>
    <w:rsid w:val="00DA1860"/>
    <w:rsid w:val="00DA5084"/>
    <w:rsid w:val="00DA5878"/>
    <w:rsid w:val="00DA6314"/>
    <w:rsid w:val="00DB0D3A"/>
    <w:rsid w:val="00DB1126"/>
    <w:rsid w:val="00DB46C3"/>
    <w:rsid w:val="00DB553D"/>
    <w:rsid w:val="00DC2B2D"/>
    <w:rsid w:val="00DC47B1"/>
    <w:rsid w:val="00DC715C"/>
    <w:rsid w:val="00DD1020"/>
    <w:rsid w:val="00DD1F73"/>
    <w:rsid w:val="00DE2E6F"/>
    <w:rsid w:val="00DE428B"/>
    <w:rsid w:val="00DF03E2"/>
    <w:rsid w:val="00DF24C0"/>
    <w:rsid w:val="00DF3964"/>
    <w:rsid w:val="00DF5014"/>
    <w:rsid w:val="00DF5D23"/>
    <w:rsid w:val="00E0273B"/>
    <w:rsid w:val="00E03088"/>
    <w:rsid w:val="00E10762"/>
    <w:rsid w:val="00E13E6B"/>
    <w:rsid w:val="00E17B5E"/>
    <w:rsid w:val="00E269D4"/>
    <w:rsid w:val="00E37B09"/>
    <w:rsid w:val="00E44F0B"/>
    <w:rsid w:val="00E46F87"/>
    <w:rsid w:val="00E5056F"/>
    <w:rsid w:val="00E52CD0"/>
    <w:rsid w:val="00E53468"/>
    <w:rsid w:val="00E53CBA"/>
    <w:rsid w:val="00E76581"/>
    <w:rsid w:val="00E773C4"/>
    <w:rsid w:val="00E85FF7"/>
    <w:rsid w:val="00EA7801"/>
    <w:rsid w:val="00EB2B80"/>
    <w:rsid w:val="00EB6293"/>
    <w:rsid w:val="00EB76AE"/>
    <w:rsid w:val="00ED0E7A"/>
    <w:rsid w:val="00ED14BC"/>
    <w:rsid w:val="00EF1C04"/>
    <w:rsid w:val="00EF7919"/>
    <w:rsid w:val="00F05E10"/>
    <w:rsid w:val="00F06079"/>
    <w:rsid w:val="00F2230C"/>
    <w:rsid w:val="00F33F3C"/>
    <w:rsid w:val="00F4702D"/>
    <w:rsid w:val="00F50A82"/>
    <w:rsid w:val="00F51BB5"/>
    <w:rsid w:val="00F51DF1"/>
    <w:rsid w:val="00F5359D"/>
    <w:rsid w:val="00F535E7"/>
    <w:rsid w:val="00F550FC"/>
    <w:rsid w:val="00F55CEF"/>
    <w:rsid w:val="00F562CC"/>
    <w:rsid w:val="00F617E4"/>
    <w:rsid w:val="00F75275"/>
    <w:rsid w:val="00F80D9C"/>
    <w:rsid w:val="00F83367"/>
    <w:rsid w:val="00F877B8"/>
    <w:rsid w:val="00F91499"/>
    <w:rsid w:val="00F949F2"/>
    <w:rsid w:val="00F96597"/>
    <w:rsid w:val="00FA0739"/>
    <w:rsid w:val="00FA1F01"/>
    <w:rsid w:val="00FA2F25"/>
    <w:rsid w:val="00FA4C44"/>
    <w:rsid w:val="00FB0360"/>
    <w:rsid w:val="00FB1408"/>
    <w:rsid w:val="00FB6812"/>
    <w:rsid w:val="00FC5B79"/>
    <w:rsid w:val="00FD0F26"/>
    <w:rsid w:val="00FD20BF"/>
    <w:rsid w:val="00FD370E"/>
    <w:rsid w:val="00FD5035"/>
    <w:rsid w:val="00FD6EB3"/>
    <w:rsid w:val="00FE5F9B"/>
    <w:rsid w:val="00FF5A4F"/>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paragraph" w:styleId="ListParagraph">
    <w:name w:val="List Paragraph"/>
    <w:basedOn w:val="Normal"/>
    <w:uiPriority w:val="99"/>
    <w:qFormat/>
    <w:rsid w:val="0028102F"/>
    <w:pPr>
      <w:ind w:left="720"/>
      <w:contextualSpacing/>
    </w:pPr>
  </w:style>
  <w:style w:type="paragraph" w:styleId="Revision">
    <w:name w:val="Revision"/>
    <w:hidden/>
    <w:uiPriority w:val="99"/>
    <w:unhideWhenUsed/>
    <w:rsid w:val="00CB61D4"/>
    <w:rPr>
      <w:rFonts w:ascii="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465808347">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7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0-4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D0AD2FE8-FE36-4B62-A500-B4008A703BB5}">
  <ds:schemaRefs>
    <ds:schemaRef ds:uri="http://schemas.openxmlformats.org/officeDocument/2006/bibliography"/>
  </ds:schemaRefs>
</ds:datastoreItem>
</file>

<file path=customXml/itemProps3.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9798</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2018-01-08T16:59:00Z</cp:lastPrinted>
  <dcterms:created xsi:type="dcterms:W3CDTF">2020-06-18T20:54:00Z</dcterms:created>
  <dcterms:modified xsi:type="dcterms:W3CDTF">2020-06-18T20:55:00Z</dcterms:modified>
</cp:coreProperties>
</file>