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376C" w14:textId="08B11C3C" w:rsidR="006C7EC1" w:rsidRPr="00605355" w:rsidRDefault="00D51343" w:rsidP="006C7EC1">
      <w:pPr>
        <w:jc w:val="center"/>
        <w:rPr>
          <w:b/>
          <w:szCs w:val="20"/>
        </w:rPr>
      </w:pPr>
      <w:r>
        <w:rPr>
          <w:noProof/>
        </w:rPr>
        <mc:AlternateContent>
          <mc:Choice Requires="wps">
            <w:drawing>
              <wp:anchor distT="0" distB="0" distL="114300" distR="114300" simplePos="0" relativeHeight="251657216" behindDoc="0" locked="0" layoutInCell="1" allowOverlap="1" wp14:anchorId="002F5604" wp14:editId="0C6E90AE">
                <wp:simplePos x="0" y="0"/>
                <wp:positionH relativeFrom="column">
                  <wp:posOffset>2646680</wp:posOffset>
                </wp:positionH>
                <wp:positionV relativeFrom="paragraph">
                  <wp:posOffset>-694055</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54.65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9264" behindDoc="1" locked="0" layoutInCell="1" allowOverlap="1" wp14:anchorId="3303793F" wp14:editId="7CDE45EC">
            <wp:simplePos x="0" y="0"/>
            <wp:positionH relativeFrom="column">
              <wp:posOffset>-670560</wp:posOffset>
            </wp:positionH>
            <wp:positionV relativeFrom="paragraph">
              <wp:posOffset>-908685</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74C1DE2D" w:rsidR="00470E94" w:rsidRDefault="0036655C" w:rsidP="001F50F8">
      <w:pPr>
        <w:pStyle w:val="Heading2"/>
        <w:ind w:left="0"/>
        <w:rPr>
          <w:rFonts w:ascii="Arial" w:hAnsi="Arial" w:cs="Arial"/>
          <w:sz w:val="36"/>
          <w:szCs w:val="36"/>
          <w:lang w:val="en-US"/>
        </w:rPr>
      </w:pPr>
      <w:r>
        <w:rPr>
          <w:rFonts w:ascii="Arial" w:hAnsi="Arial" w:cs="Arial"/>
          <w:sz w:val="36"/>
          <w:szCs w:val="36"/>
          <w:lang w:val="en-US"/>
        </w:rPr>
        <w:t>COBRA – Merger &amp; Acquisition</w:t>
      </w:r>
      <w:r w:rsidR="00CE1763">
        <w:rPr>
          <w:rFonts w:ascii="Arial" w:hAnsi="Arial" w:cs="Arial"/>
          <w:sz w:val="36"/>
          <w:szCs w:val="36"/>
          <w:lang w:val="en-US"/>
        </w:rPr>
        <w:t xml:space="preserve"> (M&amp;A)</w:t>
      </w:r>
      <w:r>
        <w:rPr>
          <w:rFonts w:ascii="Arial" w:hAnsi="Arial" w:cs="Arial"/>
          <w:sz w:val="36"/>
          <w:szCs w:val="36"/>
          <w:lang w:val="en-US"/>
        </w:rPr>
        <w:t xml:space="preserve"> Considerations</w:t>
      </w:r>
    </w:p>
    <w:p w14:paraId="12BFD025" w14:textId="31F26456" w:rsidR="00651B68" w:rsidRDefault="00651B68" w:rsidP="00651B68">
      <w:pPr>
        <w:ind w:left="0"/>
        <w:rPr>
          <w:lang w:eastAsia="x-none" w:bidi="ar-SA"/>
        </w:rPr>
      </w:pPr>
    </w:p>
    <w:p w14:paraId="3AFFFDC0" w14:textId="1BB2CB91" w:rsidR="00A90172" w:rsidRPr="00A90172" w:rsidRDefault="00604972" w:rsidP="00651B68">
      <w:pPr>
        <w:ind w:left="0"/>
        <w:rPr>
          <w:b/>
          <w:bCs/>
          <w:lang w:eastAsia="x-none" w:bidi="ar-SA"/>
        </w:rPr>
      </w:pPr>
      <w:r>
        <w:rPr>
          <w:b/>
          <w:bCs/>
          <w:lang w:eastAsia="x-none" w:bidi="ar-SA"/>
        </w:rPr>
        <w:t xml:space="preserve">April </w:t>
      </w:r>
      <w:r w:rsidR="00A90172">
        <w:rPr>
          <w:b/>
          <w:bCs/>
          <w:lang w:eastAsia="x-none" w:bidi="ar-SA"/>
        </w:rPr>
        <w:t>2020</w:t>
      </w:r>
    </w:p>
    <w:p w14:paraId="3C2C0956" w14:textId="18060141" w:rsidR="00153AF2" w:rsidRDefault="00153AF2" w:rsidP="007D1706">
      <w:pPr>
        <w:ind w:left="0"/>
        <w:rPr>
          <w:rFonts w:cs="Arial"/>
          <w:szCs w:val="20"/>
        </w:rPr>
      </w:pPr>
    </w:p>
    <w:p w14:paraId="57F9DBAE" w14:textId="37DCBD18" w:rsidR="0005496B" w:rsidRDefault="00790BA4" w:rsidP="00CB3105">
      <w:pPr>
        <w:shd w:val="clear" w:color="auto" w:fill="FFFFFF"/>
        <w:ind w:left="0"/>
        <w:textAlignment w:val="baseline"/>
        <w:rPr>
          <w:rFonts w:eastAsia="Times New Roman" w:cs="Arial"/>
          <w:color w:val="201F1E"/>
          <w:szCs w:val="20"/>
          <w:lang w:bidi="ar-SA"/>
        </w:rPr>
      </w:pPr>
      <w:r>
        <w:rPr>
          <w:rFonts w:eastAsia="Times New Roman" w:cs="Arial"/>
          <w:color w:val="201F1E"/>
          <w:szCs w:val="20"/>
          <w:lang w:bidi="ar-SA"/>
        </w:rPr>
        <w:t xml:space="preserve">For employers </w:t>
      </w:r>
      <w:r w:rsidR="00D6400E">
        <w:rPr>
          <w:rFonts w:eastAsia="Times New Roman" w:cs="Arial"/>
          <w:color w:val="201F1E"/>
          <w:szCs w:val="20"/>
          <w:lang w:bidi="ar-SA"/>
        </w:rPr>
        <w:t>involved in</w:t>
      </w:r>
      <w:r w:rsidR="00CE1763">
        <w:rPr>
          <w:rFonts w:eastAsia="Times New Roman" w:cs="Arial"/>
          <w:color w:val="201F1E"/>
          <w:szCs w:val="20"/>
          <w:lang w:bidi="ar-SA"/>
        </w:rPr>
        <w:t xml:space="preserve"> mergers and acquisitions (M&amp;As)</w:t>
      </w:r>
      <w:r>
        <w:rPr>
          <w:rFonts w:eastAsia="Times New Roman" w:cs="Arial"/>
          <w:color w:val="201F1E"/>
          <w:szCs w:val="20"/>
          <w:lang w:bidi="ar-SA"/>
        </w:rPr>
        <w:t>, b</w:t>
      </w:r>
      <w:r w:rsidR="006A6B46">
        <w:rPr>
          <w:rFonts w:eastAsia="Times New Roman" w:cs="Arial"/>
          <w:color w:val="201F1E"/>
          <w:szCs w:val="20"/>
          <w:lang w:bidi="ar-SA"/>
        </w:rPr>
        <w:t>enefits are just one of the many</w:t>
      </w:r>
      <w:r w:rsidR="00C72D4B">
        <w:rPr>
          <w:rFonts w:eastAsia="Times New Roman" w:cs="Arial"/>
          <w:color w:val="201F1E"/>
          <w:szCs w:val="20"/>
          <w:lang w:bidi="ar-SA"/>
        </w:rPr>
        <w:t xml:space="preserve"> </w:t>
      </w:r>
      <w:r w:rsidR="00853404">
        <w:rPr>
          <w:rFonts w:eastAsia="Times New Roman" w:cs="Arial"/>
          <w:color w:val="201F1E"/>
          <w:szCs w:val="20"/>
          <w:lang w:bidi="ar-SA"/>
        </w:rPr>
        <w:t>factors</w:t>
      </w:r>
      <w:r w:rsidR="00C72D4B">
        <w:rPr>
          <w:rFonts w:eastAsia="Times New Roman" w:cs="Arial"/>
          <w:color w:val="201F1E"/>
          <w:szCs w:val="20"/>
          <w:lang w:bidi="ar-SA"/>
        </w:rPr>
        <w:t xml:space="preserve"> employers </w:t>
      </w:r>
      <w:r w:rsidR="006A6B46">
        <w:rPr>
          <w:rFonts w:eastAsia="Times New Roman" w:cs="Arial"/>
          <w:color w:val="201F1E"/>
          <w:szCs w:val="20"/>
          <w:lang w:bidi="ar-SA"/>
        </w:rPr>
        <w:t>must</w:t>
      </w:r>
      <w:r w:rsidR="00C72D4B">
        <w:rPr>
          <w:rFonts w:eastAsia="Times New Roman" w:cs="Arial"/>
          <w:color w:val="201F1E"/>
          <w:szCs w:val="20"/>
          <w:lang w:bidi="ar-SA"/>
        </w:rPr>
        <w:t xml:space="preserve"> consider</w:t>
      </w:r>
      <w:r w:rsidR="006B4574">
        <w:rPr>
          <w:rFonts w:eastAsia="Times New Roman" w:cs="Arial"/>
          <w:color w:val="201F1E"/>
          <w:szCs w:val="20"/>
          <w:lang w:bidi="ar-SA"/>
        </w:rPr>
        <w:t xml:space="preserve"> and handle</w:t>
      </w:r>
      <w:r w:rsidR="006A6B46">
        <w:rPr>
          <w:rFonts w:eastAsia="Times New Roman" w:cs="Arial"/>
          <w:color w:val="201F1E"/>
          <w:szCs w:val="20"/>
          <w:lang w:bidi="ar-SA"/>
        </w:rPr>
        <w:t xml:space="preserve">. </w:t>
      </w:r>
      <w:r w:rsidR="00853404">
        <w:rPr>
          <w:rFonts w:eastAsia="Times New Roman" w:cs="Arial"/>
          <w:color w:val="201F1E"/>
          <w:szCs w:val="20"/>
          <w:lang w:bidi="ar-SA"/>
        </w:rPr>
        <w:t>M</w:t>
      </w:r>
      <w:r w:rsidR="00B85940">
        <w:rPr>
          <w:rFonts w:eastAsia="Times New Roman" w:cs="Arial"/>
          <w:color w:val="201F1E"/>
          <w:szCs w:val="20"/>
          <w:lang w:bidi="ar-SA"/>
        </w:rPr>
        <w:t>any</w:t>
      </w:r>
      <w:r w:rsidR="007324EC">
        <w:rPr>
          <w:rFonts w:eastAsia="Times New Roman" w:cs="Arial"/>
          <w:color w:val="201F1E"/>
          <w:szCs w:val="20"/>
          <w:lang w:bidi="ar-SA"/>
        </w:rPr>
        <w:t xml:space="preserve"> employers going through </w:t>
      </w:r>
      <w:r w:rsidR="00184864">
        <w:rPr>
          <w:rFonts w:eastAsia="Times New Roman" w:cs="Arial"/>
          <w:color w:val="201F1E"/>
          <w:szCs w:val="20"/>
          <w:lang w:bidi="ar-SA"/>
        </w:rPr>
        <w:t xml:space="preserve">an M&amp;A transaction address </w:t>
      </w:r>
      <w:r w:rsidR="000B4775">
        <w:rPr>
          <w:rFonts w:eastAsia="Times New Roman" w:cs="Arial"/>
          <w:color w:val="201F1E"/>
          <w:szCs w:val="20"/>
          <w:lang w:bidi="ar-SA"/>
        </w:rPr>
        <w:t xml:space="preserve">benefits </w:t>
      </w:r>
      <w:r w:rsidR="00184864">
        <w:rPr>
          <w:rFonts w:eastAsia="Times New Roman" w:cs="Arial"/>
          <w:color w:val="201F1E"/>
          <w:szCs w:val="20"/>
          <w:lang w:bidi="ar-SA"/>
        </w:rPr>
        <w:t xml:space="preserve">later in the process than they should, </w:t>
      </w:r>
      <w:r w:rsidR="00853404">
        <w:rPr>
          <w:rFonts w:eastAsia="Times New Roman" w:cs="Arial"/>
          <w:color w:val="201F1E"/>
          <w:szCs w:val="20"/>
          <w:lang w:bidi="ar-SA"/>
        </w:rPr>
        <w:t xml:space="preserve">but </w:t>
      </w:r>
      <w:r w:rsidR="00184864">
        <w:rPr>
          <w:rFonts w:eastAsia="Times New Roman" w:cs="Arial"/>
          <w:color w:val="201F1E"/>
          <w:szCs w:val="20"/>
          <w:lang w:bidi="ar-SA"/>
        </w:rPr>
        <w:t>COBRA</w:t>
      </w:r>
      <w:r w:rsidR="001C3DB2">
        <w:rPr>
          <w:rFonts w:eastAsia="Times New Roman" w:cs="Arial"/>
          <w:color w:val="201F1E"/>
          <w:szCs w:val="20"/>
          <w:lang w:bidi="ar-SA"/>
        </w:rPr>
        <w:t xml:space="preserve"> is often not addressed at all</w:t>
      </w:r>
      <w:r w:rsidR="00B85940">
        <w:rPr>
          <w:rFonts w:eastAsia="Times New Roman" w:cs="Arial"/>
          <w:color w:val="201F1E"/>
          <w:szCs w:val="20"/>
          <w:lang w:bidi="ar-SA"/>
        </w:rPr>
        <w:t xml:space="preserve">; and failing to offer COBRA risks </w:t>
      </w:r>
      <w:r w:rsidR="00B72F6D">
        <w:rPr>
          <w:rFonts w:eastAsia="Times New Roman" w:cs="Arial"/>
          <w:color w:val="201F1E"/>
          <w:szCs w:val="20"/>
          <w:lang w:bidi="ar-SA"/>
        </w:rPr>
        <w:t>civil</w:t>
      </w:r>
      <w:r w:rsidR="00B85940">
        <w:rPr>
          <w:rFonts w:eastAsia="Times New Roman" w:cs="Arial"/>
          <w:color w:val="201F1E"/>
          <w:szCs w:val="20"/>
          <w:lang w:bidi="ar-SA"/>
        </w:rPr>
        <w:t xml:space="preserve"> penalties</w:t>
      </w:r>
      <w:r w:rsidR="003B52B1">
        <w:rPr>
          <w:rFonts w:eastAsia="Times New Roman" w:cs="Arial"/>
          <w:color w:val="201F1E"/>
          <w:szCs w:val="20"/>
          <w:lang w:bidi="ar-SA"/>
        </w:rPr>
        <w:t xml:space="preserve"> as well as </w:t>
      </w:r>
      <w:r w:rsidR="00D55E47">
        <w:rPr>
          <w:rFonts w:eastAsia="Times New Roman" w:cs="Arial"/>
          <w:color w:val="201F1E"/>
          <w:szCs w:val="20"/>
          <w:lang w:bidi="ar-SA"/>
        </w:rPr>
        <w:t>medical claims coverage costs for affected individuals.</w:t>
      </w:r>
      <w:r w:rsidR="00EC0DBF">
        <w:rPr>
          <w:rFonts w:eastAsia="Times New Roman" w:cs="Arial"/>
          <w:color w:val="201F1E"/>
          <w:szCs w:val="20"/>
          <w:lang w:bidi="ar-SA"/>
        </w:rPr>
        <w:t xml:space="preserve"> </w:t>
      </w:r>
      <w:r w:rsidR="00EC0DBF" w:rsidRPr="00CB3105">
        <w:rPr>
          <w:rFonts w:eastAsia="Times New Roman" w:cs="Arial"/>
          <w:color w:val="201F1E"/>
          <w:szCs w:val="20"/>
          <w:lang w:bidi="ar-SA"/>
        </w:rPr>
        <w:t>When a </w:t>
      </w:r>
      <w:r w:rsidR="00EC0DBF" w:rsidRPr="00CB3105">
        <w:rPr>
          <w:rFonts w:eastAsia="Times New Roman" w:cs="Arial"/>
          <w:color w:val="201F1E"/>
          <w:szCs w:val="20"/>
          <w:bdr w:val="none" w:sz="0" w:space="0" w:color="auto" w:frame="1"/>
          <w:lang w:bidi="ar-SA"/>
        </w:rPr>
        <w:t>merger</w:t>
      </w:r>
      <w:r w:rsidR="00EC0DBF" w:rsidRPr="00CB3105">
        <w:rPr>
          <w:rFonts w:eastAsia="Times New Roman" w:cs="Arial"/>
          <w:color w:val="201F1E"/>
          <w:szCs w:val="20"/>
          <w:lang w:bidi="ar-SA"/>
        </w:rPr>
        <w:t xml:space="preserve"> or </w:t>
      </w:r>
      <w:r w:rsidR="00853404">
        <w:rPr>
          <w:rFonts w:eastAsia="Times New Roman" w:cs="Arial"/>
          <w:color w:val="201F1E"/>
          <w:szCs w:val="20"/>
          <w:lang w:bidi="ar-SA"/>
        </w:rPr>
        <w:t xml:space="preserve">an </w:t>
      </w:r>
      <w:r w:rsidR="00EC0DBF" w:rsidRPr="00CB3105">
        <w:rPr>
          <w:rFonts w:eastAsia="Times New Roman" w:cs="Arial"/>
          <w:color w:val="201F1E"/>
          <w:szCs w:val="20"/>
          <w:lang w:bidi="ar-SA"/>
        </w:rPr>
        <w:t>acquisition</w:t>
      </w:r>
      <w:r w:rsidR="00853404">
        <w:rPr>
          <w:rFonts w:eastAsia="Times New Roman" w:cs="Arial"/>
          <w:color w:val="201F1E"/>
          <w:szCs w:val="20"/>
          <w:lang w:bidi="ar-SA"/>
        </w:rPr>
        <w:t xml:space="preserve"> takes place</w:t>
      </w:r>
      <w:r w:rsidR="00EC0DBF" w:rsidRPr="00CB3105">
        <w:rPr>
          <w:rFonts w:eastAsia="Times New Roman" w:cs="Arial"/>
          <w:color w:val="201F1E"/>
          <w:szCs w:val="20"/>
          <w:lang w:bidi="ar-SA"/>
        </w:rPr>
        <w:t>, generally the seller must offer </w:t>
      </w:r>
      <w:r w:rsidR="00EC0DBF" w:rsidRPr="00CB3105">
        <w:rPr>
          <w:rFonts w:eastAsia="Times New Roman" w:cs="Arial"/>
          <w:color w:val="201F1E"/>
          <w:szCs w:val="20"/>
          <w:bdr w:val="none" w:sz="0" w:space="0" w:color="auto" w:frame="1"/>
          <w:lang w:bidi="ar-SA"/>
        </w:rPr>
        <w:t>COBRA</w:t>
      </w:r>
      <w:r w:rsidR="00EC0DBF" w:rsidRPr="00CB3105">
        <w:rPr>
          <w:rFonts w:eastAsia="Times New Roman" w:cs="Arial"/>
          <w:color w:val="201F1E"/>
          <w:szCs w:val="20"/>
          <w:lang w:bidi="ar-SA"/>
        </w:rPr>
        <w:t xml:space="preserve">, unless the seller discontinues all group health plans or the parties agree contractually to different terms. If the seller discontinues all group health plan offerings, then the obligation may transfer to the buyer. The obligations differ a bit depending upon whether a stock or </w:t>
      </w:r>
      <w:r w:rsidR="00853404">
        <w:rPr>
          <w:rFonts w:eastAsia="Times New Roman" w:cs="Arial"/>
          <w:color w:val="201F1E"/>
          <w:szCs w:val="20"/>
          <w:lang w:bidi="ar-SA"/>
        </w:rPr>
        <w:t xml:space="preserve">an </w:t>
      </w:r>
      <w:r w:rsidR="00EC0DBF" w:rsidRPr="00CB3105">
        <w:rPr>
          <w:rFonts w:eastAsia="Times New Roman" w:cs="Arial"/>
          <w:color w:val="201F1E"/>
          <w:szCs w:val="20"/>
          <w:lang w:bidi="ar-SA"/>
        </w:rPr>
        <w:t>asset purchase took place.</w:t>
      </w:r>
    </w:p>
    <w:p w14:paraId="2E4B2FC0" w14:textId="77777777" w:rsidR="0005496B" w:rsidRDefault="0005496B" w:rsidP="00CB3105">
      <w:pPr>
        <w:shd w:val="clear" w:color="auto" w:fill="FFFFFF"/>
        <w:ind w:left="0"/>
        <w:textAlignment w:val="baseline"/>
        <w:rPr>
          <w:rFonts w:eastAsia="Times New Roman" w:cs="Arial"/>
          <w:color w:val="201F1E"/>
          <w:szCs w:val="20"/>
          <w:lang w:bidi="ar-SA"/>
        </w:rPr>
      </w:pPr>
    </w:p>
    <w:p w14:paraId="396AD941" w14:textId="12468227" w:rsidR="0036655C" w:rsidRPr="00AB43D5" w:rsidRDefault="00DB5BD3" w:rsidP="00AB43D5">
      <w:pPr>
        <w:shd w:val="clear" w:color="auto" w:fill="FFFFFF"/>
        <w:ind w:left="0"/>
        <w:textAlignment w:val="baseline"/>
        <w:rPr>
          <w:rFonts w:eastAsia="Times New Roman" w:cs="Arial"/>
          <w:b/>
          <w:bCs/>
          <w:color w:val="201F1E"/>
          <w:szCs w:val="20"/>
          <w:lang w:bidi="ar-SA"/>
        </w:rPr>
      </w:pPr>
      <w:r>
        <w:rPr>
          <w:rFonts w:eastAsia="Times New Roman" w:cs="Arial"/>
          <w:b/>
          <w:bCs/>
          <w:color w:val="201F1E"/>
          <w:szCs w:val="20"/>
          <w:lang w:bidi="ar-SA"/>
        </w:rPr>
        <w:t xml:space="preserve">General </w:t>
      </w:r>
      <w:r w:rsidR="00EC0DBF">
        <w:rPr>
          <w:rFonts w:eastAsia="Times New Roman" w:cs="Arial"/>
          <w:b/>
          <w:bCs/>
          <w:color w:val="201F1E"/>
          <w:szCs w:val="20"/>
          <w:lang w:bidi="ar-SA"/>
        </w:rPr>
        <w:t>COBRA Rules for M&amp;As</w:t>
      </w:r>
    </w:p>
    <w:p w14:paraId="5621612D" w14:textId="2A4F0C80" w:rsidR="002C326B" w:rsidRDefault="006F4FE5" w:rsidP="002C326B">
      <w:pPr>
        <w:ind w:left="0"/>
        <w:rPr>
          <w:rFonts w:cs="Arial"/>
          <w:szCs w:val="20"/>
        </w:rPr>
      </w:pPr>
      <w:r>
        <w:rPr>
          <w:rFonts w:cs="Arial"/>
          <w:szCs w:val="20"/>
        </w:rPr>
        <w:t>For employers subject to COBRA continuation rules (employers with 20 or more employees), t</w:t>
      </w:r>
      <w:r w:rsidR="002C326B" w:rsidRPr="002C326B">
        <w:rPr>
          <w:rFonts w:cs="Arial"/>
          <w:szCs w:val="20"/>
        </w:rPr>
        <w:t xml:space="preserve">he IRS </w:t>
      </w:r>
      <w:r w:rsidR="009F745B">
        <w:rPr>
          <w:rFonts w:cs="Arial"/>
          <w:szCs w:val="20"/>
        </w:rPr>
        <w:t>has provided</w:t>
      </w:r>
      <w:r w:rsidR="002C326B" w:rsidRPr="002C326B">
        <w:rPr>
          <w:rFonts w:cs="Arial"/>
          <w:szCs w:val="20"/>
        </w:rPr>
        <w:t xml:space="preserve"> detailed regulations regarding the handling of COBRA liability in the case of a merger or </w:t>
      </w:r>
      <w:r w:rsidR="00853404">
        <w:rPr>
          <w:rFonts w:cs="Arial"/>
          <w:szCs w:val="20"/>
        </w:rPr>
        <w:t xml:space="preserve">an </w:t>
      </w:r>
      <w:r w:rsidR="002C326B" w:rsidRPr="002C326B">
        <w:rPr>
          <w:rFonts w:cs="Arial"/>
          <w:szCs w:val="20"/>
        </w:rPr>
        <w:t>acquisition</w:t>
      </w:r>
      <w:r w:rsidR="00EC0DBF">
        <w:rPr>
          <w:rFonts w:cs="Arial"/>
          <w:szCs w:val="20"/>
        </w:rPr>
        <w:t xml:space="preserve"> (</w:t>
      </w:r>
      <w:r w:rsidR="002C326B" w:rsidRPr="002C326B">
        <w:rPr>
          <w:rFonts w:cs="Arial"/>
          <w:szCs w:val="20"/>
        </w:rPr>
        <w:t>26 CFR 54.4980B-9</w:t>
      </w:r>
      <w:r w:rsidR="00EC0DBF">
        <w:rPr>
          <w:rFonts w:cs="Arial"/>
          <w:szCs w:val="20"/>
        </w:rPr>
        <w:t xml:space="preserve">). </w:t>
      </w:r>
      <w:r w:rsidR="002C326B" w:rsidRPr="002C326B">
        <w:rPr>
          <w:rFonts w:cs="Arial"/>
          <w:szCs w:val="20"/>
        </w:rPr>
        <w:t>Under the regulations</w:t>
      </w:r>
      <w:r w:rsidR="00EC0DBF">
        <w:rPr>
          <w:rFonts w:cs="Arial"/>
          <w:szCs w:val="20"/>
        </w:rPr>
        <w:t xml:space="preserve">, </w:t>
      </w:r>
      <w:r w:rsidR="002C326B" w:rsidRPr="002C326B">
        <w:rPr>
          <w:rFonts w:cs="Arial"/>
          <w:szCs w:val="20"/>
        </w:rPr>
        <w:t>the responsibility for making COBRA coverage available to M&amp;A</w:t>
      </w:r>
      <w:r w:rsidR="00853404">
        <w:rPr>
          <w:rFonts w:cs="Arial"/>
          <w:szCs w:val="20"/>
        </w:rPr>
        <w:t>-</w:t>
      </w:r>
      <w:r w:rsidR="002C326B" w:rsidRPr="002C326B">
        <w:rPr>
          <w:rFonts w:cs="Arial"/>
          <w:szCs w:val="20"/>
        </w:rPr>
        <w:t>qualified beneficiaries is determined according to the following rules:</w:t>
      </w:r>
    </w:p>
    <w:p w14:paraId="5DDBD86E" w14:textId="77777777" w:rsidR="00AB43D5" w:rsidRDefault="00AB43D5" w:rsidP="002C326B">
      <w:pPr>
        <w:ind w:left="0"/>
        <w:rPr>
          <w:rFonts w:cs="Arial"/>
          <w:szCs w:val="20"/>
        </w:rPr>
      </w:pPr>
    </w:p>
    <w:p w14:paraId="73024DCD" w14:textId="00C3385E" w:rsidR="002C326B" w:rsidRDefault="002C326B" w:rsidP="002C326B">
      <w:pPr>
        <w:pStyle w:val="ListParagraph"/>
        <w:numPr>
          <w:ilvl w:val="0"/>
          <w:numId w:val="29"/>
        </w:numPr>
        <w:rPr>
          <w:rFonts w:cs="Arial"/>
          <w:szCs w:val="20"/>
        </w:rPr>
      </w:pPr>
      <w:r w:rsidRPr="002C326B">
        <w:rPr>
          <w:rFonts w:cs="Arial"/>
          <w:szCs w:val="20"/>
        </w:rPr>
        <w:t>If the seller maintains a group health plan after the sale, then a group health plan of the seller must provide COBRA coverage.</w:t>
      </w:r>
    </w:p>
    <w:p w14:paraId="7C549726" w14:textId="359F489E" w:rsidR="004B2826" w:rsidRPr="004B2826" w:rsidRDefault="004B2826" w:rsidP="00FB5805">
      <w:pPr>
        <w:pStyle w:val="ListParagraph"/>
        <w:numPr>
          <w:ilvl w:val="1"/>
          <w:numId w:val="29"/>
        </w:numPr>
        <w:rPr>
          <w:rFonts w:cs="Arial"/>
          <w:szCs w:val="20"/>
        </w:rPr>
      </w:pPr>
      <w:r>
        <w:rPr>
          <w:rFonts w:cs="Arial"/>
          <w:szCs w:val="20"/>
        </w:rPr>
        <w:t>If the seller offers multiple group health plans and discontinue</w:t>
      </w:r>
      <w:r w:rsidR="006306DC">
        <w:rPr>
          <w:rFonts w:cs="Arial"/>
          <w:szCs w:val="20"/>
        </w:rPr>
        <w:t>s</w:t>
      </w:r>
      <w:r>
        <w:rPr>
          <w:rFonts w:cs="Arial"/>
          <w:szCs w:val="20"/>
        </w:rPr>
        <w:t xml:space="preserve"> </w:t>
      </w:r>
      <w:r w:rsidR="00AB43D5">
        <w:rPr>
          <w:rFonts w:cs="Arial"/>
          <w:szCs w:val="20"/>
        </w:rPr>
        <w:t xml:space="preserve">a group health plan in connection with the M&amp;A transaction (e.g. for a certain division), the seller remains obligated to offer COBRA to the extent </w:t>
      </w:r>
      <w:r w:rsidR="006306DC">
        <w:rPr>
          <w:rFonts w:cs="Arial"/>
          <w:szCs w:val="20"/>
        </w:rPr>
        <w:t xml:space="preserve">that </w:t>
      </w:r>
      <w:r w:rsidR="00AB43D5">
        <w:rPr>
          <w:rFonts w:cs="Arial"/>
          <w:szCs w:val="20"/>
        </w:rPr>
        <w:t>the seller continues offering any group health plan following the transaction.</w:t>
      </w:r>
    </w:p>
    <w:p w14:paraId="6FA82EA6" w14:textId="6C173E46" w:rsidR="00D223C8" w:rsidRPr="00EF4A2D" w:rsidRDefault="00D223C8" w:rsidP="00FB5805">
      <w:pPr>
        <w:pStyle w:val="ListParagraph"/>
        <w:numPr>
          <w:ilvl w:val="1"/>
          <w:numId w:val="29"/>
        </w:numPr>
        <w:rPr>
          <w:rFonts w:cs="Arial"/>
          <w:szCs w:val="20"/>
        </w:rPr>
      </w:pPr>
      <w:r w:rsidRPr="00EF4A2D">
        <w:rPr>
          <w:rFonts w:cs="Arial"/>
          <w:color w:val="323130"/>
          <w:szCs w:val="20"/>
          <w:bdr w:val="none" w:sz="0" w:space="0" w:color="auto" w:frame="1"/>
        </w:rPr>
        <w:t xml:space="preserve">When there is a controlled group under </w:t>
      </w:r>
      <w:r w:rsidR="00FB5805" w:rsidRPr="00EF4A2D">
        <w:rPr>
          <w:rFonts w:cs="Arial"/>
          <w:color w:val="323130"/>
          <w:szCs w:val="20"/>
          <w:bdr w:val="none" w:sz="0" w:space="0" w:color="auto" w:frame="1"/>
        </w:rPr>
        <w:t>§</w:t>
      </w:r>
      <w:r w:rsidRPr="00EF4A2D">
        <w:rPr>
          <w:rFonts w:cs="Arial"/>
          <w:color w:val="323130"/>
          <w:szCs w:val="20"/>
          <w:bdr w:val="none" w:sz="0" w:space="0" w:color="auto" w:frame="1"/>
        </w:rPr>
        <w:t xml:space="preserve">414 rules due to </w:t>
      </w:r>
      <w:r w:rsidR="00FB5805" w:rsidRPr="00EF4A2D">
        <w:rPr>
          <w:rFonts w:cs="Arial"/>
          <w:color w:val="323130"/>
          <w:szCs w:val="20"/>
          <w:bdr w:val="none" w:sz="0" w:space="0" w:color="auto" w:frame="1"/>
        </w:rPr>
        <w:t xml:space="preserve">80% or more </w:t>
      </w:r>
      <w:r w:rsidRPr="00EF4A2D">
        <w:rPr>
          <w:rFonts w:cs="Arial"/>
          <w:color w:val="323130"/>
          <w:szCs w:val="20"/>
          <w:bdr w:val="none" w:sz="0" w:space="0" w:color="auto" w:frame="1"/>
        </w:rPr>
        <w:t xml:space="preserve">common ownership, the seller might include more than just the entity being sold. For example, if Company A and </w:t>
      </w:r>
      <w:r w:rsidR="006306DC">
        <w:rPr>
          <w:rFonts w:cs="Arial"/>
          <w:color w:val="323130"/>
          <w:szCs w:val="20"/>
          <w:bdr w:val="none" w:sz="0" w:space="0" w:color="auto" w:frame="1"/>
        </w:rPr>
        <w:t xml:space="preserve">Company </w:t>
      </w:r>
      <w:r w:rsidRPr="00EF4A2D">
        <w:rPr>
          <w:rFonts w:cs="Arial"/>
          <w:color w:val="323130"/>
          <w:szCs w:val="20"/>
          <w:bdr w:val="none" w:sz="0" w:space="0" w:color="auto" w:frame="1"/>
        </w:rPr>
        <w:t xml:space="preserve">B are </w:t>
      </w:r>
      <w:r w:rsidR="00223CF0" w:rsidRPr="00EF4A2D">
        <w:rPr>
          <w:rFonts w:cs="Arial"/>
          <w:color w:val="323130"/>
          <w:szCs w:val="20"/>
          <w:bdr w:val="none" w:sz="0" w:space="0" w:color="auto" w:frame="1"/>
        </w:rPr>
        <w:t>part of the same controlled group</w:t>
      </w:r>
      <w:r w:rsidRPr="00EF4A2D">
        <w:rPr>
          <w:rFonts w:cs="Arial"/>
          <w:color w:val="323130"/>
          <w:szCs w:val="20"/>
          <w:bdr w:val="none" w:sz="0" w:space="0" w:color="auto" w:frame="1"/>
        </w:rPr>
        <w:t xml:space="preserve"> and Company A is sold, both Company A and </w:t>
      </w:r>
      <w:r w:rsidR="006306DC">
        <w:rPr>
          <w:rFonts w:cs="Arial"/>
          <w:color w:val="323130"/>
          <w:szCs w:val="20"/>
          <w:bdr w:val="none" w:sz="0" w:space="0" w:color="auto" w:frame="1"/>
        </w:rPr>
        <w:t xml:space="preserve">Company </w:t>
      </w:r>
      <w:r w:rsidRPr="00EF4A2D">
        <w:rPr>
          <w:rFonts w:cs="Arial"/>
          <w:color w:val="323130"/>
          <w:szCs w:val="20"/>
          <w:bdr w:val="none" w:sz="0" w:space="0" w:color="auto" w:frame="1"/>
        </w:rPr>
        <w:t>B are considered the "seller</w:t>
      </w:r>
      <w:r w:rsidR="006306DC">
        <w:rPr>
          <w:rFonts w:cs="Arial"/>
          <w:color w:val="323130"/>
          <w:szCs w:val="20"/>
          <w:bdr w:val="none" w:sz="0" w:space="0" w:color="auto" w:frame="1"/>
        </w:rPr>
        <w:t>.</w:t>
      </w:r>
      <w:r w:rsidRPr="00EF4A2D">
        <w:rPr>
          <w:rFonts w:cs="Arial"/>
          <w:color w:val="323130"/>
          <w:szCs w:val="20"/>
          <w:bdr w:val="none" w:sz="0" w:space="0" w:color="auto" w:frame="1"/>
        </w:rPr>
        <w:t>" Therefore, if Company B continues to maintain a group health plan following the transaction, Company B</w:t>
      </w:r>
      <w:r w:rsidR="006306DC">
        <w:rPr>
          <w:rFonts w:cs="Arial"/>
          <w:color w:val="323130"/>
          <w:szCs w:val="20"/>
          <w:bdr w:val="none" w:sz="0" w:space="0" w:color="auto" w:frame="1"/>
        </w:rPr>
        <w:t>’</w:t>
      </w:r>
      <w:r w:rsidRPr="00EF4A2D">
        <w:rPr>
          <w:rFonts w:cs="Arial"/>
          <w:color w:val="323130"/>
          <w:szCs w:val="20"/>
          <w:bdr w:val="none" w:sz="0" w:space="0" w:color="auto" w:frame="1"/>
        </w:rPr>
        <w:t xml:space="preserve">s plan </w:t>
      </w:r>
      <w:r w:rsidR="006306DC">
        <w:rPr>
          <w:rFonts w:cs="Arial"/>
          <w:color w:val="323130"/>
          <w:szCs w:val="20"/>
          <w:bdr w:val="none" w:sz="0" w:space="0" w:color="auto" w:frame="1"/>
        </w:rPr>
        <w:t>will probably be</w:t>
      </w:r>
      <w:r w:rsidRPr="00EF4A2D">
        <w:rPr>
          <w:rFonts w:cs="Arial"/>
          <w:color w:val="323130"/>
          <w:szCs w:val="20"/>
          <w:bdr w:val="none" w:sz="0" w:space="0" w:color="auto" w:frame="1"/>
        </w:rPr>
        <w:t xml:space="preserve"> obligated to offer COBRA.</w:t>
      </w:r>
    </w:p>
    <w:p w14:paraId="09441E41" w14:textId="1549488E" w:rsidR="006B5654" w:rsidRDefault="006B5654" w:rsidP="00D223C8">
      <w:pPr>
        <w:pStyle w:val="NormalWeb"/>
        <w:shd w:val="clear" w:color="auto" w:fill="FFFFFF"/>
        <w:spacing w:before="0" w:beforeAutospacing="0" w:after="0" w:afterAutospacing="0"/>
        <w:textAlignment w:val="baseline"/>
        <w:rPr>
          <w:rFonts w:ascii="Arial" w:hAnsi="Arial" w:cs="Arial"/>
          <w:color w:val="323130"/>
          <w:sz w:val="20"/>
          <w:szCs w:val="20"/>
          <w:bdr w:val="none" w:sz="0" w:space="0" w:color="auto" w:frame="1"/>
        </w:rPr>
      </w:pPr>
    </w:p>
    <w:p w14:paraId="268F5AD0" w14:textId="68A19245" w:rsidR="002C326B" w:rsidRDefault="002C326B" w:rsidP="002C326B">
      <w:pPr>
        <w:pStyle w:val="ListParagraph"/>
        <w:numPr>
          <w:ilvl w:val="0"/>
          <w:numId w:val="29"/>
        </w:numPr>
        <w:rPr>
          <w:rFonts w:cs="Arial"/>
          <w:szCs w:val="20"/>
        </w:rPr>
      </w:pPr>
      <w:r w:rsidRPr="002C326B">
        <w:rPr>
          <w:rFonts w:cs="Arial"/>
          <w:szCs w:val="20"/>
        </w:rPr>
        <w:t>If the seller ceases to maintain any group health plan in connection with the sale, then a group health plan of the buying group must provide the COBRA coverage if: (i) the buying group maintains a group health plan; and (ii) in the case of an asset sale, the buyer is a successor employer.</w:t>
      </w:r>
    </w:p>
    <w:p w14:paraId="19754506" w14:textId="61DF315A" w:rsidR="00BE6932" w:rsidRDefault="00BE6932" w:rsidP="00BE6932">
      <w:pPr>
        <w:pStyle w:val="ListParagraph"/>
        <w:numPr>
          <w:ilvl w:val="1"/>
          <w:numId w:val="29"/>
        </w:numPr>
        <w:rPr>
          <w:rFonts w:cs="Arial"/>
          <w:szCs w:val="20"/>
        </w:rPr>
      </w:pPr>
      <w:r>
        <w:rPr>
          <w:rFonts w:cs="Arial"/>
          <w:szCs w:val="20"/>
        </w:rPr>
        <w:t>In the case of a stock sale, if the buyer maintains a group health plan, the buyer is obligated to offer COBRA.</w:t>
      </w:r>
    </w:p>
    <w:p w14:paraId="4A7522EF" w14:textId="7AA828AF" w:rsidR="00BE6932" w:rsidRDefault="00BE6932" w:rsidP="00BE6932">
      <w:pPr>
        <w:pStyle w:val="ListParagraph"/>
        <w:numPr>
          <w:ilvl w:val="1"/>
          <w:numId w:val="29"/>
        </w:numPr>
        <w:rPr>
          <w:rFonts w:cs="Arial"/>
          <w:szCs w:val="20"/>
        </w:rPr>
      </w:pPr>
      <w:r>
        <w:rPr>
          <w:rFonts w:cs="Arial"/>
          <w:szCs w:val="20"/>
        </w:rPr>
        <w:t xml:space="preserve">In the case of an asset sale, </w:t>
      </w:r>
      <w:r w:rsidR="003F2BC5">
        <w:rPr>
          <w:rFonts w:cs="Arial"/>
          <w:szCs w:val="20"/>
        </w:rPr>
        <w:t xml:space="preserve">if the buyer maintains a group health plan, the buyer is obligated to offer COBRA only if the buyer is a successor employer. </w:t>
      </w:r>
      <w:r w:rsidR="003F2BC5" w:rsidRPr="002C0A15">
        <w:rPr>
          <w:rFonts w:eastAsia="Times New Roman" w:cs="Arial"/>
          <w:color w:val="201F1E"/>
          <w:szCs w:val="20"/>
          <w:lang w:bidi="ar-SA"/>
        </w:rPr>
        <w:t>The buyer is considered a successor employer if the seller: (i) discontinues all group health plan coverage following the transaction; and (ii) the buyer</w:t>
      </w:r>
      <w:r w:rsidR="003F2BC5" w:rsidRPr="002C0A15">
        <w:rPr>
          <w:rFonts w:eastAsia="Times New Roman" w:cs="Arial"/>
          <w:i/>
          <w:iCs/>
          <w:color w:val="201F1E"/>
          <w:szCs w:val="20"/>
          <w:lang w:bidi="ar-SA"/>
        </w:rPr>
        <w:t> </w:t>
      </w:r>
      <w:r w:rsidR="003F2BC5" w:rsidRPr="00745632">
        <w:rPr>
          <w:rFonts w:eastAsia="Times New Roman" w:cs="Arial"/>
          <w:color w:val="201F1E"/>
          <w:szCs w:val="20"/>
          <w:lang w:bidi="ar-SA"/>
        </w:rPr>
        <w:t>“continues the business operations associated with the assets purchased…without interruption or substantial change.”</w:t>
      </w:r>
    </w:p>
    <w:p w14:paraId="3FE30D5D" w14:textId="77777777" w:rsidR="005751E1" w:rsidRDefault="005751E1" w:rsidP="005751E1">
      <w:pPr>
        <w:pStyle w:val="ListParagraph"/>
        <w:rPr>
          <w:rFonts w:cs="Arial"/>
          <w:szCs w:val="20"/>
        </w:rPr>
      </w:pPr>
    </w:p>
    <w:p w14:paraId="5AC07C42" w14:textId="556F369F" w:rsidR="002C326B" w:rsidRPr="002C326B" w:rsidRDefault="002C326B" w:rsidP="002C326B">
      <w:pPr>
        <w:pStyle w:val="ListParagraph"/>
        <w:numPr>
          <w:ilvl w:val="0"/>
          <w:numId w:val="29"/>
        </w:numPr>
        <w:rPr>
          <w:rFonts w:cs="Arial"/>
          <w:szCs w:val="20"/>
        </w:rPr>
      </w:pPr>
      <w:r w:rsidRPr="002C326B">
        <w:rPr>
          <w:rFonts w:cs="Arial"/>
          <w:szCs w:val="20"/>
        </w:rPr>
        <w:t xml:space="preserve">The parties may contractually allocate the responsibility to make COBRA coverage available. However, if the party that is contractually assigned responsibility for COBRA fails to perform, then the party that has the obligation to provide COBRA coverage under the regulations remains responsible for making COBRA coverage available. </w:t>
      </w:r>
    </w:p>
    <w:p w14:paraId="0FEBFD5E" w14:textId="3D6BC333" w:rsidR="002C0A15" w:rsidRDefault="002C0A15" w:rsidP="002C0A15">
      <w:pPr>
        <w:shd w:val="clear" w:color="auto" w:fill="FFFFFF"/>
        <w:ind w:left="0"/>
        <w:textAlignment w:val="baseline"/>
        <w:rPr>
          <w:rFonts w:eastAsia="Times New Roman" w:cs="Arial"/>
          <w:color w:val="201F1E"/>
          <w:szCs w:val="20"/>
          <w:lang w:bidi="ar-SA"/>
        </w:rPr>
      </w:pPr>
    </w:p>
    <w:p w14:paraId="1AC4606D" w14:textId="0FCA9C1D" w:rsidR="002C326B" w:rsidRPr="00EB288F" w:rsidRDefault="00EB288F" w:rsidP="00EB288F">
      <w:pPr>
        <w:shd w:val="clear" w:color="auto" w:fill="FFFFFF"/>
        <w:ind w:left="0"/>
        <w:textAlignment w:val="baseline"/>
        <w:rPr>
          <w:rFonts w:eastAsia="Times New Roman" w:cs="Arial"/>
          <w:b/>
          <w:bCs/>
          <w:color w:val="201F1E"/>
          <w:szCs w:val="20"/>
          <w:lang w:bidi="ar-SA"/>
        </w:rPr>
      </w:pPr>
      <w:r>
        <w:rPr>
          <w:rFonts w:eastAsia="Times New Roman" w:cs="Arial"/>
          <w:b/>
          <w:bCs/>
          <w:color w:val="201F1E"/>
          <w:szCs w:val="20"/>
          <w:lang w:bidi="ar-SA"/>
        </w:rPr>
        <w:t>M&amp;A Qualified Beneficiaries</w:t>
      </w:r>
    </w:p>
    <w:p w14:paraId="7AB405B1" w14:textId="35F10A3E" w:rsidR="002C326B" w:rsidRPr="002C326B" w:rsidRDefault="006306DC" w:rsidP="002C326B">
      <w:pPr>
        <w:ind w:left="0"/>
        <w:rPr>
          <w:rFonts w:cs="Arial"/>
          <w:szCs w:val="20"/>
        </w:rPr>
      </w:pPr>
      <w:r>
        <w:rPr>
          <w:rFonts w:cs="Arial"/>
          <w:szCs w:val="20"/>
        </w:rPr>
        <w:t>In terms of</w:t>
      </w:r>
      <w:r w:rsidR="0014477C">
        <w:rPr>
          <w:rFonts w:cs="Arial"/>
          <w:szCs w:val="20"/>
        </w:rPr>
        <w:t xml:space="preserve"> who must be offered COBRA, M&amp;A</w:t>
      </w:r>
      <w:r w:rsidR="00853404">
        <w:rPr>
          <w:rFonts w:cs="Arial"/>
          <w:szCs w:val="20"/>
        </w:rPr>
        <w:t>-</w:t>
      </w:r>
      <w:r w:rsidR="002C326B" w:rsidRPr="002C326B">
        <w:rPr>
          <w:rFonts w:cs="Arial"/>
          <w:szCs w:val="20"/>
        </w:rPr>
        <w:t>qualified beneficiaries include:</w:t>
      </w:r>
    </w:p>
    <w:p w14:paraId="2C25A533" w14:textId="50E1E7D2" w:rsidR="002C326B" w:rsidRDefault="002C326B" w:rsidP="002C326B">
      <w:pPr>
        <w:pStyle w:val="ListParagraph"/>
        <w:numPr>
          <w:ilvl w:val="0"/>
          <w:numId w:val="30"/>
        </w:numPr>
        <w:rPr>
          <w:rFonts w:cs="Arial"/>
          <w:szCs w:val="20"/>
        </w:rPr>
      </w:pPr>
      <w:r w:rsidRPr="002C326B">
        <w:rPr>
          <w:rFonts w:cs="Arial"/>
          <w:szCs w:val="20"/>
        </w:rPr>
        <w:t xml:space="preserve">those qualified beneficiaries </w:t>
      </w:r>
      <w:r w:rsidR="006306DC">
        <w:rPr>
          <w:rFonts w:cs="Arial"/>
          <w:szCs w:val="20"/>
        </w:rPr>
        <w:t xml:space="preserve">who </w:t>
      </w:r>
      <w:r w:rsidR="00853404">
        <w:rPr>
          <w:rFonts w:cs="Arial"/>
          <w:szCs w:val="20"/>
        </w:rPr>
        <w:t>were</w:t>
      </w:r>
      <w:r w:rsidR="006306DC">
        <w:rPr>
          <w:rFonts w:cs="Arial"/>
          <w:szCs w:val="20"/>
        </w:rPr>
        <w:t xml:space="preserve"> </w:t>
      </w:r>
      <w:r w:rsidRPr="002C326B">
        <w:rPr>
          <w:rFonts w:cs="Arial"/>
          <w:szCs w:val="20"/>
        </w:rPr>
        <w:t xml:space="preserve">already receiving COBRA coverage before the </w:t>
      </w:r>
      <w:r w:rsidR="0014477C">
        <w:rPr>
          <w:rFonts w:cs="Arial"/>
          <w:szCs w:val="20"/>
        </w:rPr>
        <w:t>transaction</w:t>
      </w:r>
      <w:r w:rsidRPr="002C326B">
        <w:rPr>
          <w:rFonts w:cs="Arial"/>
          <w:szCs w:val="20"/>
        </w:rPr>
        <w:t xml:space="preserve"> under a plan of the seller; and</w:t>
      </w:r>
    </w:p>
    <w:p w14:paraId="51689606" w14:textId="7A4B0C59" w:rsidR="002C326B" w:rsidRPr="002C326B" w:rsidRDefault="002C326B" w:rsidP="002C326B">
      <w:pPr>
        <w:pStyle w:val="ListParagraph"/>
        <w:numPr>
          <w:ilvl w:val="0"/>
          <w:numId w:val="30"/>
        </w:numPr>
        <w:rPr>
          <w:rFonts w:cs="Arial"/>
          <w:szCs w:val="20"/>
        </w:rPr>
      </w:pPr>
      <w:r w:rsidRPr="002C326B">
        <w:rPr>
          <w:rFonts w:cs="Arial"/>
          <w:szCs w:val="20"/>
        </w:rPr>
        <w:t>those qualified beneficiaries who experience their qualifying event in connection with the sale.</w:t>
      </w:r>
    </w:p>
    <w:p w14:paraId="2B06C012" w14:textId="4F393439" w:rsidR="002C326B" w:rsidRDefault="002C326B" w:rsidP="002C326B">
      <w:pPr>
        <w:ind w:left="0"/>
        <w:rPr>
          <w:rFonts w:cs="Arial"/>
          <w:szCs w:val="20"/>
        </w:rPr>
      </w:pPr>
    </w:p>
    <w:p w14:paraId="60954E17" w14:textId="7C18BDE2" w:rsidR="00D9323D" w:rsidRDefault="00D9323D" w:rsidP="002C326B">
      <w:pPr>
        <w:ind w:left="0"/>
        <w:rPr>
          <w:rFonts w:cs="Arial"/>
          <w:szCs w:val="20"/>
        </w:rPr>
      </w:pPr>
      <w:r>
        <w:rPr>
          <w:rFonts w:cs="Arial"/>
          <w:szCs w:val="20"/>
        </w:rPr>
        <w:lastRenderedPageBreak/>
        <w:t xml:space="preserve">COBRA continuation rights are triggered for up to 18 months for an employee if there is a loss of coverage due </w:t>
      </w:r>
      <w:r w:rsidR="006306DC">
        <w:rPr>
          <w:rFonts w:cs="Arial"/>
          <w:szCs w:val="20"/>
        </w:rPr>
        <w:t xml:space="preserve">to </w:t>
      </w:r>
      <w:r>
        <w:rPr>
          <w:rFonts w:cs="Arial"/>
          <w:szCs w:val="20"/>
        </w:rPr>
        <w:t xml:space="preserve">a termination of employment or reduction in hours. </w:t>
      </w:r>
      <w:r w:rsidRPr="002C326B">
        <w:rPr>
          <w:rFonts w:cs="Arial"/>
          <w:szCs w:val="20"/>
        </w:rPr>
        <w:t>In a stock purchase, employees continuing employment with the acquired corporation after a stock sale have no qualifying event</w:t>
      </w:r>
      <w:r>
        <w:rPr>
          <w:rFonts w:cs="Arial"/>
          <w:szCs w:val="20"/>
        </w:rPr>
        <w:t xml:space="preserve"> because there is no termination of employment. Similarly, in</w:t>
      </w:r>
      <w:r w:rsidRPr="002C326B">
        <w:rPr>
          <w:rFonts w:cs="Arial"/>
          <w:szCs w:val="20"/>
        </w:rPr>
        <w:t xml:space="preserve"> an asset purchase, if the buyer is a successor employer, employees continuing with the buyer after the asset sale have no qualifying event.</w:t>
      </w:r>
      <w:r w:rsidR="009C6456">
        <w:rPr>
          <w:rFonts w:cs="Arial"/>
          <w:szCs w:val="20"/>
        </w:rPr>
        <w:t xml:space="preserve"> </w:t>
      </w:r>
      <w:r w:rsidR="00CC057C">
        <w:rPr>
          <w:rFonts w:cs="Arial"/>
          <w:szCs w:val="20"/>
        </w:rPr>
        <w:t xml:space="preserve">In other words, </w:t>
      </w:r>
      <w:r w:rsidR="006306DC">
        <w:rPr>
          <w:rFonts w:cs="Arial"/>
          <w:szCs w:val="20"/>
        </w:rPr>
        <w:t>although</w:t>
      </w:r>
      <w:r w:rsidR="00CC057C">
        <w:rPr>
          <w:rFonts w:cs="Arial"/>
          <w:szCs w:val="20"/>
        </w:rPr>
        <w:t xml:space="preserve"> employees who lose their job</w:t>
      </w:r>
      <w:r w:rsidR="009D2BD5">
        <w:rPr>
          <w:rFonts w:cs="Arial"/>
          <w:szCs w:val="20"/>
        </w:rPr>
        <w:t xml:space="preserve"> (and coverage) in connection with the transaction </w:t>
      </w:r>
      <w:r w:rsidR="006306DC">
        <w:rPr>
          <w:rFonts w:cs="Arial"/>
          <w:szCs w:val="20"/>
        </w:rPr>
        <w:t>are likely to</w:t>
      </w:r>
      <w:r w:rsidR="009D2BD5">
        <w:rPr>
          <w:rFonts w:cs="Arial"/>
          <w:szCs w:val="20"/>
        </w:rPr>
        <w:t xml:space="preserve"> have COBRA continuation rights</w:t>
      </w:r>
      <w:r w:rsidR="004C3DB5">
        <w:rPr>
          <w:rFonts w:cs="Arial"/>
          <w:szCs w:val="20"/>
        </w:rPr>
        <w:t xml:space="preserve"> for up to 18 months</w:t>
      </w:r>
      <w:r w:rsidR="009D2BD5">
        <w:rPr>
          <w:rFonts w:cs="Arial"/>
          <w:szCs w:val="20"/>
        </w:rPr>
        <w:t>, those who are employed by the buyer following the transaction often will not,</w:t>
      </w:r>
      <w:r w:rsidR="00317109">
        <w:rPr>
          <w:rFonts w:cs="Arial"/>
          <w:szCs w:val="20"/>
        </w:rPr>
        <w:t xml:space="preserve"> even if the buyer doesn’t </w:t>
      </w:r>
      <w:r w:rsidR="00876DF8">
        <w:rPr>
          <w:rFonts w:cs="Arial"/>
          <w:szCs w:val="20"/>
        </w:rPr>
        <w:t>offer group health plan coverage.</w:t>
      </w:r>
    </w:p>
    <w:p w14:paraId="29383557" w14:textId="403CAED3" w:rsidR="00D9323D" w:rsidRDefault="00D9323D" w:rsidP="002C326B">
      <w:pPr>
        <w:ind w:left="0"/>
        <w:rPr>
          <w:rFonts w:cs="Arial"/>
          <w:szCs w:val="20"/>
        </w:rPr>
      </w:pPr>
    </w:p>
    <w:p w14:paraId="20717D9F" w14:textId="23792A92" w:rsidR="002B2BAE" w:rsidRDefault="002B2BAE" w:rsidP="002B2BAE">
      <w:pPr>
        <w:ind w:left="0"/>
        <w:rPr>
          <w:rFonts w:cs="Arial"/>
          <w:szCs w:val="20"/>
        </w:rPr>
      </w:pPr>
      <w:r w:rsidRPr="00DB0BB7">
        <w:rPr>
          <w:rFonts w:cs="Arial"/>
          <w:szCs w:val="20"/>
        </w:rPr>
        <w:t>For COBRA participants</w:t>
      </w:r>
      <w:r w:rsidR="004C3DB5" w:rsidRPr="00DB0BB7">
        <w:rPr>
          <w:rFonts w:cs="Arial"/>
          <w:szCs w:val="20"/>
        </w:rPr>
        <w:t xml:space="preserve"> </w:t>
      </w:r>
      <w:r w:rsidR="006306DC">
        <w:rPr>
          <w:rFonts w:cs="Arial"/>
          <w:szCs w:val="20"/>
        </w:rPr>
        <w:t xml:space="preserve">who were </w:t>
      </w:r>
      <w:r w:rsidR="004C3DB5" w:rsidRPr="00DB0BB7">
        <w:rPr>
          <w:rFonts w:cs="Arial"/>
          <w:szCs w:val="20"/>
        </w:rPr>
        <w:t xml:space="preserve">under the seller’s </w:t>
      </w:r>
      <w:r w:rsidR="003E4772" w:rsidRPr="00DB0BB7">
        <w:rPr>
          <w:rFonts w:cs="Arial"/>
          <w:szCs w:val="20"/>
        </w:rPr>
        <w:t xml:space="preserve">group health </w:t>
      </w:r>
      <w:r w:rsidR="004C3DB5" w:rsidRPr="00DB0BB7">
        <w:rPr>
          <w:rFonts w:cs="Arial"/>
          <w:szCs w:val="20"/>
        </w:rPr>
        <w:t>plan</w:t>
      </w:r>
      <w:r w:rsidR="003E4772" w:rsidRPr="00DB0BB7">
        <w:rPr>
          <w:rFonts w:cs="Arial"/>
          <w:szCs w:val="20"/>
        </w:rPr>
        <w:t>(s)</w:t>
      </w:r>
      <w:r w:rsidR="004C3DB5" w:rsidRPr="00DB0BB7">
        <w:rPr>
          <w:rFonts w:cs="Arial"/>
          <w:szCs w:val="20"/>
        </w:rPr>
        <w:t xml:space="preserve"> prior to the M&amp;A transaction</w:t>
      </w:r>
      <w:r w:rsidRPr="00DB0BB7">
        <w:rPr>
          <w:rFonts w:cs="Arial"/>
          <w:szCs w:val="20"/>
        </w:rPr>
        <w:t>,</w:t>
      </w:r>
      <w:r w:rsidR="003E4772" w:rsidRPr="00DB0BB7">
        <w:rPr>
          <w:rFonts w:cs="Arial"/>
          <w:szCs w:val="20"/>
        </w:rPr>
        <w:t xml:space="preserve"> COBRA will need to be made available for the remainder </w:t>
      </w:r>
      <w:r w:rsidR="004117F0" w:rsidRPr="00DB0BB7">
        <w:rPr>
          <w:rFonts w:cs="Arial"/>
          <w:szCs w:val="20"/>
        </w:rPr>
        <w:t>of the maximum coverage period (from the original qualifying event date). I</w:t>
      </w:r>
      <w:r w:rsidRPr="00DB0BB7">
        <w:rPr>
          <w:rFonts w:cs="Arial"/>
          <w:szCs w:val="20"/>
        </w:rPr>
        <w:t>f there will be a change in coverage</w:t>
      </w:r>
      <w:r w:rsidR="004117F0" w:rsidRPr="00DB0BB7">
        <w:rPr>
          <w:rFonts w:cs="Arial"/>
          <w:szCs w:val="20"/>
        </w:rPr>
        <w:t xml:space="preserve"> (e.g. due to seller discontinuing </w:t>
      </w:r>
      <w:r w:rsidR="00DC6406" w:rsidRPr="00DB0BB7">
        <w:rPr>
          <w:rFonts w:cs="Arial"/>
          <w:szCs w:val="20"/>
        </w:rPr>
        <w:t>its group health plan(s))</w:t>
      </w:r>
      <w:r w:rsidRPr="00DB0BB7">
        <w:rPr>
          <w:rFonts w:cs="Arial"/>
          <w:szCs w:val="20"/>
        </w:rPr>
        <w:t xml:space="preserve">, communication should be provided </w:t>
      </w:r>
      <w:r w:rsidR="00442A3E">
        <w:rPr>
          <w:rFonts w:cs="Arial"/>
          <w:szCs w:val="20"/>
        </w:rPr>
        <w:t xml:space="preserve">to COBRA participants </w:t>
      </w:r>
      <w:r w:rsidRPr="00DB0BB7">
        <w:rPr>
          <w:rFonts w:cs="Arial"/>
          <w:szCs w:val="20"/>
        </w:rPr>
        <w:t xml:space="preserve">about </w:t>
      </w:r>
      <w:r w:rsidR="00DC6406" w:rsidRPr="00DB0BB7">
        <w:rPr>
          <w:rFonts w:cs="Arial"/>
          <w:szCs w:val="20"/>
        </w:rPr>
        <w:t xml:space="preserve">available </w:t>
      </w:r>
      <w:r w:rsidRPr="00DB0BB7">
        <w:rPr>
          <w:rFonts w:cs="Arial"/>
          <w:szCs w:val="20"/>
        </w:rPr>
        <w:t xml:space="preserve">coverage options, </w:t>
      </w:r>
      <w:r w:rsidR="00DC6406" w:rsidRPr="00DB0BB7">
        <w:rPr>
          <w:rFonts w:cs="Arial"/>
          <w:szCs w:val="20"/>
        </w:rPr>
        <w:t xml:space="preserve">the </w:t>
      </w:r>
      <w:r w:rsidRPr="00DB0BB7">
        <w:rPr>
          <w:rFonts w:cs="Arial"/>
          <w:szCs w:val="20"/>
        </w:rPr>
        <w:t xml:space="preserve">cost of </w:t>
      </w:r>
      <w:r w:rsidR="00DC6406" w:rsidRPr="00DB0BB7">
        <w:rPr>
          <w:rFonts w:cs="Arial"/>
          <w:szCs w:val="20"/>
        </w:rPr>
        <w:t xml:space="preserve">such </w:t>
      </w:r>
      <w:r w:rsidRPr="00DB0BB7">
        <w:rPr>
          <w:rFonts w:cs="Arial"/>
          <w:szCs w:val="20"/>
        </w:rPr>
        <w:t xml:space="preserve">coverage, and where to send monthly premiums. If this is not provided </w:t>
      </w:r>
      <w:r w:rsidR="006306DC">
        <w:rPr>
          <w:rFonts w:cs="Arial"/>
          <w:szCs w:val="20"/>
        </w:rPr>
        <w:t>well</w:t>
      </w:r>
      <w:r w:rsidRPr="00DB0BB7">
        <w:rPr>
          <w:rFonts w:cs="Arial"/>
          <w:szCs w:val="20"/>
        </w:rPr>
        <w:t xml:space="preserve"> in advance of the transition, flexibility should be provided </w:t>
      </w:r>
      <w:r w:rsidR="00853404">
        <w:rPr>
          <w:rFonts w:cs="Arial"/>
          <w:szCs w:val="20"/>
        </w:rPr>
        <w:t>regarding</w:t>
      </w:r>
      <w:r w:rsidRPr="00DB0BB7">
        <w:rPr>
          <w:rFonts w:cs="Arial"/>
          <w:szCs w:val="20"/>
        </w:rPr>
        <w:t xml:space="preserve"> payment deadlines.</w:t>
      </w:r>
    </w:p>
    <w:p w14:paraId="3CED0D03" w14:textId="77777777" w:rsidR="002B2BAE" w:rsidRDefault="002B2BAE" w:rsidP="002B2BAE">
      <w:pPr>
        <w:ind w:left="0"/>
        <w:rPr>
          <w:rFonts w:cs="Arial"/>
          <w:szCs w:val="20"/>
        </w:rPr>
      </w:pPr>
    </w:p>
    <w:p w14:paraId="318E45B1" w14:textId="549668A2" w:rsidR="00D9323D" w:rsidRPr="00D32A75" w:rsidRDefault="00DB0BB7" w:rsidP="002C326B">
      <w:pPr>
        <w:ind w:left="0"/>
        <w:rPr>
          <w:rFonts w:cs="Arial"/>
          <w:b/>
          <w:bCs/>
          <w:szCs w:val="20"/>
        </w:rPr>
      </w:pPr>
      <w:r>
        <w:rPr>
          <w:rFonts w:cs="Arial"/>
          <w:b/>
          <w:bCs/>
          <w:szCs w:val="20"/>
        </w:rPr>
        <w:t>Additional Considerations</w:t>
      </w:r>
    </w:p>
    <w:p w14:paraId="3C1A5133" w14:textId="409ACBC9" w:rsidR="00D9323D" w:rsidRDefault="00227134" w:rsidP="002C326B">
      <w:pPr>
        <w:ind w:left="0"/>
        <w:rPr>
          <w:rFonts w:cs="Arial"/>
          <w:szCs w:val="20"/>
        </w:rPr>
      </w:pPr>
      <w:r>
        <w:rPr>
          <w:rFonts w:cs="Arial"/>
          <w:szCs w:val="20"/>
        </w:rPr>
        <w:t xml:space="preserve">For </w:t>
      </w:r>
      <w:r w:rsidR="00E420E8">
        <w:rPr>
          <w:rFonts w:cs="Arial"/>
          <w:szCs w:val="20"/>
        </w:rPr>
        <w:t>small employers (</w:t>
      </w:r>
      <w:r w:rsidR="006306DC">
        <w:rPr>
          <w:rFonts w:cs="Arial"/>
          <w:szCs w:val="20"/>
        </w:rPr>
        <w:t>fewer</w:t>
      </w:r>
      <w:r w:rsidR="00E420E8">
        <w:rPr>
          <w:rFonts w:cs="Arial"/>
          <w:szCs w:val="20"/>
        </w:rPr>
        <w:t xml:space="preserve"> than 20 employees)</w:t>
      </w:r>
      <w:r w:rsidR="004D10AC">
        <w:rPr>
          <w:rFonts w:cs="Arial"/>
          <w:szCs w:val="20"/>
        </w:rPr>
        <w:t xml:space="preserve"> </w:t>
      </w:r>
      <w:r w:rsidR="006306DC">
        <w:rPr>
          <w:rFonts w:cs="Arial"/>
          <w:szCs w:val="20"/>
        </w:rPr>
        <w:t xml:space="preserve">who are </w:t>
      </w:r>
      <w:r w:rsidR="004D10AC">
        <w:rPr>
          <w:rFonts w:cs="Arial"/>
          <w:szCs w:val="20"/>
        </w:rPr>
        <w:t xml:space="preserve">not subject to </w:t>
      </w:r>
      <w:r w:rsidR="00016B03">
        <w:rPr>
          <w:rFonts w:cs="Arial"/>
          <w:szCs w:val="20"/>
        </w:rPr>
        <w:t xml:space="preserve">federal </w:t>
      </w:r>
      <w:r w:rsidR="004D10AC">
        <w:rPr>
          <w:rFonts w:cs="Arial"/>
          <w:szCs w:val="20"/>
        </w:rPr>
        <w:t>COBRA</w:t>
      </w:r>
      <w:r w:rsidR="00016B03">
        <w:rPr>
          <w:rFonts w:cs="Arial"/>
          <w:szCs w:val="20"/>
        </w:rPr>
        <w:t xml:space="preserve"> continuation requirements</w:t>
      </w:r>
      <w:r w:rsidR="004D10AC">
        <w:rPr>
          <w:rFonts w:cs="Arial"/>
          <w:szCs w:val="20"/>
        </w:rPr>
        <w:t xml:space="preserve"> prior to the </w:t>
      </w:r>
      <w:r w:rsidR="00016B03">
        <w:rPr>
          <w:rFonts w:cs="Arial"/>
          <w:szCs w:val="20"/>
        </w:rPr>
        <w:t xml:space="preserve">M&amp;A </w:t>
      </w:r>
      <w:r w:rsidR="004D10AC">
        <w:rPr>
          <w:rFonts w:cs="Arial"/>
          <w:szCs w:val="20"/>
        </w:rPr>
        <w:t>transaction</w:t>
      </w:r>
      <w:r w:rsidR="0044318A">
        <w:rPr>
          <w:rFonts w:cs="Arial"/>
          <w:szCs w:val="20"/>
        </w:rPr>
        <w:t xml:space="preserve">, </w:t>
      </w:r>
      <w:r w:rsidR="00016B03">
        <w:rPr>
          <w:rFonts w:cs="Arial"/>
          <w:szCs w:val="20"/>
        </w:rPr>
        <w:t xml:space="preserve">applicable </w:t>
      </w:r>
      <w:r w:rsidR="0044318A">
        <w:rPr>
          <w:rFonts w:cs="Arial"/>
          <w:szCs w:val="20"/>
        </w:rPr>
        <w:t xml:space="preserve">state continuation requirements </w:t>
      </w:r>
      <w:r w:rsidR="00E72853">
        <w:rPr>
          <w:rFonts w:cs="Arial"/>
          <w:szCs w:val="20"/>
        </w:rPr>
        <w:t xml:space="preserve">should be considered. Such requirements vary broadly from state to state. In addition, </w:t>
      </w:r>
      <w:r w:rsidR="006306DC">
        <w:rPr>
          <w:rFonts w:cs="Arial"/>
          <w:szCs w:val="20"/>
        </w:rPr>
        <w:t>after</w:t>
      </w:r>
      <w:r w:rsidR="005B7806">
        <w:rPr>
          <w:rFonts w:cs="Arial"/>
          <w:szCs w:val="20"/>
        </w:rPr>
        <w:t xml:space="preserve"> a</w:t>
      </w:r>
      <w:r w:rsidR="003F2673">
        <w:rPr>
          <w:rFonts w:cs="Arial"/>
          <w:szCs w:val="20"/>
        </w:rPr>
        <w:t>n M&amp;A transaction</w:t>
      </w:r>
      <w:r w:rsidR="00926DD1">
        <w:rPr>
          <w:rFonts w:cs="Arial"/>
          <w:szCs w:val="20"/>
        </w:rPr>
        <w:t xml:space="preserve">, </w:t>
      </w:r>
      <w:r w:rsidR="0015541B">
        <w:rPr>
          <w:rFonts w:cs="Arial"/>
          <w:szCs w:val="20"/>
        </w:rPr>
        <w:t>small employers may immediately become subject to COBRA</w:t>
      </w:r>
      <w:r w:rsidR="00773F1D">
        <w:rPr>
          <w:rFonts w:cs="Arial"/>
          <w:szCs w:val="20"/>
        </w:rPr>
        <w:t xml:space="preserve"> if, for example, the small employer becomes</w:t>
      </w:r>
      <w:r w:rsidR="00326B22">
        <w:rPr>
          <w:rFonts w:cs="Arial"/>
          <w:szCs w:val="20"/>
        </w:rPr>
        <w:t xml:space="preserve"> part of a larger entity or controlled group of entities via a merger or stock purchase</w:t>
      </w:r>
      <w:r w:rsidR="00462998">
        <w:rPr>
          <w:rFonts w:cs="Arial"/>
          <w:szCs w:val="20"/>
        </w:rPr>
        <w:t>. Small employers should not automatically assume that coverage continuation requirements do not apply.</w:t>
      </w:r>
      <w:r w:rsidR="00326B22">
        <w:rPr>
          <w:rFonts w:cs="Arial"/>
          <w:szCs w:val="20"/>
        </w:rPr>
        <w:t xml:space="preserve"> </w:t>
      </w:r>
    </w:p>
    <w:p w14:paraId="07DD9B2B" w14:textId="119654A0" w:rsidR="002C326B" w:rsidRPr="002C326B" w:rsidRDefault="002C326B" w:rsidP="002C326B">
      <w:pPr>
        <w:ind w:left="0"/>
        <w:rPr>
          <w:rFonts w:cs="Arial"/>
          <w:szCs w:val="20"/>
        </w:rPr>
      </w:pPr>
    </w:p>
    <w:p w14:paraId="08B82C0E" w14:textId="75BFCEB5" w:rsidR="002C326B" w:rsidRPr="00D32A75" w:rsidRDefault="00D32A75" w:rsidP="00D32A75">
      <w:pPr>
        <w:shd w:val="clear" w:color="auto" w:fill="FFFFFF"/>
        <w:ind w:left="0"/>
        <w:textAlignment w:val="baseline"/>
        <w:rPr>
          <w:rFonts w:eastAsia="Times New Roman" w:cs="Arial"/>
          <w:color w:val="201F1E"/>
          <w:szCs w:val="20"/>
          <w:lang w:bidi="ar-SA"/>
        </w:rPr>
      </w:pPr>
      <w:r w:rsidRPr="00B0271A">
        <w:rPr>
          <w:rFonts w:eastAsia="Times New Roman" w:cs="Arial"/>
          <w:color w:val="201F1E"/>
          <w:szCs w:val="20"/>
          <w:bdr w:val="none" w:sz="0" w:space="0" w:color="auto" w:frame="1"/>
          <w:lang w:bidi="ar-SA"/>
        </w:rPr>
        <w:t>In the case of a bankruptcy under Chapter 11, COBRA continuation rights may be triggered for certain retirees and their related qualified beneficiaries if the employer has a retiree health plan in place at the time of the bankruptcy.</w:t>
      </w:r>
      <w:r>
        <w:rPr>
          <w:rFonts w:ascii="Times New Roman" w:eastAsia="Times New Roman" w:hAnsi="Times New Roman"/>
          <w:color w:val="201F1E"/>
          <w:sz w:val="24"/>
          <w:szCs w:val="24"/>
          <w:lang w:bidi="ar-SA"/>
        </w:rPr>
        <w:t xml:space="preserve"> </w:t>
      </w:r>
      <w:r w:rsidRPr="00B0271A">
        <w:rPr>
          <w:rFonts w:eastAsia="Times New Roman" w:cs="Arial"/>
          <w:color w:val="201F1E"/>
          <w:szCs w:val="20"/>
          <w:bdr w:val="none" w:sz="0" w:space="0" w:color="auto" w:frame="1"/>
          <w:lang w:bidi="ar-SA"/>
        </w:rPr>
        <w:t>A retiree is entitled to coverage for life.</w:t>
      </w:r>
      <w:r>
        <w:rPr>
          <w:rFonts w:eastAsia="Times New Roman" w:cs="Arial"/>
          <w:color w:val="201F1E"/>
          <w:szCs w:val="20"/>
          <w:bdr w:val="none" w:sz="0" w:space="0" w:color="auto" w:frame="1"/>
          <w:lang w:bidi="ar-SA"/>
        </w:rPr>
        <w:t xml:space="preserve"> </w:t>
      </w:r>
      <w:r w:rsidRPr="00B0271A">
        <w:rPr>
          <w:rFonts w:eastAsia="Times New Roman" w:cs="Arial"/>
          <w:color w:val="201F1E"/>
          <w:szCs w:val="20"/>
          <w:bdr w:val="none" w:sz="0" w:space="0" w:color="auto" w:frame="1"/>
          <w:lang w:bidi="ar-SA"/>
        </w:rPr>
        <w:t>The retiree</w:t>
      </w:r>
      <w:r w:rsidR="006306DC">
        <w:rPr>
          <w:rFonts w:eastAsia="Times New Roman" w:cs="Arial"/>
          <w:color w:val="201F1E"/>
          <w:szCs w:val="20"/>
          <w:bdr w:val="none" w:sz="0" w:space="0" w:color="auto" w:frame="1"/>
          <w:lang w:bidi="ar-SA"/>
        </w:rPr>
        <w:t>’</w:t>
      </w:r>
      <w:r w:rsidRPr="00B0271A">
        <w:rPr>
          <w:rFonts w:eastAsia="Times New Roman" w:cs="Arial"/>
          <w:color w:val="201F1E"/>
          <w:szCs w:val="20"/>
          <w:bdr w:val="none" w:sz="0" w:space="0" w:color="auto" w:frame="1"/>
          <w:lang w:bidi="ar-SA"/>
        </w:rPr>
        <w:t>s spouse and dependent children are entitled to coverage for the life of the retiree, and, if they survive the retiree, for 36 months after the retiree</w:t>
      </w:r>
      <w:r w:rsidR="006306DC">
        <w:rPr>
          <w:rFonts w:eastAsia="Times New Roman" w:cs="Arial"/>
          <w:color w:val="201F1E"/>
          <w:szCs w:val="20"/>
          <w:bdr w:val="none" w:sz="0" w:space="0" w:color="auto" w:frame="1"/>
          <w:lang w:bidi="ar-SA"/>
        </w:rPr>
        <w:t>’</w:t>
      </w:r>
      <w:r w:rsidRPr="00B0271A">
        <w:rPr>
          <w:rFonts w:eastAsia="Times New Roman" w:cs="Arial"/>
          <w:color w:val="201F1E"/>
          <w:szCs w:val="20"/>
          <w:bdr w:val="none" w:sz="0" w:space="0" w:color="auto" w:frame="1"/>
          <w:lang w:bidi="ar-SA"/>
        </w:rPr>
        <w:t>s death. If the retiree is not living when the qualifying event occurs but the retiree</w:t>
      </w:r>
      <w:r w:rsidR="006306DC">
        <w:rPr>
          <w:rFonts w:eastAsia="Times New Roman" w:cs="Arial"/>
          <w:color w:val="201F1E"/>
          <w:szCs w:val="20"/>
          <w:bdr w:val="none" w:sz="0" w:space="0" w:color="auto" w:frame="1"/>
          <w:lang w:bidi="ar-SA"/>
        </w:rPr>
        <w:t>’</w:t>
      </w:r>
      <w:r w:rsidRPr="00B0271A">
        <w:rPr>
          <w:rFonts w:eastAsia="Times New Roman" w:cs="Arial"/>
          <w:color w:val="201F1E"/>
          <w:szCs w:val="20"/>
          <w:bdr w:val="none" w:sz="0" w:space="0" w:color="auto" w:frame="1"/>
          <w:lang w:bidi="ar-SA"/>
        </w:rPr>
        <w:t>s surviving spouse is covered by the group health plan, then that surviving spouse is entitled to coverage for life.</w:t>
      </w:r>
      <w:r w:rsidRPr="0018196A">
        <w:rPr>
          <w:rFonts w:eastAsia="Times New Roman" w:cs="Arial"/>
          <w:color w:val="201F1E"/>
          <w:szCs w:val="20"/>
          <w:lang w:bidi="ar-SA"/>
        </w:rPr>
        <w:t xml:space="preserve"> Bankruptcies often result in M&amp;A transaction</w:t>
      </w:r>
      <w:r w:rsidR="006306DC">
        <w:rPr>
          <w:rFonts w:eastAsia="Times New Roman" w:cs="Arial"/>
          <w:color w:val="201F1E"/>
          <w:szCs w:val="20"/>
          <w:lang w:bidi="ar-SA"/>
        </w:rPr>
        <w:t>s</w:t>
      </w:r>
      <w:r w:rsidRPr="0018196A">
        <w:rPr>
          <w:rFonts w:eastAsia="Times New Roman" w:cs="Arial"/>
          <w:color w:val="201F1E"/>
          <w:szCs w:val="20"/>
          <w:lang w:bidi="ar-SA"/>
        </w:rPr>
        <w:t xml:space="preserve">, in which case </w:t>
      </w:r>
      <w:r w:rsidRPr="0018196A">
        <w:rPr>
          <w:rFonts w:eastAsia="Times New Roman" w:cs="Arial"/>
          <w:color w:val="201F1E"/>
          <w:szCs w:val="20"/>
          <w:bdr w:val="none" w:sz="0" w:space="0" w:color="auto" w:frame="1"/>
          <w:lang w:bidi="ar-SA"/>
        </w:rPr>
        <w:t>s</w:t>
      </w:r>
      <w:r w:rsidRPr="00B0271A">
        <w:rPr>
          <w:rFonts w:eastAsia="Times New Roman" w:cs="Arial"/>
          <w:color w:val="201F1E"/>
          <w:szCs w:val="20"/>
          <w:bdr w:val="none" w:sz="0" w:space="0" w:color="auto" w:frame="1"/>
          <w:lang w:bidi="ar-SA"/>
        </w:rPr>
        <w:t>uch COBRA continuation obligations could transfer to the buyer if the seller discontinues group health plan coverage in connection with the acquisition.</w:t>
      </w:r>
    </w:p>
    <w:p w14:paraId="166C2FF3" w14:textId="31B28A73" w:rsidR="00B0271A" w:rsidRDefault="00B0271A" w:rsidP="007D1706">
      <w:pPr>
        <w:ind w:left="0"/>
        <w:rPr>
          <w:rFonts w:cs="Arial"/>
          <w:szCs w:val="20"/>
        </w:rPr>
      </w:pPr>
    </w:p>
    <w:p w14:paraId="2976385E" w14:textId="0691D919" w:rsidR="007C5BA2" w:rsidRPr="007C5BA2" w:rsidRDefault="007C5BA2" w:rsidP="007D1706">
      <w:pPr>
        <w:ind w:left="0"/>
        <w:rPr>
          <w:rFonts w:cs="Arial"/>
          <w:b/>
          <w:bCs/>
          <w:szCs w:val="20"/>
        </w:rPr>
      </w:pPr>
      <w:r>
        <w:rPr>
          <w:rFonts w:cs="Arial"/>
          <w:b/>
          <w:bCs/>
          <w:szCs w:val="20"/>
        </w:rPr>
        <w:t>S</w:t>
      </w:r>
      <w:r w:rsidR="006D02BC">
        <w:rPr>
          <w:rFonts w:cs="Arial"/>
          <w:b/>
          <w:bCs/>
          <w:szCs w:val="20"/>
        </w:rPr>
        <w:t>ummary</w:t>
      </w:r>
    </w:p>
    <w:p w14:paraId="28596C5A" w14:textId="2D1C149E" w:rsidR="00905E60" w:rsidRPr="00905E60" w:rsidRDefault="00905E60" w:rsidP="00BF3D20">
      <w:pPr>
        <w:shd w:val="clear" w:color="auto" w:fill="FFFFFF"/>
        <w:ind w:left="0"/>
        <w:textAlignment w:val="baseline"/>
        <w:rPr>
          <w:rFonts w:ascii="Calibri" w:eastAsia="Times New Roman" w:hAnsi="Calibri" w:cs="Calibri"/>
          <w:color w:val="323130"/>
          <w:sz w:val="22"/>
          <w:lang w:bidi="ar-SA"/>
        </w:rPr>
      </w:pPr>
      <w:r w:rsidRPr="00905E60">
        <w:rPr>
          <w:rFonts w:eastAsia="Times New Roman" w:cs="Arial"/>
          <w:color w:val="323130"/>
          <w:szCs w:val="20"/>
          <w:bdr w:val="none" w:sz="0" w:space="0" w:color="auto" w:frame="1"/>
          <w:lang w:bidi="ar-SA"/>
        </w:rPr>
        <w:t xml:space="preserve">The </w:t>
      </w:r>
      <w:r w:rsidR="00D32A75">
        <w:rPr>
          <w:rFonts w:eastAsia="Times New Roman" w:cs="Arial"/>
          <w:color w:val="323130"/>
          <w:szCs w:val="20"/>
          <w:bdr w:val="none" w:sz="0" w:space="0" w:color="auto" w:frame="1"/>
          <w:lang w:bidi="ar-SA"/>
        </w:rPr>
        <w:t xml:space="preserve">COBRA </w:t>
      </w:r>
      <w:r w:rsidRPr="00905E60">
        <w:rPr>
          <w:rFonts w:eastAsia="Times New Roman" w:cs="Arial"/>
          <w:color w:val="323130"/>
          <w:szCs w:val="20"/>
          <w:bdr w:val="none" w:sz="0" w:space="0" w:color="auto" w:frame="1"/>
          <w:lang w:bidi="ar-SA"/>
        </w:rPr>
        <w:t xml:space="preserve">rules </w:t>
      </w:r>
      <w:r w:rsidR="00D32A75">
        <w:rPr>
          <w:rFonts w:eastAsia="Times New Roman" w:cs="Arial"/>
          <w:color w:val="323130"/>
          <w:szCs w:val="20"/>
          <w:bdr w:val="none" w:sz="0" w:space="0" w:color="auto" w:frame="1"/>
          <w:lang w:bidi="ar-SA"/>
        </w:rPr>
        <w:t xml:space="preserve">applicable to M&amp;A transactions </w:t>
      </w:r>
      <w:r w:rsidRPr="00905E60">
        <w:rPr>
          <w:rFonts w:eastAsia="Times New Roman" w:cs="Arial"/>
          <w:color w:val="323130"/>
          <w:szCs w:val="20"/>
          <w:bdr w:val="none" w:sz="0" w:space="0" w:color="auto" w:frame="1"/>
          <w:lang w:bidi="ar-SA"/>
        </w:rPr>
        <w:t xml:space="preserve">are fairly complex, </w:t>
      </w:r>
      <w:r w:rsidR="00123A7A">
        <w:rPr>
          <w:rFonts w:eastAsia="Times New Roman" w:cs="Arial"/>
          <w:color w:val="323130"/>
          <w:szCs w:val="20"/>
          <w:bdr w:val="none" w:sz="0" w:space="0" w:color="auto" w:frame="1"/>
          <w:lang w:bidi="ar-SA"/>
        </w:rPr>
        <w:t>so we strongly recommend that</w:t>
      </w:r>
      <w:r w:rsidRPr="00905E60">
        <w:rPr>
          <w:rFonts w:eastAsia="Times New Roman" w:cs="Arial"/>
          <w:color w:val="323130"/>
          <w:szCs w:val="20"/>
          <w:bdr w:val="none" w:sz="0" w:space="0" w:color="auto" w:frame="1"/>
          <w:lang w:bidi="ar-SA"/>
        </w:rPr>
        <w:t xml:space="preserve"> the legal advisors involved in the business transaction be </w:t>
      </w:r>
      <w:r w:rsidR="00A75C0F">
        <w:rPr>
          <w:rFonts w:eastAsia="Times New Roman" w:cs="Arial"/>
          <w:color w:val="323130"/>
          <w:szCs w:val="20"/>
          <w:bdr w:val="none" w:sz="0" w:space="0" w:color="auto" w:frame="1"/>
          <w:lang w:bidi="ar-SA"/>
        </w:rPr>
        <w:t xml:space="preserve">involved in addressing these issues. </w:t>
      </w:r>
      <w:r w:rsidRPr="00905E60">
        <w:rPr>
          <w:rFonts w:eastAsia="Times New Roman" w:cs="Arial"/>
          <w:color w:val="323130"/>
          <w:szCs w:val="20"/>
          <w:bdr w:val="none" w:sz="0" w:space="0" w:color="auto" w:frame="1"/>
          <w:lang w:bidi="ar-SA"/>
        </w:rPr>
        <w:t xml:space="preserve">In addition, it is worthwhile </w:t>
      </w:r>
      <w:r w:rsidR="00A75C0F">
        <w:rPr>
          <w:rFonts w:eastAsia="Times New Roman" w:cs="Arial"/>
          <w:color w:val="323130"/>
          <w:szCs w:val="20"/>
          <w:bdr w:val="none" w:sz="0" w:space="0" w:color="auto" w:frame="1"/>
          <w:lang w:bidi="ar-SA"/>
        </w:rPr>
        <w:t>to coordinate</w:t>
      </w:r>
      <w:r w:rsidRPr="00905E60">
        <w:rPr>
          <w:rFonts w:eastAsia="Times New Roman" w:cs="Arial"/>
          <w:color w:val="323130"/>
          <w:szCs w:val="20"/>
          <w:bdr w:val="none" w:sz="0" w:space="0" w:color="auto" w:frame="1"/>
          <w:lang w:bidi="ar-SA"/>
        </w:rPr>
        <w:t xml:space="preserve"> with carriers</w:t>
      </w:r>
      <w:r w:rsidR="00123A7A">
        <w:rPr>
          <w:rFonts w:eastAsia="Times New Roman" w:cs="Arial"/>
          <w:color w:val="323130"/>
          <w:szCs w:val="20"/>
          <w:bdr w:val="none" w:sz="0" w:space="0" w:color="auto" w:frame="1"/>
          <w:lang w:bidi="ar-SA"/>
        </w:rPr>
        <w:t xml:space="preserve"> (or stop-loss vendors)</w:t>
      </w:r>
      <w:r w:rsidRPr="00905E60">
        <w:rPr>
          <w:rFonts w:eastAsia="Times New Roman" w:cs="Arial"/>
          <w:color w:val="323130"/>
          <w:szCs w:val="20"/>
          <w:bdr w:val="none" w:sz="0" w:space="0" w:color="auto" w:frame="1"/>
          <w:lang w:bidi="ar-SA"/>
        </w:rPr>
        <w:t xml:space="preserve"> prior to the transaction to ensure there are no issues with </w:t>
      </w:r>
      <w:r w:rsidR="006D02BC">
        <w:rPr>
          <w:rFonts w:eastAsia="Times New Roman" w:cs="Arial"/>
          <w:color w:val="323130"/>
          <w:szCs w:val="20"/>
          <w:bdr w:val="none" w:sz="0" w:space="0" w:color="auto" w:frame="1"/>
          <w:lang w:bidi="ar-SA"/>
        </w:rPr>
        <w:t xml:space="preserve">providing coverage to </w:t>
      </w:r>
      <w:r w:rsidRPr="00905E60">
        <w:rPr>
          <w:rFonts w:eastAsia="Times New Roman" w:cs="Arial"/>
          <w:color w:val="323130"/>
          <w:szCs w:val="20"/>
          <w:bdr w:val="none" w:sz="0" w:space="0" w:color="auto" w:frame="1"/>
          <w:lang w:bidi="ar-SA"/>
        </w:rPr>
        <w:t>COBRA</w:t>
      </w:r>
      <w:r w:rsidR="006306DC">
        <w:rPr>
          <w:rFonts w:eastAsia="Times New Roman" w:cs="Arial"/>
          <w:color w:val="323130"/>
          <w:szCs w:val="20"/>
          <w:bdr w:val="none" w:sz="0" w:space="0" w:color="auto" w:frame="1"/>
          <w:lang w:bidi="ar-SA"/>
        </w:rPr>
        <w:t>-</w:t>
      </w:r>
      <w:r w:rsidR="006D02BC">
        <w:rPr>
          <w:rFonts w:eastAsia="Times New Roman" w:cs="Arial"/>
          <w:color w:val="323130"/>
          <w:szCs w:val="20"/>
          <w:bdr w:val="none" w:sz="0" w:space="0" w:color="auto" w:frame="1"/>
          <w:lang w:bidi="ar-SA"/>
        </w:rPr>
        <w:t>qualifying beneficiaries in accordance with these rules and/or the terms negotiated between the M&amp;A parties</w:t>
      </w:r>
      <w:r w:rsidRPr="00905E60">
        <w:rPr>
          <w:rFonts w:eastAsia="Times New Roman" w:cs="Arial"/>
          <w:color w:val="323130"/>
          <w:szCs w:val="20"/>
          <w:bdr w:val="none" w:sz="0" w:space="0" w:color="auto" w:frame="1"/>
          <w:lang w:bidi="ar-SA"/>
        </w:rPr>
        <w:t>.</w:t>
      </w:r>
    </w:p>
    <w:p w14:paraId="27A62B12" w14:textId="77777777" w:rsidR="00905E60" w:rsidRDefault="00905E60" w:rsidP="007D1706">
      <w:pPr>
        <w:ind w:left="0"/>
        <w:rPr>
          <w:rFonts w:cs="Arial"/>
          <w:szCs w:val="20"/>
        </w:rPr>
      </w:pPr>
    </w:p>
    <w:p w14:paraId="502F5D36" w14:textId="4417B2E4" w:rsidR="00864AB8" w:rsidRDefault="00864AB8" w:rsidP="007D1706">
      <w:pPr>
        <w:ind w:left="0"/>
        <w:rPr>
          <w:rFonts w:cs="Arial"/>
          <w:color w:val="323130"/>
          <w:szCs w:val="20"/>
          <w:shd w:val="clear" w:color="auto" w:fill="FFFFFF"/>
        </w:rPr>
      </w:pPr>
    </w:p>
    <w:p w14:paraId="5C36B03D" w14:textId="77777777" w:rsidR="00864AB8" w:rsidRDefault="00864AB8" w:rsidP="007D1706">
      <w:pPr>
        <w:ind w:left="0"/>
        <w:rPr>
          <w:rFonts w:cs="Arial"/>
          <w:szCs w:val="20"/>
        </w:rPr>
      </w:pPr>
    </w:p>
    <w:p w14:paraId="2E696392" w14:textId="77777777" w:rsidR="00E5309F" w:rsidRPr="00856A54" w:rsidRDefault="00E5309F" w:rsidP="007D1706">
      <w:pPr>
        <w:ind w:left="0"/>
        <w:rPr>
          <w:rFonts w:cs="Arial"/>
          <w:szCs w:val="20"/>
        </w:rPr>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F0482" w14:textId="77777777" w:rsidR="004711B6" w:rsidRDefault="004711B6" w:rsidP="006C7EC1">
      <w:r>
        <w:separator/>
      </w:r>
    </w:p>
  </w:endnote>
  <w:endnote w:type="continuationSeparator" w:id="0">
    <w:p w14:paraId="3F800DC9" w14:textId="77777777" w:rsidR="004711B6" w:rsidRDefault="004711B6" w:rsidP="006C7EC1">
      <w:r>
        <w:continuationSeparator/>
      </w:r>
    </w:p>
  </w:endnote>
  <w:endnote w:type="continuationNotice" w:id="1">
    <w:p w14:paraId="70C32D5A" w14:textId="77777777" w:rsidR="004711B6" w:rsidRDefault="00471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AC7A0" w14:textId="77777777" w:rsidR="004711B6" w:rsidRDefault="004711B6" w:rsidP="006C7EC1">
      <w:r>
        <w:separator/>
      </w:r>
    </w:p>
  </w:footnote>
  <w:footnote w:type="continuationSeparator" w:id="0">
    <w:p w14:paraId="0E124A5A" w14:textId="77777777" w:rsidR="004711B6" w:rsidRDefault="004711B6" w:rsidP="006C7EC1">
      <w:r>
        <w:continuationSeparator/>
      </w:r>
    </w:p>
  </w:footnote>
  <w:footnote w:type="continuationNotice" w:id="1">
    <w:p w14:paraId="199B14D3" w14:textId="77777777" w:rsidR="004711B6" w:rsidRDefault="00471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31464"/>
    <w:multiLevelType w:val="hybridMultilevel"/>
    <w:tmpl w:val="E01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D08F2"/>
    <w:multiLevelType w:val="hybridMultilevel"/>
    <w:tmpl w:val="B2A27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56D16"/>
    <w:multiLevelType w:val="hybridMultilevel"/>
    <w:tmpl w:val="6B9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65591"/>
    <w:multiLevelType w:val="hybridMultilevel"/>
    <w:tmpl w:val="C48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A51F3"/>
    <w:multiLevelType w:val="multilevel"/>
    <w:tmpl w:val="5A10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7B3486"/>
    <w:multiLevelType w:val="hybridMultilevel"/>
    <w:tmpl w:val="6298EB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0B0889"/>
    <w:multiLevelType w:val="hybridMultilevel"/>
    <w:tmpl w:val="D31E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4F2C"/>
    <w:multiLevelType w:val="hybridMultilevel"/>
    <w:tmpl w:val="452AAD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9990065"/>
    <w:multiLevelType w:val="hybridMultilevel"/>
    <w:tmpl w:val="5B5C6E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133AA"/>
    <w:multiLevelType w:val="hybridMultilevel"/>
    <w:tmpl w:val="97D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7BB44C2"/>
    <w:multiLevelType w:val="multilevel"/>
    <w:tmpl w:val="F7CC0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3679BB"/>
    <w:multiLevelType w:val="hybridMultilevel"/>
    <w:tmpl w:val="A624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B31D6"/>
    <w:multiLevelType w:val="hybridMultilevel"/>
    <w:tmpl w:val="52A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71A00"/>
    <w:multiLevelType w:val="hybridMultilevel"/>
    <w:tmpl w:val="72A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05132"/>
    <w:multiLevelType w:val="hybridMultilevel"/>
    <w:tmpl w:val="5A3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30"/>
  </w:num>
  <w:num w:numId="3">
    <w:abstractNumId w:val="29"/>
  </w:num>
  <w:num w:numId="4">
    <w:abstractNumId w:val="6"/>
  </w:num>
  <w:num w:numId="5">
    <w:abstractNumId w:val="17"/>
  </w:num>
  <w:num w:numId="6">
    <w:abstractNumId w:val="9"/>
  </w:num>
  <w:num w:numId="7">
    <w:abstractNumId w:val="7"/>
  </w:num>
  <w:num w:numId="8">
    <w:abstractNumId w:val="21"/>
  </w:num>
  <w:num w:numId="9">
    <w:abstractNumId w:val="0"/>
  </w:num>
  <w:num w:numId="10">
    <w:abstractNumId w:val="19"/>
  </w:num>
  <w:num w:numId="11">
    <w:abstractNumId w:val="23"/>
  </w:num>
  <w:num w:numId="12">
    <w:abstractNumId w:val="16"/>
  </w:num>
  <w:num w:numId="13">
    <w:abstractNumId w:val="15"/>
  </w:num>
  <w:num w:numId="14">
    <w:abstractNumId w:val="2"/>
  </w:num>
  <w:num w:numId="15">
    <w:abstractNumId w:val="5"/>
  </w:num>
  <w:num w:numId="16">
    <w:abstractNumId w:val="27"/>
  </w:num>
  <w:num w:numId="17">
    <w:abstractNumId w:val="26"/>
  </w:num>
  <w:num w:numId="18">
    <w:abstractNumId w:val="1"/>
  </w:num>
  <w:num w:numId="19">
    <w:abstractNumId w:val="20"/>
  </w:num>
  <w:num w:numId="20">
    <w:abstractNumId w:val="8"/>
  </w:num>
  <w:num w:numId="21">
    <w:abstractNumId w:val="28"/>
  </w:num>
  <w:num w:numId="22">
    <w:abstractNumId w:val="25"/>
  </w:num>
  <w:num w:numId="23">
    <w:abstractNumId w:val="22"/>
  </w:num>
  <w:num w:numId="24">
    <w:abstractNumId w:val="13"/>
  </w:num>
  <w:num w:numId="25">
    <w:abstractNumId w:val="24"/>
  </w:num>
  <w:num w:numId="26">
    <w:abstractNumId w:val="10"/>
  </w:num>
  <w:num w:numId="27">
    <w:abstractNumId w:val="14"/>
  </w:num>
  <w:num w:numId="28">
    <w:abstractNumId w:val="4"/>
  </w:num>
  <w:num w:numId="29">
    <w:abstractNumId w:val="18"/>
  </w:num>
  <w:num w:numId="30">
    <w:abstractNumId w:val="12"/>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756"/>
    <w:rsid w:val="000130D1"/>
    <w:rsid w:val="00014763"/>
    <w:rsid w:val="00015DD2"/>
    <w:rsid w:val="000166F5"/>
    <w:rsid w:val="00016B03"/>
    <w:rsid w:val="00017813"/>
    <w:rsid w:val="00020C39"/>
    <w:rsid w:val="00027ACB"/>
    <w:rsid w:val="00035EF2"/>
    <w:rsid w:val="000372D4"/>
    <w:rsid w:val="0004025E"/>
    <w:rsid w:val="00040AB3"/>
    <w:rsid w:val="00041D34"/>
    <w:rsid w:val="00041E9A"/>
    <w:rsid w:val="00042D2A"/>
    <w:rsid w:val="00045F42"/>
    <w:rsid w:val="00047242"/>
    <w:rsid w:val="00052094"/>
    <w:rsid w:val="0005496B"/>
    <w:rsid w:val="00056762"/>
    <w:rsid w:val="00057C3B"/>
    <w:rsid w:val="0006084A"/>
    <w:rsid w:val="00060E8C"/>
    <w:rsid w:val="0006208C"/>
    <w:rsid w:val="00065F15"/>
    <w:rsid w:val="00066FF6"/>
    <w:rsid w:val="0007136F"/>
    <w:rsid w:val="00071F3D"/>
    <w:rsid w:val="00074479"/>
    <w:rsid w:val="000824BA"/>
    <w:rsid w:val="00090998"/>
    <w:rsid w:val="00093B13"/>
    <w:rsid w:val="00096B1E"/>
    <w:rsid w:val="000A697A"/>
    <w:rsid w:val="000A746E"/>
    <w:rsid w:val="000B29AB"/>
    <w:rsid w:val="000B4775"/>
    <w:rsid w:val="000B4DEA"/>
    <w:rsid w:val="000B68D9"/>
    <w:rsid w:val="000C0C09"/>
    <w:rsid w:val="000C3603"/>
    <w:rsid w:val="000C409F"/>
    <w:rsid w:val="000C41B5"/>
    <w:rsid w:val="000C442C"/>
    <w:rsid w:val="000C5473"/>
    <w:rsid w:val="000C721A"/>
    <w:rsid w:val="000C78FA"/>
    <w:rsid w:val="000D3FBC"/>
    <w:rsid w:val="000D4539"/>
    <w:rsid w:val="000D5C78"/>
    <w:rsid w:val="000D78EF"/>
    <w:rsid w:val="000E03AB"/>
    <w:rsid w:val="000E668C"/>
    <w:rsid w:val="000F3936"/>
    <w:rsid w:val="000F3F23"/>
    <w:rsid w:val="000F528A"/>
    <w:rsid w:val="000F764D"/>
    <w:rsid w:val="0010150B"/>
    <w:rsid w:val="00103F85"/>
    <w:rsid w:val="00103FD3"/>
    <w:rsid w:val="00104680"/>
    <w:rsid w:val="00107969"/>
    <w:rsid w:val="0011022F"/>
    <w:rsid w:val="0011121E"/>
    <w:rsid w:val="00112649"/>
    <w:rsid w:val="001134BA"/>
    <w:rsid w:val="00113F23"/>
    <w:rsid w:val="0011776C"/>
    <w:rsid w:val="001216D1"/>
    <w:rsid w:val="00123A7A"/>
    <w:rsid w:val="00124F43"/>
    <w:rsid w:val="001432A3"/>
    <w:rsid w:val="0014477C"/>
    <w:rsid w:val="00144A9C"/>
    <w:rsid w:val="00144D3E"/>
    <w:rsid w:val="00146F88"/>
    <w:rsid w:val="00152412"/>
    <w:rsid w:val="00153AF2"/>
    <w:rsid w:val="0015541B"/>
    <w:rsid w:val="00155720"/>
    <w:rsid w:val="00160EF0"/>
    <w:rsid w:val="0016375D"/>
    <w:rsid w:val="00164F6A"/>
    <w:rsid w:val="00172882"/>
    <w:rsid w:val="0018196A"/>
    <w:rsid w:val="001824D9"/>
    <w:rsid w:val="001831CC"/>
    <w:rsid w:val="0018386C"/>
    <w:rsid w:val="00184864"/>
    <w:rsid w:val="00185E4E"/>
    <w:rsid w:val="00187547"/>
    <w:rsid w:val="00194FD3"/>
    <w:rsid w:val="001956A4"/>
    <w:rsid w:val="001A01BC"/>
    <w:rsid w:val="001A2BF1"/>
    <w:rsid w:val="001A4388"/>
    <w:rsid w:val="001A569D"/>
    <w:rsid w:val="001A7955"/>
    <w:rsid w:val="001B1A88"/>
    <w:rsid w:val="001C1B50"/>
    <w:rsid w:val="001C1E40"/>
    <w:rsid w:val="001C256F"/>
    <w:rsid w:val="001C3DB2"/>
    <w:rsid w:val="001C4860"/>
    <w:rsid w:val="001C64ED"/>
    <w:rsid w:val="001C68CC"/>
    <w:rsid w:val="001D1761"/>
    <w:rsid w:val="001D2CD5"/>
    <w:rsid w:val="001D446E"/>
    <w:rsid w:val="001D58D8"/>
    <w:rsid w:val="001D5990"/>
    <w:rsid w:val="001D745D"/>
    <w:rsid w:val="001D77F4"/>
    <w:rsid w:val="001E2972"/>
    <w:rsid w:val="001E622E"/>
    <w:rsid w:val="001F00ED"/>
    <w:rsid w:val="001F0404"/>
    <w:rsid w:val="001F20E5"/>
    <w:rsid w:val="001F3F58"/>
    <w:rsid w:val="001F50F8"/>
    <w:rsid w:val="001F55BC"/>
    <w:rsid w:val="00200664"/>
    <w:rsid w:val="0020244B"/>
    <w:rsid w:val="002111B2"/>
    <w:rsid w:val="00211FC6"/>
    <w:rsid w:val="00212623"/>
    <w:rsid w:val="00212E4A"/>
    <w:rsid w:val="002136F8"/>
    <w:rsid w:val="00223CA7"/>
    <w:rsid w:val="00223CF0"/>
    <w:rsid w:val="002241F3"/>
    <w:rsid w:val="00224D07"/>
    <w:rsid w:val="00226283"/>
    <w:rsid w:val="00227134"/>
    <w:rsid w:val="00231306"/>
    <w:rsid w:val="00232ED4"/>
    <w:rsid w:val="002330A5"/>
    <w:rsid w:val="0023645D"/>
    <w:rsid w:val="00236C0D"/>
    <w:rsid w:val="00243396"/>
    <w:rsid w:val="00244635"/>
    <w:rsid w:val="00244C01"/>
    <w:rsid w:val="00247077"/>
    <w:rsid w:val="00250761"/>
    <w:rsid w:val="00253785"/>
    <w:rsid w:val="00254D8A"/>
    <w:rsid w:val="00255A5D"/>
    <w:rsid w:val="00264869"/>
    <w:rsid w:val="00266771"/>
    <w:rsid w:val="00267C12"/>
    <w:rsid w:val="00270D0F"/>
    <w:rsid w:val="00273B33"/>
    <w:rsid w:val="00273D4E"/>
    <w:rsid w:val="002742E6"/>
    <w:rsid w:val="00277CAA"/>
    <w:rsid w:val="002815D9"/>
    <w:rsid w:val="00291F61"/>
    <w:rsid w:val="00297B20"/>
    <w:rsid w:val="002A761A"/>
    <w:rsid w:val="002B0E56"/>
    <w:rsid w:val="002B2BAE"/>
    <w:rsid w:val="002B4D4C"/>
    <w:rsid w:val="002B72B6"/>
    <w:rsid w:val="002C0A15"/>
    <w:rsid w:val="002C1B58"/>
    <w:rsid w:val="002C326B"/>
    <w:rsid w:val="002C4834"/>
    <w:rsid w:val="002C4ADB"/>
    <w:rsid w:val="002D2CAD"/>
    <w:rsid w:val="002D68CA"/>
    <w:rsid w:val="002D6E4B"/>
    <w:rsid w:val="002D6F6F"/>
    <w:rsid w:val="002E0CD0"/>
    <w:rsid w:val="002E12F2"/>
    <w:rsid w:val="002E164C"/>
    <w:rsid w:val="002E280D"/>
    <w:rsid w:val="002E52E2"/>
    <w:rsid w:val="002E69BE"/>
    <w:rsid w:val="002F023E"/>
    <w:rsid w:val="002F1D78"/>
    <w:rsid w:val="002F3FBC"/>
    <w:rsid w:val="002F5B6A"/>
    <w:rsid w:val="002F5FCD"/>
    <w:rsid w:val="00306EAD"/>
    <w:rsid w:val="00311D22"/>
    <w:rsid w:val="00314066"/>
    <w:rsid w:val="003143F5"/>
    <w:rsid w:val="00315F0E"/>
    <w:rsid w:val="0031698C"/>
    <w:rsid w:val="00317109"/>
    <w:rsid w:val="0032527D"/>
    <w:rsid w:val="0032681D"/>
    <w:rsid w:val="00326B22"/>
    <w:rsid w:val="0033168B"/>
    <w:rsid w:val="00332855"/>
    <w:rsid w:val="00333257"/>
    <w:rsid w:val="00335F51"/>
    <w:rsid w:val="00337651"/>
    <w:rsid w:val="00341F9B"/>
    <w:rsid w:val="00346D40"/>
    <w:rsid w:val="003507D0"/>
    <w:rsid w:val="00350A7D"/>
    <w:rsid w:val="00351DAE"/>
    <w:rsid w:val="003536E9"/>
    <w:rsid w:val="0035725D"/>
    <w:rsid w:val="003606B3"/>
    <w:rsid w:val="00360DD3"/>
    <w:rsid w:val="0036655C"/>
    <w:rsid w:val="00366731"/>
    <w:rsid w:val="00373838"/>
    <w:rsid w:val="0037534B"/>
    <w:rsid w:val="00375AC7"/>
    <w:rsid w:val="00376897"/>
    <w:rsid w:val="00376D4E"/>
    <w:rsid w:val="00377A73"/>
    <w:rsid w:val="00380E82"/>
    <w:rsid w:val="0038451C"/>
    <w:rsid w:val="003902B9"/>
    <w:rsid w:val="0039272A"/>
    <w:rsid w:val="00393B70"/>
    <w:rsid w:val="003964A9"/>
    <w:rsid w:val="00397F1D"/>
    <w:rsid w:val="003A0931"/>
    <w:rsid w:val="003A15A0"/>
    <w:rsid w:val="003A2F66"/>
    <w:rsid w:val="003A7120"/>
    <w:rsid w:val="003B0730"/>
    <w:rsid w:val="003B2F3D"/>
    <w:rsid w:val="003B52B1"/>
    <w:rsid w:val="003B7105"/>
    <w:rsid w:val="003C2C45"/>
    <w:rsid w:val="003C50C6"/>
    <w:rsid w:val="003C5885"/>
    <w:rsid w:val="003C61A1"/>
    <w:rsid w:val="003D0C70"/>
    <w:rsid w:val="003D3ABE"/>
    <w:rsid w:val="003D5BB6"/>
    <w:rsid w:val="003D6019"/>
    <w:rsid w:val="003E1F9E"/>
    <w:rsid w:val="003E4772"/>
    <w:rsid w:val="003E7F11"/>
    <w:rsid w:val="003F2673"/>
    <w:rsid w:val="003F2BC5"/>
    <w:rsid w:val="004019B7"/>
    <w:rsid w:val="004117F0"/>
    <w:rsid w:val="004132DF"/>
    <w:rsid w:val="00421453"/>
    <w:rsid w:val="0042217C"/>
    <w:rsid w:val="00431FC0"/>
    <w:rsid w:val="00440FAD"/>
    <w:rsid w:val="00441113"/>
    <w:rsid w:val="00441B20"/>
    <w:rsid w:val="0044224C"/>
    <w:rsid w:val="00442A3E"/>
    <w:rsid w:val="0044318A"/>
    <w:rsid w:val="004451C2"/>
    <w:rsid w:val="0044576D"/>
    <w:rsid w:val="004504DB"/>
    <w:rsid w:val="00450D6A"/>
    <w:rsid w:val="00453723"/>
    <w:rsid w:val="00453816"/>
    <w:rsid w:val="004547A6"/>
    <w:rsid w:val="00460299"/>
    <w:rsid w:val="00461B0E"/>
    <w:rsid w:val="00462998"/>
    <w:rsid w:val="00464CBE"/>
    <w:rsid w:val="00466807"/>
    <w:rsid w:val="0046786C"/>
    <w:rsid w:val="00467E2A"/>
    <w:rsid w:val="00470E94"/>
    <w:rsid w:val="004711B6"/>
    <w:rsid w:val="004767AA"/>
    <w:rsid w:val="00476F72"/>
    <w:rsid w:val="00477FB8"/>
    <w:rsid w:val="00480728"/>
    <w:rsid w:val="00484888"/>
    <w:rsid w:val="004870C3"/>
    <w:rsid w:val="00490D5F"/>
    <w:rsid w:val="0049425B"/>
    <w:rsid w:val="004A2300"/>
    <w:rsid w:val="004A51E3"/>
    <w:rsid w:val="004B2781"/>
    <w:rsid w:val="004B2826"/>
    <w:rsid w:val="004B4147"/>
    <w:rsid w:val="004B4C6A"/>
    <w:rsid w:val="004B53BE"/>
    <w:rsid w:val="004B6441"/>
    <w:rsid w:val="004B7C6C"/>
    <w:rsid w:val="004C2946"/>
    <w:rsid w:val="004C39C3"/>
    <w:rsid w:val="004C3DB5"/>
    <w:rsid w:val="004C660E"/>
    <w:rsid w:val="004C685A"/>
    <w:rsid w:val="004C69AE"/>
    <w:rsid w:val="004C7E74"/>
    <w:rsid w:val="004D0666"/>
    <w:rsid w:val="004D10AC"/>
    <w:rsid w:val="004D19CD"/>
    <w:rsid w:val="004E1B3E"/>
    <w:rsid w:val="004E2D50"/>
    <w:rsid w:val="004E530D"/>
    <w:rsid w:val="004E77C4"/>
    <w:rsid w:val="004F0122"/>
    <w:rsid w:val="004F12B3"/>
    <w:rsid w:val="004F1328"/>
    <w:rsid w:val="004F38E5"/>
    <w:rsid w:val="004F4484"/>
    <w:rsid w:val="00502802"/>
    <w:rsid w:val="005131EE"/>
    <w:rsid w:val="00514672"/>
    <w:rsid w:val="00520AFD"/>
    <w:rsid w:val="005222EC"/>
    <w:rsid w:val="0052455D"/>
    <w:rsid w:val="00524D6D"/>
    <w:rsid w:val="0053017A"/>
    <w:rsid w:val="00532F84"/>
    <w:rsid w:val="00533BFC"/>
    <w:rsid w:val="0053484C"/>
    <w:rsid w:val="0053695B"/>
    <w:rsid w:val="005378A2"/>
    <w:rsid w:val="00540CCF"/>
    <w:rsid w:val="0054208E"/>
    <w:rsid w:val="00544C20"/>
    <w:rsid w:val="005460AD"/>
    <w:rsid w:val="00554D66"/>
    <w:rsid w:val="0055764A"/>
    <w:rsid w:val="00557DC7"/>
    <w:rsid w:val="0056000B"/>
    <w:rsid w:val="005611AC"/>
    <w:rsid w:val="00563300"/>
    <w:rsid w:val="005660E9"/>
    <w:rsid w:val="005718A9"/>
    <w:rsid w:val="005718C3"/>
    <w:rsid w:val="005724A0"/>
    <w:rsid w:val="00572A67"/>
    <w:rsid w:val="00573C67"/>
    <w:rsid w:val="005751E1"/>
    <w:rsid w:val="00577B52"/>
    <w:rsid w:val="005808F7"/>
    <w:rsid w:val="005810CC"/>
    <w:rsid w:val="00581E82"/>
    <w:rsid w:val="00582DC8"/>
    <w:rsid w:val="00583F06"/>
    <w:rsid w:val="00586252"/>
    <w:rsid w:val="00586571"/>
    <w:rsid w:val="005900FA"/>
    <w:rsid w:val="00590D74"/>
    <w:rsid w:val="00591725"/>
    <w:rsid w:val="005918A5"/>
    <w:rsid w:val="005921C3"/>
    <w:rsid w:val="005926DA"/>
    <w:rsid w:val="005965B8"/>
    <w:rsid w:val="005A21B2"/>
    <w:rsid w:val="005A227E"/>
    <w:rsid w:val="005A31BD"/>
    <w:rsid w:val="005A631F"/>
    <w:rsid w:val="005B0103"/>
    <w:rsid w:val="005B59D9"/>
    <w:rsid w:val="005B59FC"/>
    <w:rsid w:val="005B7806"/>
    <w:rsid w:val="005C2382"/>
    <w:rsid w:val="005C3EFA"/>
    <w:rsid w:val="005C6EF0"/>
    <w:rsid w:val="005D1626"/>
    <w:rsid w:val="005D2391"/>
    <w:rsid w:val="005D297F"/>
    <w:rsid w:val="005D6D8C"/>
    <w:rsid w:val="005E1161"/>
    <w:rsid w:val="005E17F7"/>
    <w:rsid w:val="005E27CD"/>
    <w:rsid w:val="005E4301"/>
    <w:rsid w:val="005F1993"/>
    <w:rsid w:val="005F2269"/>
    <w:rsid w:val="005F26CE"/>
    <w:rsid w:val="005F4D3F"/>
    <w:rsid w:val="005F6CE2"/>
    <w:rsid w:val="005F7A6D"/>
    <w:rsid w:val="006002FE"/>
    <w:rsid w:val="00600FC4"/>
    <w:rsid w:val="006021D3"/>
    <w:rsid w:val="006034D7"/>
    <w:rsid w:val="00604972"/>
    <w:rsid w:val="00605355"/>
    <w:rsid w:val="006102F4"/>
    <w:rsid w:val="00613988"/>
    <w:rsid w:val="006149F2"/>
    <w:rsid w:val="00616FD0"/>
    <w:rsid w:val="00624AE6"/>
    <w:rsid w:val="006259C0"/>
    <w:rsid w:val="006306DC"/>
    <w:rsid w:val="00630D64"/>
    <w:rsid w:val="006325DB"/>
    <w:rsid w:val="00632623"/>
    <w:rsid w:val="00633D0E"/>
    <w:rsid w:val="00644A0B"/>
    <w:rsid w:val="0064520C"/>
    <w:rsid w:val="006466D7"/>
    <w:rsid w:val="00651512"/>
    <w:rsid w:val="00651B68"/>
    <w:rsid w:val="006577E9"/>
    <w:rsid w:val="00657FA9"/>
    <w:rsid w:val="00661E3F"/>
    <w:rsid w:val="006634A7"/>
    <w:rsid w:val="00665FB5"/>
    <w:rsid w:val="00671247"/>
    <w:rsid w:val="006717AA"/>
    <w:rsid w:val="00675439"/>
    <w:rsid w:val="006756CB"/>
    <w:rsid w:val="00684225"/>
    <w:rsid w:val="00685C8D"/>
    <w:rsid w:val="006879C2"/>
    <w:rsid w:val="00694AEC"/>
    <w:rsid w:val="006954EF"/>
    <w:rsid w:val="006A2EBF"/>
    <w:rsid w:val="006A3A71"/>
    <w:rsid w:val="006A6B46"/>
    <w:rsid w:val="006B1545"/>
    <w:rsid w:val="006B23FC"/>
    <w:rsid w:val="006B28BC"/>
    <w:rsid w:val="006B3A19"/>
    <w:rsid w:val="006B4574"/>
    <w:rsid w:val="006B5260"/>
    <w:rsid w:val="006B5654"/>
    <w:rsid w:val="006B649F"/>
    <w:rsid w:val="006C7B72"/>
    <w:rsid w:val="006C7EC1"/>
    <w:rsid w:val="006D02BC"/>
    <w:rsid w:val="006E1247"/>
    <w:rsid w:val="006E2CD4"/>
    <w:rsid w:val="006E3AEC"/>
    <w:rsid w:val="006E4439"/>
    <w:rsid w:val="006F01EE"/>
    <w:rsid w:val="006F4FE5"/>
    <w:rsid w:val="006F72AD"/>
    <w:rsid w:val="007022C4"/>
    <w:rsid w:val="0070365B"/>
    <w:rsid w:val="007047B7"/>
    <w:rsid w:val="00712328"/>
    <w:rsid w:val="00713909"/>
    <w:rsid w:val="00722CCA"/>
    <w:rsid w:val="00726F77"/>
    <w:rsid w:val="0072721D"/>
    <w:rsid w:val="007324EC"/>
    <w:rsid w:val="00733611"/>
    <w:rsid w:val="00733A52"/>
    <w:rsid w:val="007346D2"/>
    <w:rsid w:val="007358F5"/>
    <w:rsid w:val="00736A9B"/>
    <w:rsid w:val="007403EB"/>
    <w:rsid w:val="007414D8"/>
    <w:rsid w:val="00744C75"/>
    <w:rsid w:val="00745632"/>
    <w:rsid w:val="007508F7"/>
    <w:rsid w:val="007609C2"/>
    <w:rsid w:val="007623D3"/>
    <w:rsid w:val="007626B8"/>
    <w:rsid w:val="00764AED"/>
    <w:rsid w:val="00773AE3"/>
    <w:rsid w:val="00773F1D"/>
    <w:rsid w:val="00776816"/>
    <w:rsid w:val="00777B7B"/>
    <w:rsid w:val="007832BF"/>
    <w:rsid w:val="007908B7"/>
    <w:rsid w:val="00790BA4"/>
    <w:rsid w:val="00792F14"/>
    <w:rsid w:val="007956BD"/>
    <w:rsid w:val="00797919"/>
    <w:rsid w:val="007A40FF"/>
    <w:rsid w:val="007A47CD"/>
    <w:rsid w:val="007A7A8C"/>
    <w:rsid w:val="007B4885"/>
    <w:rsid w:val="007C145F"/>
    <w:rsid w:val="007C5BA2"/>
    <w:rsid w:val="007C77AA"/>
    <w:rsid w:val="007C7C7C"/>
    <w:rsid w:val="007C7D72"/>
    <w:rsid w:val="007D1706"/>
    <w:rsid w:val="007D3707"/>
    <w:rsid w:val="007D3E8C"/>
    <w:rsid w:val="007D41B2"/>
    <w:rsid w:val="007D5827"/>
    <w:rsid w:val="007D72B6"/>
    <w:rsid w:val="007E2565"/>
    <w:rsid w:val="007E3205"/>
    <w:rsid w:val="007E4772"/>
    <w:rsid w:val="007E4BD6"/>
    <w:rsid w:val="007E582F"/>
    <w:rsid w:val="007F1010"/>
    <w:rsid w:val="007F27C1"/>
    <w:rsid w:val="007F34B4"/>
    <w:rsid w:val="007F57CF"/>
    <w:rsid w:val="007F634F"/>
    <w:rsid w:val="00800533"/>
    <w:rsid w:val="00800A0A"/>
    <w:rsid w:val="0080349F"/>
    <w:rsid w:val="00803687"/>
    <w:rsid w:val="008052A3"/>
    <w:rsid w:val="0080579A"/>
    <w:rsid w:val="0080584F"/>
    <w:rsid w:val="008104EC"/>
    <w:rsid w:val="008203E8"/>
    <w:rsid w:val="00822C04"/>
    <w:rsid w:val="00824D22"/>
    <w:rsid w:val="0082678E"/>
    <w:rsid w:val="00827418"/>
    <w:rsid w:val="008302ED"/>
    <w:rsid w:val="00830417"/>
    <w:rsid w:val="0083063B"/>
    <w:rsid w:val="008362F4"/>
    <w:rsid w:val="00837783"/>
    <w:rsid w:val="00840509"/>
    <w:rsid w:val="00840DD1"/>
    <w:rsid w:val="008415B9"/>
    <w:rsid w:val="00842FCD"/>
    <w:rsid w:val="008437FB"/>
    <w:rsid w:val="00845C37"/>
    <w:rsid w:val="008477BE"/>
    <w:rsid w:val="00853404"/>
    <w:rsid w:val="008537F8"/>
    <w:rsid w:val="00855D5C"/>
    <w:rsid w:val="00856A54"/>
    <w:rsid w:val="00857C9A"/>
    <w:rsid w:val="00857FDC"/>
    <w:rsid w:val="008615C4"/>
    <w:rsid w:val="0086304F"/>
    <w:rsid w:val="008645AC"/>
    <w:rsid w:val="00864AB8"/>
    <w:rsid w:val="00865D88"/>
    <w:rsid w:val="00866B99"/>
    <w:rsid w:val="0087377B"/>
    <w:rsid w:val="00876DF8"/>
    <w:rsid w:val="00880137"/>
    <w:rsid w:val="00880BA3"/>
    <w:rsid w:val="008828FF"/>
    <w:rsid w:val="00883F9F"/>
    <w:rsid w:val="008874B8"/>
    <w:rsid w:val="00887A72"/>
    <w:rsid w:val="00891545"/>
    <w:rsid w:val="0089536C"/>
    <w:rsid w:val="00897617"/>
    <w:rsid w:val="008A5596"/>
    <w:rsid w:val="008A5DF8"/>
    <w:rsid w:val="008B036B"/>
    <w:rsid w:val="008B6E46"/>
    <w:rsid w:val="008B7124"/>
    <w:rsid w:val="008B76C2"/>
    <w:rsid w:val="008C03BD"/>
    <w:rsid w:val="008C4542"/>
    <w:rsid w:val="008C712B"/>
    <w:rsid w:val="008D0598"/>
    <w:rsid w:val="008D3E7A"/>
    <w:rsid w:val="008D5BAD"/>
    <w:rsid w:val="008E052B"/>
    <w:rsid w:val="008E0604"/>
    <w:rsid w:val="008E2D74"/>
    <w:rsid w:val="008E32B3"/>
    <w:rsid w:val="008E4B3D"/>
    <w:rsid w:val="008E7038"/>
    <w:rsid w:val="008F2B0B"/>
    <w:rsid w:val="008F69A2"/>
    <w:rsid w:val="00905E60"/>
    <w:rsid w:val="00912986"/>
    <w:rsid w:val="00913F40"/>
    <w:rsid w:val="00914A8A"/>
    <w:rsid w:val="00916C51"/>
    <w:rsid w:val="00920347"/>
    <w:rsid w:val="00921C1B"/>
    <w:rsid w:val="00922BDC"/>
    <w:rsid w:val="00923103"/>
    <w:rsid w:val="00926DD1"/>
    <w:rsid w:val="00930A4F"/>
    <w:rsid w:val="009312C4"/>
    <w:rsid w:val="0093597C"/>
    <w:rsid w:val="00942EA1"/>
    <w:rsid w:val="00943165"/>
    <w:rsid w:val="00947696"/>
    <w:rsid w:val="00951D03"/>
    <w:rsid w:val="00952D3E"/>
    <w:rsid w:val="009536DD"/>
    <w:rsid w:val="009629D1"/>
    <w:rsid w:val="0096422B"/>
    <w:rsid w:val="00966B82"/>
    <w:rsid w:val="0096744A"/>
    <w:rsid w:val="00967C19"/>
    <w:rsid w:val="0097001D"/>
    <w:rsid w:val="009704FD"/>
    <w:rsid w:val="00972BD4"/>
    <w:rsid w:val="00976EE7"/>
    <w:rsid w:val="00977B85"/>
    <w:rsid w:val="00991C4E"/>
    <w:rsid w:val="00997C14"/>
    <w:rsid w:val="009A44F1"/>
    <w:rsid w:val="009A4AD6"/>
    <w:rsid w:val="009B2272"/>
    <w:rsid w:val="009B47F1"/>
    <w:rsid w:val="009C3F26"/>
    <w:rsid w:val="009C6456"/>
    <w:rsid w:val="009C6FD1"/>
    <w:rsid w:val="009C7B33"/>
    <w:rsid w:val="009D2536"/>
    <w:rsid w:val="009D2BD5"/>
    <w:rsid w:val="009D30FA"/>
    <w:rsid w:val="009D6B8F"/>
    <w:rsid w:val="009D71FC"/>
    <w:rsid w:val="009E2006"/>
    <w:rsid w:val="009F0EFE"/>
    <w:rsid w:val="009F1035"/>
    <w:rsid w:val="009F381D"/>
    <w:rsid w:val="009F5809"/>
    <w:rsid w:val="009F67B4"/>
    <w:rsid w:val="009F745B"/>
    <w:rsid w:val="009F7649"/>
    <w:rsid w:val="009F7A52"/>
    <w:rsid w:val="00A0378A"/>
    <w:rsid w:val="00A04FB0"/>
    <w:rsid w:val="00A0509F"/>
    <w:rsid w:val="00A05A38"/>
    <w:rsid w:val="00A152ED"/>
    <w:rsid w:val="00A15764"/>
    <w:rsid w:val="00A21DC4"/>
    <w:rsid w:val="00A34FC3"/>
    <w:rsid w:val="00A36CA9"/>
    <w:rsid w:val="00A36D84"/>
    <w:rsid w:val="00A372D6"/>
    <w:rsid w:val="00A4314E"/>
    <w:rsid w:val="00A47E5D"/>
    <w:rsid w:val="00A50245"/>
    <w:rsid w:val="00A51D54"/>
    <w:rsid w:val="00A55870"/>
    <w:rsid w:val="00A56BB2"/>
    <w:rsid w:val="00A60F14"/>
    <w:rsid w:val="00A6121E"/>
    <w:rsid w:val="00A6352B"/>
    <w:rsid w:val="00A66E09"/>
    <w:rsid w:val="00A671B6"/>
    <w:rsid w:val="00A67A5C"/>
    <w:rsid w:val="00A67C0D"/>
    <w:rsid w:val="00A71206"/>
    <w:rsid w:val="00A745E7"/>
    <w:rsid w:val="00A752A0"/>
    <w:rsid w:val="00A75C0F"/>
    <w:rsid w:val="00A80821"/>
    <w:rsid w:val="00A835F3"/>
    <w:rsid w:val="00A84C0E"/>
    <w:rsid w:val="00A90172"/>
    <w:rsid w:val="00A92AD3"/>
    <w:rsid w:val="00A9301F"/>
    <w:rsid w:val="00A94DC8"/>
    <w:rsid w:val="00A953DD"/>
    <w:rsid w:val="00A9585D"/>
    <w:rsid w:val="00AA0AC2"/>
    <w:rsid w:val="00AA3E90"/>
    <w:rsid w:val="00AA6A57"/>
    <w:rsid w:val="00AB0F84"/>
    <w:rsid w:val="00AB2DCF"/>
    <w:rsid w:val="00AB43D5"/>
    <w:rsid w:val="00AB4D8B"/>
    <w:rsid w:val="00AB5E46"/>
    <w:rsid w:val="00AB66C0"/>
    <w:rsid w:val="00AC0700"/>
    <w:rsid w:val="00AC0F82"/>
    <w:rsid w:val="00AC276A"/>
    <w:rsid w:val="00AC5CC4"/>
    <w:rsid w:val="00AC60D1"/>
    <w:rsid w:val="00AD0E64"/>
    <w:rsid w:val="00AD0FF5"/>
    <w:rsid w:val="00AD32EA"/>
    <w:rsid w:val="00AD5E20"/>
    <w:rsid w:val="00AD764F"/>
    <w:rsid w:val="00AE1425"/>
    <w:rsid w:val="00AE2B47"/>
    <w:rsid w:val="00AE33B8"/>
    <w:rsid w:val="00AE5194"/>
    <w:rsid w:val="00AE67A4"/>
    <w:rsid w:val="00AE6854"/>
    <w:rsid w:val="00AE7C27"/>
    <w:rsid w:val="00AE7E33"/>
    <w:rsid w:val="00AF0B9D"/>
    <w:rsid w:val="00B015C5"/>
    <w:rsid w:val="00B0271A"/>
    <w:rsid w:val="00B02C89"/>
    <w:rsid w:val="00B05B7A"/>
    <w:rsid w:val="00B06E74"/>
    <w:rsid w:val="00B1136D"/>
    <w:rsid w:val="00B1142F"/>
    <w:rsid w:val="00B14799"/>
    <w:rsid w:val="00B15106"/>
    <w:rsid w:val="00B15861"/>
    <w:rsid w:val="00B16E4B"/>
    <w:rsid w:val="00B2077C"/>
    <w:rsid w:val="00B23D44"/>
    <w:rsid w:val="00B2474E"/>
    <w:rsid w:val="00B347E4"/>
    <w:rsid w:val="00B36FCD"/>
    <w:rsid w:val="00B448AB"/>
    <w:rsid w:val="00B4621C"/>
    <w:rsid w:val="00B46867"/>
    <w:rsid w:val="00B46ADF"/>
    <w:rsid w:val="00B51640"/>
    <w:rsid w:val="00B51719"/>
    <w:rsid w:val="00B53BC7"/>
    <w:rsid w:val="00B554D2"/>
    <w:rsid w:val="00B55BBA"/>
    <w:rsid w:val="00B568F6"/>
    <w:rsid w:val="00B57B5E"/>
    <w:rsid w:val="00B57CD8"/>
    <w:rsid w:val="00B6090B"/>
    <w:rsid w:val="00B66B60"/>
    <w:rsid w:val="00B72F6D"/>
    <w:rsid w:val="00B76B82"/>
    <w:rsid w:val="00B803FC"/>
    <w:rsid w:val="00B84E4C"/>
    <w:rsid w:val="00B85940"/>
    <w:rsid w:val="00B90848"/>
    <w:rsid w:val="00B92A03"/>
    <w:rsid w:val="00B954EF"/>
    <w:rsid w:val="00B965CC"/>
    <w:rsid w:val="00BA0A35"/>
    <w:rsid w:val="00BA1B50"/>
    <w:rsid w:val="00BA3246"/>
    <w:rsid w:val="00BA6FBA"/>
    <w:rsid w:val="00BB01DD"/>
    <w:rsid w:val="00BB04D8"/>
    <w:rsid w:val="00BB1852"/>
    <w:rsid w:val="00BB478E"/>
    <w:rsid w:val="00BC004D"/>
    <w:rsid w:val="00BC1E4F"/>
    <w:rsid w:val="00BC3B75"/>
    <w:rsid w:val="00BC505C"/>
    <w:rsid w:val="00BC5BB5"/>
    <w:rsid w:val="00BD1121"/>
    <w:rsid w:val="00BD2EC1"/>
    <w:rsid w:val="00BD2F27"/>
    <w:rsid w:val="00BD3888"/>
    <w:rsid w:val="00BD3EE9"/>
    <w:rsid w:val="00BE0984"/>
    <w:rsid w:val="00BE0BDC"/>
    <w:rsid w:val="00BE0C19"/>
    <w:rsid w:val="00BE398F"/>
    <w:rsid w:val="00BE4C26"/>
    <w:rsid w:val="00BE5D51"/>
    <w:rsid w:val="00BE6932"/>
    <w:rsid w:val="00BF3D20"/>
    <w:rsid w:val="00BF434C"/>
    <w:rsid w:val="00BF49EF"/>
    <w:rsid w:val="00BF7D79"/>
    <w:rsid w:val="00C07F42"/>
    <w:rsid w:val="00C13AA4"/>
    <w:rsid w:val="00C14560"/>
    <w:rsid w:val="00C162DF"/>
    <w:rsid w:val="00C24151"/>
    <w:rsid w:val="00C24BAE"/>
    <w:rsid w:val="00C26A3B"/>
    <w:rsid w:val="00C365DB"/>
    <w:rsid w:val="00C37360"/>
    <w:rsid w:val="00C42140"/>
    <w:rsid w:val="00C444A8"/>
    <w:rsid w:val="00C449DE"/>
    <w:rsid w:val="00C52407"/>
    <w:rsid w:val="00C52F29"/>
    <w:rsid w:val="00C5571B"/>
    <w:rsid w:val="00C60F20"/>
    <w:rsid w:val="00C62071"/>
    <w:rsid w:val="00C63B2D"/>
    <w:rsid w:val="00C662A3"/>
    <w:rsid w:val="00C70F5A"/>
    <w:rsid w:val="00C72D0F"/>
    <w:rsid w:val="00C72D4B"/>
    <w:rsid w:val="00C73EB8"/>
    <w:rsid w:val="00C8277D"/>
    <w:rsid w:val="00C85E60"/>
    <w:rsid w:val="00C87533"/>
    <w:rsid w:val="00C87D79"/>
    <w:rsid w:val="00C91641"/>
    <w:rsid w:val="00C91C53"/>
    <w:rsid w:val="00C9399D"/>
    <w:rsid w:val="00CA1FE8"/>
    <w:rsid w:val="00CA22F6"/>
    <w:rsid w:val="00CA680B"/>
    <w:rsid w:val="00CB08F7"/>
    <w:rsid w:val="00CB2087"/>
    <w:rsid w:val="00CB28AF"/>
    <w:rsid w:val="00CB2A7B"/>
    <w:rsid w:val="00CB3105"/>
    <w:rsid w:val="00CB530C"/>
    <w:rsid w:val="00CB541B"/>
    <w:rsid w:val="00CB73CF"/>
    <w:rsid w:val="00CB7F8B"/>
    <w:rsid w:val="00CC057C"/>
    <w:rsid w:val="00CC17E3"/>
    <w:rsid w:val="00CC3CD7"/>
    <w:rsid w:val="00CC3EBB"/>
    <w:rsid w:val="00CC45E1"/>
    <w:rsid w:val="00CC7A01"/>
    <w:rsid w:val="00CD0405"/>
    <w:rsid w:val="00CD3AB1"/>
    <w:rsid w:val="00CD4988"/>
    <w:rsid w:val="00CE15AE"/>
    <w:rsid w:val="00CE1763"/>
    <w:rsid w:val="00CF30A9"/>
    <w:rsid w:val="00CF3647"/>
    <w:rsid w:val="00CF44F7"/>
    <w:rsid w:val="00D00064"/>
    <w:rsid w:val="00D0013D"/>
    <w:rsid w:val="00D00F60"/>
    <w:rsid w:val="00D0224C"/>
    <w:rsid w:val="00D06F47"/>
    <w:rsid w:val="00D079FD"/>
    <w:rsid w:val="00D11FB6"/>
    <w:rsid w:val="00D123E5"/>
    <w:rsid w:val="00D12D97"/>
    <w:rsid w:val="00D147A9"/>
    <w:rsid w:val="00D14868"/>
    <w:rsid w:val="00D1630B"/>
    <w:rsid w:val="00D20571"/>
    <w:rsid w:val="00D223C8"/>
    <w:rsid w:val="00D23F45"/>
    <w:rsid w:val="00D25E06"/>
    <w:rsid w:val="00D26205"/>
    <w:rsid w:val="00D31672"/>
    <w:rsid w:val="00D32A75"/>
    <w:rsid w:val="00D34186"/>
    <w:rsid w:val="00D3714F"/>
    <w:rsid w:val="00D448E1"/>
    <w:rsid w:val="00D44E36"/>
    <w:rsid w:val="00D4529C"/>
    <w:rsid w:val="00D46AAD"/>
    <w:rsid w:val="00D51343"/>
    <w:rsid w:val="00D52271"/>
    <w:rsid w:val="00D54B14"/>
    <w:rsid w:val="00D55E47"/>
    <w:rsid w:val="00D60251"/>
    <w:rsid w:val="00D636DB"/>
    <w:rsid w:val="00D6400E"/>
    <w:rsid w:val="00D669F2"/>
    <w:rsid w:val="00D7079F"/>
    <w:rsid w:val="00D74E3F"/>
    <w:rsid w:val="00D76D80"/>
    <w:rsid w:val="00D80B8E"/>
    <w:rsid w:val="00D80E1E"/>
    <w:rsid w:val="00D9231D"/>
    <w:rsid w:val="00D9323D"/>
    <w:rsid w:val="00D975E7"/>
    <w:rsid w:val="00D97ECB"/>
    <w:rsid w:val="00DA1860"/>
    <w:rsid w:val="00DA1EF8"/>
    <w:rsid w:val="00DA1F14"/>
    <w:rsid w:val="00DA5084"/>
    <w:rsid w:val="00DA6314"/>
    <w:rsid w:val="00DA7C19"/>
    <w:rsid w:val="00DB00D9"/>
    <w:rsid w:val="00DB0BB7"/>
    <w:rsid w:val="00DB1126"/>
    <w:rsid w:val="00DB260B"/>
    <w:rsid w:val="00DB42E7"/>
    <w:rsid w:val="00DB46C3"/>
    <w:rsid w:val="00DB553D"/>
    <w:rsid w:val="00DB5BD3"/>
    <w:rsid w:val="00DC34B1"/>
    <w:rsid w:val="00DC376D"/>
    <w:rsid w:val="00DC50F5"/>
    <w:rsid w:val="00DC5D5A"/>
    <w:rsid w:val="00DC6406"/>
    <w:rsid w:val="00DD04FD"/>
    <w:rsid w:val="00DD1020"/>
    <w:rsid w:val="00DD1F73"/>
    <w:rsid w:val="00DD2734"/>
    <w:rsid w:val="00DD6331"/>
    <w:rsid w:val="00DD69C1"/>
    <w:rsid w:val="00DE428B"/>
    <w:rsid w:val="00DE44DD"/>
    <w:rsid w:val="00DE4E19"/>
    <w:rsid w:val="00DE5FD1"/>
    <w:rsid w:val="00DF24C0"/>
    <w:rsid w:val="00DF345A"/>
    <w:rsid w:val="00DF5D23"/>
    <w:rsid w:val="00DF7B11"/>
    <w:rsid w:val="00DF7FEE"/>
    <w:rsid w:val="00E023A7"/>
    <w:rsid w:val="00E0241C"/>
    <w:rsid w:val="00E03088"/>
    <w:rsid w:val="00E03522"/>
    <w:rsid w:val="00E0400B"/>
    <w:rsid w:val="00E04630"/>
    <w:rsid w:val="00E10762"/>
    <w:rsid w:val="00E32267"/>
    <w:rsid w:val="00E33680"/>
    <w:rsid w:val="00E363F7"/>
    <w:rsid w:val="00E368CF"/>
    <w:rsid w:val="00E3713A"/>
    <w:rsid w:val="00E377FE"/>
    <w:rsid w:val="00E419E1"/>
    <w:rsid w:val="00E420E8"/>
    <w:rsid w:val="00E429E7"/>
    <w:rsid w:val="00E44F0B"/>
    <w:rsid w:val="00E457E7"/>
    <w:rsid w:val="00E462E7"/>
    <w:rsid w:val="00E46F87"/>
    <w:rsid w:val="00E47F52"/>
    <w:rsid w:val="00E50650"/>
    <w:rsid w:val="00E5309F"/>
    <w:rsid w:val="00E53468"/>
    <w:rsid w:val="00E537E1"/>
    <w:rsid w:val="00E55C77"/>
    <w:rsid w:val="00E67648"/>
    <w:rsid w:val="00E67962"/>
    <w:rsid w:val="00E67AB9"/>
    <w:rsid w:val="00E72853"/>
    <w:rsid w:val="00E7404C"/>
    <w:rsid w:val="00E74803"/>
    <w:rsid w:val="00E76581"/>
    <w:rsid w:val="00E773C4"/>
    <w:rsid w:val="00E80811"/>
    <w:rsid w:val="00E830A5"/>
    <w:rsid w:val="00E83744"/>
    <w:rsid w:val="00E83CD0"/>
    <w:rsid w:val="00E84917"/>
    <w:rsid w:val="00E85FF7"/>
    <w:rsid w:val="00E96A0F"/>
    <w:rsid w:val="00E9764E"/>
    <w:rsid w:val="00EA12F5"/>
    <w:rsid w:val="00EA1F11"/>
    <w:rsid w:val="00EB0FBD"/>
    <w:rsid w:val="00EB288F"/>
    <w:rsid w:val="00EB2B80"/>
    <w:rsid w:val="00EB4518"/>
    <w:rsid w:val="00EB54CD"/>
    <w:rsid w:val="00EB6293"/>
    <w:rsid w:val="00EB6674"/>
    <w:rsid w:val="00EB7532"/>
    <w:rsid w:val="00EC0DBF"/>
    <w:rsid w:val="00EC3CEA"/>
    <w:rsid w:val="00EC6C15"/>
    <w:rsid w:val="00ED513F"/>
    <w:rsid w:val="00ED645B"/>
    <w:rsid w:val="00EE24D4"/>
    <w:rsid w:val="00EE2BF7"/>
    <w:rsid w:val="00EE2F1D"/>
    <w:rsid w:val="00EE5111"/>
    <w:rsid w:val="00EF1C04"/>
    <w:rsid w:val="00EF4A2D"/>
    <w:rsid w:val="00EF5910"/>
    <w:rsid w:val="00EF7919"/>
    <w:rsid w:val="00F0185C"/>
    <w:rsid w:val="00F04E3C"/>
    <w:rsid w:val="00F059AB"/>
    <w:rsid w:val="00F06079"/>
    <w:rsid w:val="00F11EC0"/>
    <w:rsid w:val="00F12F1B"/>
    <w:rsid w:val="00F14F76"/>
    <w:rsid w:val="00F208D8"/>
    <w:rsid w:val="00F256AC"/>
    <w:rsid w:val="00F36451"/>
    <w:rsid w:val="00F3716F"/>
    <w:rsid w:val="00F440C1"/>
    <w:rsid w:val="00F44660"/>
    <w:rsid w:val="00F50305"/>
    <w:rsid w:val="00F51BB5"/>
    <w:rsid w:val="00F51DF1"/>
    <w:rsid w:val="00F535E7"/>
    <w:rsid w:val="00F55CEF"/>
    <w:rsid w:val="00F562CC"/>
    <w:rsid w:val="00F57124"/>
    <w:rsid w:val="00F617E4"/>
    <w:rsid w:val="00F63CAB"/>
    <w:rsid w:val="00F64D3B"/>
    <w:rsid w:val="00F65565"/>
    <w:rsid w:val="00F70102"/>
    <w:rsid w:val="00F7135C"/>
    <w:rsid w:val="00F72BF6"/>
    <w:rsid w:val="00F7610F"/>
    <w:rsid w:val="00F80D9C"/>
    <w:rsid w:val="00F83367"/>
    <w:rsid w:val="00F877B8"/>
    <w:rsid w:val="00F909F2"/>
    <w:rsid w:val="00F90A18"/>
    <w:rsid w:val="00F949F2"/>
    <w:rsid w:val="00F97E77"/>
    <w:rsid w:val="00FA0739"/>
    <w:rsid w:val="00FA1426"/>
    <w:rsid w:val="00FA1BD0"/>
    <w:rsid w:val="00FA2303"/>
    <w:rsid w:val="00FA4C44"/>
    <w:rsid w:val="00FA4FD2"/>
    <w:rsid w:val="00FA5593"/>
    <w:rsid w:val="00FB0360"/>
    <w:rsid w:val="00FB5805"/>
    <w:rsid w:val="00FB6812"/>
    <w:rsid w:val="00FC1040"/>
    <w:rsid w:val="00FC1066"/>
    <w:rsid w:val="00FC2561"/>
    <w:rsid w:val="00FC4834"/>
    <w:rsid w:val="00FC6987"/>
    <w:rsid w:val="00FC69CE"/>
    <w:rsid w:val="00FC70FE"/>
    <w:rsid w:val="00FD0F26"/>
    <w:rsid w:val="00FD20BF"/>
    <w:rsid w:val="00FE27B6"/>
    <w:rsid w:val="00FE2B1C"/>
    <w:rsid w:val="00FE2EAE"/>
    <w:rsid w:val="00FE3029"/>
    <w:rsid w:val="00FE422D"/>
    <w:rsid w:val="00FF47BA"/>
    <w:rsid w:val="00FF4835"/>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A52"/>
    <w:pPr>
      <w:ind w:left="720"/>
      <w:contextualSpacing/>
    </w:pPr>
  </w:style>
  <w:style w:type="character" w:customStyle="1" w:styleId="size">
    <w:name w:val="size"/>
    <w:basedOn w:val="DefaultParagraphFont"/>
    <w:rsid w:val="00DC34B1"/>
  </w:style>
  <w:style w:type="character" w:customStyle="1" w:styleId="markacnc4sntc">
    <w:name w:val="markacnc4sntc"/>
    <w:basedOn w:val="DefaultParagraphFont"/>
    <w:rsid w:val="00824D22"/>
  </w:style>
  <w:style w:type="character" w:customStyle="1" w:styleId="mark8sgv6mrjw">
    <w:name w:val="mark8sgv6mrjw"/>
    <w:basedOn w:val="DefaultParagraphFont"/>
    <w:rsid w:val="00824D22"/>
  </w:style>
  <w:style w:type="character" w:customStyle="1" w:styleId="markfdka4ahsb">
    <w:name w:val="markfdka4ahsb"/>
    <w:basedOn w:val="DefaultParagraphFont"/>
    <w:rsid w:val="00857FDC"/>
  </w:style>
  <w:style w:type="character" w:customStyle="1" w:styleId="markeen7b1pw1">
    <w:name w:val="markeen7b1pw1"/>
    <w:basedOn w:val="DefaultParagraphFont"/>
    <w:rsid w:val="00C365DB"/>
  </w:style>
  <w:style w:type="character" w:customStyle="1" w:styleId="marklghjjieoh">
    <w:name w:val="marklghjjieoh"/>
    <w:basedOn w:val="DefaultParagraphFont"/>
    <w:rsid w:val="00A745E7"/>
  </w:style>
  <w:style w:type="character" w:customStyle="1" w:styleId="mark2mfvgckbk">
    <w:name w:val="mark2mfvgckbk"/>
    <w:basedOn w:val="DefaultParagraphFont"/>
    <w:rsid w:val="00A745E7"/>
  </w:style>
  <w:style w:type="character" w:customStyle="1" w:styleId="mark20vfahqfo">
    <w:name w:val="mark20vfahqfo"/>
    <w:basedOn w:val="DefaultParagraphFont"/>
    <w:rsid w:val="0064520C"/>
  </w:style>
  <w:style w:type="character" w:customStyle="1" w:styleId="mark0itb2gom2">
    <w:name w:val="mark0itb2gom2"/>
    <w:basedOn w:val="DefaultParagraphFont"/>
    <w:rsid w:val="00CB3105"/>
  </w:style>
  <w:style w:type="character" w:customStyle="1" w:styleId="marklfzedy2tj">
    <w:name w:val="marklfzedy2tj"/>
    <w:basedOn w:val="DefaultParagraphFont"/>
    <w:rsid w:val="00CB3105"/>
  </w:style>
  <w:style w:type="character" w:customStyle="1" w:styleId="markk31yog5st">
    <w:name w:val="markk31yog5st"/>
    <w:basedOn w:val="DefaultParagraphFont"/>
    <w:rsid w:val="00B0271A"/>
  </w:style>
  <w:style w:type="character" w:customStyle="1" w:styleId="mark9qesl6e3u">
    <w:name w:val="mark9qesl6e3u"/>
    <w:basedOn w:val="DefaultParagraphFont"/>
    <w:rsid w:val="00D2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400057674">
      <w:bodyDiv w:val="1"/>
      <w:marLeft w:val="0"/>
      <w:marRight w:val="0"/>
      <w:marTop w:val="0"/>
      <w:marBottom w:val="0"/>
      <w:divBdr>
        <w:top w:val="none" w:sz="0" w:space="0" w:color="auto"/>
        <w:left w:val="none" w:sz="0" w:space="0" w:color="auto"/>
        <w:bottom w:val="none" w:sz="0" w:space="0" w:color="auto"/>
        <w:right w:val="none" w:sz="0" w:space="0" w:color="auto"/>
      </w:divBdr>
      <w:divsChild>
        <w:div w:id="146359431">
          <w:marLeft w:val="0"/>
          <w:marRight w:val="0"/>
          <w:marTop w:val="0"/>
          <w:marBottom w:val="0"/>
          <w:divBdr>
            <w:top w:val="none" w:sz="0" w:space="0" w:color="auto"/>
            <w:left w:val="none" w:sz="0" w:space="0" w:color="auto"/>
            <w:bottom w:val="none" w:sz="0" w:space="0" w:color="auto"/>
            <w:right w:val="none" w:sz="0" w:space="0" w:color="auto"/>
          </w:divBdr>
        </w:div>
      </w:divsChild>
    </w:div>
    <w:div w:id="806364253">
      <w:bodyDiv w:val="1"/>
      <w:marLeft w:val="0"/>
      <w:marRight w:val="0"/>
      <w:marTop w:val="0"/>
      <w:marBottom w:val="0"/>
      <w:divBdr>
        <w:top w:val="none" w:sz="0" w:space="0" w:color="auto"/>
        <w:left w:val="none" w:sz="0" w:space="0" w:color="auto"/>
        <w:bottom w:val="none" w:sz="0" w:space="0" w:color="auto"/>
        <w:right w:val="none" w:sz="0" w:space="0" w:color="auto"/>
      </w:divBdr>
      <w:divsChild>
        <w:div w:id="1163354697">
          <w:marLeft w:val="0"/>
          <w:marRight w:val="0"/>
          <w:marTop w:val="0"/>
          <w:marBottom w:val="0"/>
          <w:divBdr>
            <w:top w:val="none" w:sz="0" w:space="0" w:color="auto"/>
            <w:left w:val="none" w:sz="0" w:space="0" w:color="auto"/>
            <w:bottom w:val="none" w:sz="0" w:space="0" w:color="auto"/>
            <w:right w:val="none" w:sz="0" w:space="0" w:color="auto"/>
          </w:divBdr>
        </w:div>
        <w:div w:id="978539470">
          <w:marLeft w:val="0"/>
          <w:marRight w:val="0"/>
          <w:marTop w:val="0"/>
          <w:marBottom w:val="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924220638">
      <w:bodyDiv w:val="1"/>
      <w:marLeft w:val="0"/>
      <w:marRight w:val="0"/>
      <w:marTop w:val="0"/>
      <w:marBottom w:val="0"/>
      <w:divBdr>
        <w:top w:val="none" w:sz="0" w:space="0" w:color="auto"/>
        <w:left w:val="none" w:sz="0" w:space="0" w:color="auto"/>
        <w:bottom w:val="none" w:sz="0" w:space="0" w:color="auto"/>
        <w:right w:val="none" w:sz="0" w:space="0" w:color="auto"/>
      </w:divBdr>
    </w:div>
    <w:div w:id="1162505506">
      <w:bodyDiv w:val="1"/>
      <w:marLeft w:val="0"/>
      <w:marRight w:val="0"/>
      <w:marTop w:val="0"/>
      <w:marBottom w:val="0"/>
      <w:divBdr>
        <w:top w:val="none" w:sz="0" w:space="0" w:color="auto"/>
        <w:left w:val="none" w:sz="0" w:space="0" w:color="auto"/>
        <w:bottom w:val="none" w:sz="0" w:space="0" w:color="auto"/>
        <w:right w:val="none" w:sz="0" w:space="0" w:color="auto"/>
      </w:divBdr>
      <w:divsChild>
        <w:div w:id="936016246">
          <w:marLeft w:val="0"/>
          <w:marRight w:val="0"/>
          <w:marTop w:val="0"/>
          <w:marBottom w:val="0"/>
          <w:divBdr>
            <w:top w:val="none" w:sz="0" w:space="0" w:color="auto"/>
            <w:left w:val="none" w:sz="0" w:space="0" w:color="auto"/>
            <w:bottom w:val="none" w:sz="0" w:space="0" w:color="auto"/>
            <w:right w:val="none" w:sz="0" w:space="0" w:color="auto"/>
          </w:divBdr>
        </w:div>
      </w:divsChild>
    </w:div>
    <w:div w:id="1275670100">
      <w:bodyDiv w:val="1"/>
      <w:marLeft w:val="0"/>
      <w:marRight w:val="0"/>
      <w:marTop w:val="0"/>
      <w:marBottom w:val="0"/>
      <w:divBdr>
        <w:top w:val="none" w:sz="0" w:space="0" w:color="auto"/>
        <w:left w:val="none" w:sz="0" w:space="0" w:color="auto"/>
        <w:bottom w:val="none" w:sz="0" w:space="0" w:color="auto"/>
        <w:right w:val="none" w:sz="0" w:space="0" w:color="auto"/>
      </w:divBdr>
      <w:divsChild>
        <w:div w:id="185487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2359">
              <w:marLeft w:val="0"/>
              <w:marRight w:val="0"/>
              <w:marTop w:val="0"/>
              <w:marBottom w:val="0"/>
              <w:divBdr>
                <w:top w:val="none" w:sz="0" w:space="0" w:color="auto"/>
                <w:left w:val="none" w:sz="0" w:space="0" w:color="auto"/>
                <w:bottom w:val="none" w:sz="0" w:space="0" w:color="auto"/>
                <w:right w:val="none" w:sz="0" w:space="0" w:color="auto"/>
              </w:divBdr>
              <w:divsChild>
                <w:div w:id="293609207">
                  <w:marLeft w:val="0"/>
                  <w:marRight w:val="0"/>
                  <w:marTop w:val="0"/>
                  <w:marBottom w:val="0"/>
                  <w:divBdr>
                    <w:top w:val="none" w:sz="0" w:space="0" w:color="auto"/>
                    <w:left w:val="none" w:sz="0" w:space="0" w:color="auto"/>
                    <w:bottom w:val="none" w:sz="0" w:space="0" w:color="auto"/>
                    <w:right w:val="none" w:sz="0" w:space="0" w:color="auto"/>
                  </w:divBdr>
                  <w:divsChild>
                    <w:div w:id="711803839">
                      <w:marLeft w:val="0"/>
                      <w:marRight w:val="0"/>
                      <w:marTop w:val="0"/>
                      <w:marBottom w:val="0"/>
                      <w:divBdr>
                        <w:top w:val="none" w:sz="0" w:space="0" w:color="auto"/>
                        <w:left w:val="none" w:sz="0" w:space="0" w:color="auto"/>
                        <w:bottom w:val="none" w:sz="0" w:space="0" w:color="auto"/>
                        <w:right w:val="none" w:sz="0" w:space="0" w:color="auto"/>
                      </w:divBdr>
                      <w:divsChild>
                        <w:div w:id="634405720">
                          <w:marLeft w:val="0"/>
                          <w:marRight w:val="0"/>
                          <w:marTop w:val="0"/>
                          <w:marBottom w:val="0"/>
                          <w:divBdr>
                            <w:top w:val="none" w:sz="0" w:space="0" w:color="auto"/>
                            <w:left w:val="none" w:sz="0" w:space="0" w:color="auto"/>
                            <w:bottom w:val="none" w:sz="0" w:space="0" w:color="auto"/>
                            <w:right w:val="none" w:sz="0" w:space="0" w:color="auto"/>
                          </w:divBdr>
                          <w:divsChild>
                            <w:div w:id="5285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20543">
      <w:bodyDiv w:val="1"/>
      <w:marLeft w:val="0"/>
      <w:marRight w:val="0"/>
      <w:marTop w:val="0"/>
      <w:marBottom w:val="0"/>
      <w:divBdr>
        <w:top w:val="none" w:sz="0" w:space="0" w:color="auto"/>
        <w:left w:val="none" w:sz="0" w:space="0" w:color="auto"/>
        <w:bottom w:val="none" w:sz="0" w:space="0" w:color="auto"/>
        <w:right w:val="none" w:sz="0" w:space="0" w:color="auto"/>
      </w:divBdr>
      <w:divsChild>
        <w:div w:id="1067999424">
          <w:marLeft w:val="0"/>
          <w:marRight w:val="0"/>
          <w:marTop w:val="0"/>
          <w:marBottom w:val="0"/>
          <w:divBdr>
            <w:top w:val="none" w:sz="0" w:space="0" w:color="auto"/>
            <w:left w:val="none" w:sz="0" w:space="0" w:color="auto"/>
            <w:bottom w:val="none" w:sz="0" w:space="0" w:color="auto"/>
            <w:right w:val="none" w:sz="0" w:space="0" w:color="auto"/>
          </w:divBdr>
        </w:div>
      </w:divsChild>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89706365">
      <w:bodyDiv w:val="1"/>
      <w:marLeft w:val="0"/>
      <w:marRight w:val="0"/>
      <w:marTop w:val="0"/>
      <w:marBottom w:val="0"/>
      <w:divBdr>
        <w:top w:val="none" w:sz="0" w:space="0" w:color="auto"/>
        <w:left w:val="none" w:sz="0" w:space="0" w:color="auto"/>
        <w:bottom w:val="none" w:sz="0" w:space="0" w:color="auto"/>
        <w:right w:val="none" w:sz="0" w:space="0" w:color="auto"/>
      </w:divBdr>
    </w:div>
    <w:div w:id="1509103288">
      <w:bodyDiv w:val="1"/>
      <w:marLeft w:val="0"/>
      <w:marRight w:val="0"/>
      <w:marTop w:val="0"/>
      <w:marBottom w:val="0"/>
      <w:divBdr>
        <w:top w:val="none" w:sz="0" w:space="0" w:color="auto"/>
        <w:left w:val="none" w:sz="0" w:space="0" w:color="auto"/>
        <w:bottom w:val="none" w:sz="0" w:space="0" w:color="auto"/>
        <w:right w:val="none" w:sz="0" w:space="0" w:color="auto"/>
      </w:divBdr>
      <w:divsChild>
        <w:div w:id="1213351146">
          <w:marLeft w:val="0"/>
          <w:marRight w:val="0"/>
          <w:marTop w:val="0"/>
          <w:marBottom w:val="0"/>
          <w:divBdr>
            <w:top w:val="none" w:sz="0" w:space="0" w:color="auto"/>
            <w:left w:val="none" w:sz="0" w:space="0" w:color="auto"/>
            <w:bottom w:val="none" w:sz="0" w:space="0" w:color="auto"/>
            <w:right w:val="none" w:sz="0" w:space="0" w:color="auto"/>
          </w:divBdr>
        </w:div>
        <w:div w:id="1737123964">
          <w:marLeft w:val="0"/>
          <w:marRight w:val="0"/>
          <w:marTop w:val="0"/>
          <w:marBottom w:val="0"/>
          <w:divBdr>
            <w:top w:val="none" w:sz="0" w:space="0" w:color="auto"/>
            <w:left w:val="none" w:sz="0" w:space="0" w:color="auto"/>
            <w:bottom w:val="none" w:sz="0" w:space="0" w:color="auto"/>
            <w:right w:val="none" w:sz="0" w:space="0" w:color="auto"/>
          </w:divBdr>
        </w:div>
        <w:div w:id="95097336">
          <w:marLeft w:val="0"/>
          <w:marRight w:val="0"/>
          <w:marTop w:val="0"/>
          <w:marBottom w:val="0"/>
          <w:divBdr>
            <w:top w:val="none" w:sz="0" w:space="0" w:color="auto"/>
            <w:left w:val="none" w:sz="0" w:space="0" w:color="auto"/>
            <w:bottom w:val="none" w:sz="0" w:space="0" w:color="auto"/>
            <w:right w:val="none" w:sz="0" w:space="0" w:color="auto"/>
          </w:divBdr>
        </w:div>
      </w:divsChild>
    </w:div>
    <w:div w:id="1510951464">
      <w:bodyDiv w:val="1"/>
      <w:marLeft w:val="0"/>
      <w:marRight w:val="0"/>
      <w:marTop w:val="0"/>
      <w:marBottom w:val="0"/>
      <w:divBdr>
        <w:top w:val="none" w:sz="0" w:space="0" w:color="auto"/>
        <w:left w:val="none" w:sz="0" w:space="0" w:color="auto"/>
        <w:bottom w:val="none" w:sz="0" w:space="0" w:color="auto"/>
        <w:right w:val="none" w:sz="0" w:space="0" w:color="auto"/>
      </w:divBdr>
      <w:divsChild>
        <w:div w:id="19931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814782">
              <w:marLeft w:val="0"/>
              <w:marRight w:val="0"/>
              <w:marTop w:val="0"/>
              <w:marBottom w:val="0"/>
              <w:divBdr>
                <w:top w:val="none" w:sz="0" w:space="0" w:color="auto"/>
                <w:left w:val="none" w:sz="0" w:space="0" w:color="auto"/>
                <w:bottom w:val="none" w:sz="0" w:space="0" w:color="auto"/>
                <w:right w:val="none" w:sz="0" w:space="0" w:color="auto"/>
              </w:divBdr>
              <w:divsChild>
                <w:div w:id="1621649677">
                  <w:marLeft w:val="0"/>
                  <w:marRight w:val="0"/>
                  <w:marTop w:val="0"/>
                  <w:marBottom w:val="0"/>
                  <w:divBdr>
                    <w:top w:val="none" w:sz="0" w:space="0" w:color="auto"/>
                    <w:left w:val="none" w:sz="0" w:space="0" w:color="auto"/>
                    <w:bottom w:val="none" w:sz="0" w:space="0" w:color="auto"/>
                    <w:right w:val="none" w:sz="0" w:space="0" w:color="auto"/>
                  </w:divBdr>
                  <w:divsChild>
                    <w:div w:id="1693066215">
                      <w:marLeft w:val="0"/>
                      <w:marRight w:val="0"/>
                      <w:marTop w:val="0"/>
                      <w:marBottom w:val="0"/>
                      <w:divBdr>
                        <w:top w:val="none" w:sz="0" w:space="0" w:color="auto"/>
                        <w:left w:val="none" w:sz="0" w:space="0" w:color="auto"/>
                        <w:bottom w:val="none" w:sz="0" w:space="0" w:color="auto"/>
                        <w:right w:val="none" w:sz="0" w:space="0" w:color="auto"/>
                      </w:divBdr>
                      <w:divsChild>
                        <w:div w:id="1933318265">
                          <w:marLeft w:val="0"/>
                          <w:marRight w:val="0"/>
                          <w:marTop w:val="0"/>
                          <w:marBottom w:val="0"/>
                          <w:divBdr>
                            <w:top w:val="none" w:sz="0" w:space="0" w:color="auto"/>
                            <w:left w:val="none" w:sz="0" w:space="0" w:color="auto"/>
                            <w:bottom w:val="none" w:sz="0" w:space="0" w:color="auto"/>
                            <w:right w:val="none" w:sz="0" w:space="0" w:color="auto"/>
                          </w:divBdr>
                          <w:divsChild>
                            <w:div w:id="5163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1" ma:contentTypeDescription="Create a new document." ma:contentTypeScope="" ma:versionID="461f89d9e09e5105e098f0e058372348">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059e7169824374300e5c634b14b7a1b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F720A-FF4E-4417-BB83-30CB17D4A2EB}">
  <ds:schemaRefs>
    <ds:schemaRef ds:uri="http://schemas.microsoft.com/sharepoint/v3/contenttype/forms"/>
  </ds:schemaRefs>
</ds:datastoreItem>
</file>

<file path=customXml/itemProps2.xml><?xml version="1.0" encoding="utf-8"?>
<ds:datastoreItem xmlns:ds="http://schemas.openxmlformats.org/officeDocument/2006/customXml" ds:itemID="{6CAB9314-D11D-446D-96A6-7E5D22C6D8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DE4AA-883E-48AA-AE49-492EF72EE7BC}">
  <ds:schemaRefs>
    <ds:schemaRef ds:uri="http://schemas.openxmlformats.org/officeDocument/2006/bibliography"/>
  </ds:schemaRefs>
</ds:datastoreItem>
</file>

<file path=customXml/itemProps4.xml><?xml version="1.0" encoding="utf-8"?>
<ds:datastoreItem xmlns:ds="http://schemas.openxmlformats.org/officeDocument/2006/customXml" ds:itemID="{FF005708-5A26-4929-9974-66F954B93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Anthony Radecki</cp:lastModifiedBy>
  <cp:revision>2</cp:revision>
  <cp:lastPrinted>2015-06-13T20:42:00Z</cp:lastPrinted>
  <dcterms:created xsi:type="dcterms:W3CDTF">2020-06-23T15:34:00Z</dcterms:created>
  <dcterms:modified xsi:type="dcterms:W3CDTF">2020-06-23T15:34:00Z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