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E5871" w14:textId="7A51612C" w:rsidR="00102C3F" w:rsidRDefault="001029DC" w:rsidP="00D20E25">
      <w:r>
        <w:rPr>
          <w:noProof/>
        </w:rPr>
        <w:drawing>
          <wp:anchor distT="0" distB="0" distL="114300" distR="114300" simplePos="0" relativeHeight="251658240" behindDoc="1" locked="0" layoutInCell="1" allowOverlap="1" wp14:anchorId="2B5EF197" wp14:editId="5D8AD622">
            <wp:simplePos x="0" y="0"/>
            <wp:positionH relativeFrom="column">
              <wp:posOffset>-718185</wp:posOffset>
            </wp:positionH>
            <wp:positionV relativeFrom="paragraph">
              <wp:posOffset>-894715</wp:posOffset>
            </wp:positionV>
            <wp:extent cx="8684260" cy="868680"/>
            <wp:effectExtent l="0" t="0" r="2540" b="0"/>
            <wp:wrapNone/>
            <wp:docPr id="2" name="Picture 8" descr="Description: header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header_print"/>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426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9E5">
        <w:rPr>
          <w:noProof/>
        </w:rPr>
        <mc:AlternateContent>
          <mc:Choice Requires="wps">
            <w:drawing>
              <wp:anchor distT="0" distB="0" distL="114300" distR="114300" simplePos="0" relativeHeight="251657216" behindDoc="0" locked="0" layoutInCell="1" allowOverlap="1" wp14:anchorId="7F9FAA8D" wp14:editId="1F09C53B">
                <wp:simplePos x="0" y="0"/>
                <wp:positionH relativeFrom="column">
                  <wp:posOffset>3504565</wp:posOffset>
                </wp:positionH>
                <wp:positionV relativeFrom="paragraph">
                  <wp:posOffset>-603250</wp:posOffset>
                </wp:positionV>
                <wp:extent cx="2895600" cy="399415"/>
                <wp:effectExtent l="0" t="0" r="635"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BFD8D" w14:textId="77777777" w:rsidR="005C07B5" w:rsidRPr="009B5ABE" w:rsidRDefault="005C07B5" w:rsidP="00D20E25">
                            <w:pPr>
                              <w:jc w:val="right"/>
                              <w:rPr>
                                <w:color w:val="FFFFFF"/>
                                <w:sz w:val="44"/>
                                <w:szCs w:val="44"/>
                              </w:rPr>
                            </w:pPr>
                            <w:r w:rsidRPr="009B5ABE">
                              <w:rPr>
                                <w:color w:val="FFFFFF"/>
                                <w:sz w:val="44"/>
                                <w:szCs w:val="44"/>
                              </w:rPr>
                              <w:t>Compliance Alert</w:t>
                            </w:r>
                          </w:p>
                          <w:p w14:paraId="4D6AECFA" w14:textId="77777777" w:rsidR="005C07B5" w:rsidRPr="00D636DB" w:rsidRDefault="005C07B5" w:rsidP="00D20E25">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9FAA8D" id="_x0000_t202" coordsize="21600,21600" o:spt="202" path="m,l,21600r21600,l21600,xe">
                <v:stroke joinstyle="miter"/>
                <v:path gradientshapeok="t" o:connecttype="rect"/>
              </v:shapetype>
              <v:shape id="Text Box 9" o:spid="_x0000_s1026" type="#_x0000_t202" style="position:absolute;margin-left:275.95pt;margin-top:-47.5pt;width:228pt;height:3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" filled="f" stroked="f">
                <v:path arrowok="t"/>
                <v:textbox>
                  <w:txbxContent>
                    <w:p w14:paraId="59EBFD8D" w14:textId="77777777" w:rsidR="005C07B5" w:rsidRPr="009B5ABE" w:rsidRDefault="005C07B5" w:rsidP="00D20E25">
                      <w:pPr>
                        <w:jc w:val="right"/>
                        <w:rPr>
                          <w:color w:val="FFFFFF"/>
                          <w:sz w:val="44"/>
                          <w:szCs w:val="44"/>
                        </w:rPr>
                      </w:pPr>
                      <w:r w:rsidRPr="009B5ABE">
                        <w:rPr>
                          <w:color w:val="FFFFFF"/>
                          <w:sz w:val="44"/>
                          <w:szCs w:val="44"/>
                        </w:rPr>
                        <w:t>Compliance Alert</w:t>
                      </w:r>
                    </w:p>
                    <w:p w14:paraId="4D6AECFA" w14:textId="77777777" w:rsidR="005C07B5" w:rsidRPr="00D636DB" w:rsidRDefault="005C07B5" w:rsidP="00D20E25">
                      <w:pPr>
                        <w:jc w:val="right"/>
                      </w:pPr>
                    </w:p>
                  </w:txbxContent>
                </v:textbox>
              </v:shape>
            </w:pict>
          </mc:Fallback>
        </mc:AlternateContent>
      </w:r>
    </w:p>
    <w:p w14:paraId="03B38C4B" w14:textId="77777777" w:rsidR="00383956" w:rsidRDefault="00383956" w:rsidP="00D20E25">
      <w:pPr>
        <w:pStyle w:val="Heading1"/>
      </w:pPr>
    </w:p>
    <w:p w14:paraId="1A19D74A" w14:textId="11D665B0" w:rsidR="00ED14BC" w:rsidRPr="00317FA1" w:rsidRDefault="00317FA1" w:rsidP="00ED14BC">
      <w:pPr>
        <w:pStyle w:val="MediumGrid2-Accent11"/>
        <w:rPr>
          <w:b/>
          <w:bCs/>
          <w:sz w:val="24"/>
          <w:szCs w:val="24"/>
          <w:lang w:val="en-US"/>
        </w:rPr>
      </w:pPr>
      <w:r>
        <w:rPr>
          <w:b/>
          <w:bCs/>
          <w:sz w:val="24"/>
          <w:szCs w:val="24"/>
          <w:lang w:val="en-US"/>
        </w:rPr>
        <w:t>Updated</w:t>
      </w:r>
      <w:r w:rsidR="00ED14BC" w:rsidRPr="00A14BE0">
        <w:rPr>
          <w:b/>
          <w:bCs/>
          <w:sz w:val="24"/>
          <w:szCs w:val="24"/>
        </w:rPr>
        <w:t xml:space="preserve"> PCORI Fees </w:t>
      </w:r>
      <w:r>
        <w:rPr>
          <w:b/>
          <w:bCs/>
          <w:sz w:val="24"/>
          <w:szCs w:val="24"/>
          <w:lang w:val="en-US"/>
        </w:rPr>
        <w:t>Released</w:t>
      </w:r>
    </w:p>
    <w:p w14:paraId="09E18D45" w14:textId="77777777" w:rsidR="007C54B2" w:rsidRPr="00ED14BC" w:rsidRDefault="007C54B2" w:rsidP="00ED14BC">
      <w:pPr>
        <w:pStyle w:val="MediumGrid2-Accent11"/>
        <w:rPr>
          <w:b/>
          <w:bCs/>
        </w:rPr>
      </w:pPr>
    </w:p>
    <w:p w14:paraId="6C64F4A4" w14:textId="67E3BD44" w:rsidR="00ED14BC" w:rsidRPr="00A14BE0" w:rsidRDefault="00ED14BC" w:rsidP="00ED14BC">
      <w:pPr>
        <w:pStyle w:val="MediumGrid2-Accent11"/>
        <w:rPr>
          <w:b/>
          <w:bCs/>
          <w:lang w:val="en-US"/>
        </w:rPr>
      </w:pPr>
      <w:r w:rsidRPr="00A14BE0">
        <w:rPr>
          <w:b/>
          <w:bCs/>
        </w:rPr>
        <w:t xml:space="preserve">Issue Date: </w:t>
      </w:r>
      <w:r w:rsidR="00317FA1">
        <w:rPr>
          <w:b/>
          <w:bCs/>
          <w:lang w:val="en-US"/>
        </w:rPr>
        <w:t>June 8,</w:t>
      </w:r>
      <w:r w:rsidRPr="00A14BE0">
        <w:rPr>
          <w:b/>
          <w:bCs/>
        </w:rPr>
        <w:t xml:space="preserve"> 20</w:t>
      </w:r>
      <w:r w:rsidR="007C54B2" w:rsidRPr="00A14BE0">
        <w:rPr>
          <w:b/>
          <w:bCs/>
          <w:lang w:val="en-US"/>
        </w:rPr>
        <w:t>20</w:t>
      </w:r>
    </w:p>
    <w:p w14:paraId="780A31B5" w14:textId="77777777" w:rsidR="00ED14BC" w:rsidRPr="00ED14BC" w:rsidRDefault="00ED14BC" w:rsidP="00ED14BC">
      <w:pPr>
        <w:pStyle w:val="MediumGrid2-Accent11"/>
      </w:pPr>
    </w:p>
    <w:p w14:paraId="3A21EFF4" w14:textId="3D50E286" w:rsidR="0099053D" w:rsidRPr="00317FA1" w:rsidRDefault="00317FA1" w:rsidP="0099053D">
      <w:pPr>
        <w:pStyle w:val="MediumGrid2-Accent11"/>
        <w:rPr>
          <w:lang w:val="en-US"/>
        </w:rPr>
      </w:pPr>
      <w:r>
        <w:rPr>
          <w:lang w:val="en-US"/>
        </w:rPr>
        <w:t xml:space="preserve">In Notice 2020-44, the IRS provided the adjusted PCORI fees for plan years </w:t>
      </w:r>
      <w:r w:rsidR="00390803">
        <w:rPr>
          <w:lang w:val="en-US"/>
        </w:rPr>
        <w:t>ending</w:t>
      </w:r>
      <w:r>
        <w:rPr>
          <w:lang w:val="en-US"/>
        </w:rPr>
        <w:t xml:space="preserve"> in October 20</w:t>
      </w:r>
      <w:r w:rsidR="00390803">
        <w:rPr>
          <w:lang w:val="en-US"/>
        </w:rPr>
        <w:t>19</w:t>
      </w:r>
      <w:r>
        <w:rPr>
          <w:lang w:val="en-US"/>
        </w:rPr>
        <w:t xml:space="preserve"> through September 202</w:t>
      </w:r>
      <w:r w:rsidR="00390803">
        <w:rPr>
          <w:lang w:val="en-US"/>
        </w:rPr>
        <w:t>0</w:t>
      </w:r>
      <w:r>
        <w:rPr>
          <w:lang w:val="en-US"/>
        </w:rPr>
        <w:t>. The guidance does not provide for an extension of the July 31</w:t>
      </w:r>
      <w:r w:rsidRPr="00317FA1">
        <w:rPr>
          <w:vertAlign w:val="superscript"/>
          <w:lang w:val="en-US"/>
        </w:rPr>
        <w:t>st</w:t>
      </w:r>
      <w:r>
        <w:rPr>
          <w:lang w:val="en-US"/>
        </w:rPr>
        <w:t xml:space="preserve"> deadline to report and pay the PCORI fee, but there is a bit of relief provided for certain plans in the method used to count covered lives.</w:t>
      </w:r>
    </w:p>
    <w:p w14:paraId="42FF3F94" w14:textId="69656303" w:rsidR="00ED14BC" w:rsidRDefault="00ED14BC" w:rsidP="00ED14BC">
      <w:pPr>
        <w:pStyle w:val="MediumGrid2-Accent11"/>
      </w:pPr>
    </w:p>
    <w:p w14:paraId="719447F9" w14:textId="4CC3EFB4" w:rsidR="00A14BE0" w:rsidRPr="00317FA1" w:rsidRDefault="00A14BE0" w:rsidP="00ED14BC">
      <w:pPr>
        <w:pStyle w:val="MediumGrid2-Accent11"/>
        <w:rPr>
          <w:lang w:val="en-US"/>
        </w:rPr>
      </w:pPr>
    </w:p>
    <w:p w14:paraId="5536E5BC" w14:textId="77777777" w:rsidR="0099053D" w:rsidRPr="0099053D" w:rsidRDefault="0099053D" w:rsidP="00ED14BC">
      <w:pPr>
        <w:pStyle w:val="MediumGrid2-Accent11"/>
        <w:rPr>
          <w:b/>
          <w:lang w:val="en-US"/>
        </w:rPr>
      </w:pPr>
      <w:r>
        <w:rPr>
          <w:b/>
          <w:lang w:val="en-US"/>
        </w:rPr>
        <w:t>Background</w:t>
      </w:r>
    </w:p>
    <w:p w14:paraId="5D8DF46C" w14:textId="1F00CEAD" w:rsidR="00317FA1" w:rsidRDefault="00A14BE0" w:rsidP="0099053D">
      <w:pPr>
        <w:pStyle w:val="MediumGrid2-Accent11"/>
      </w:pPr>
      <w:r>
        <w:rPr>
          <w:lang w:val="en-US"/>
        </w:rPr>
        <w:t>General s</w:t>
      </w:r>
      <w:proofErr w:type="spellStart"/>
      <w:r w:rsidRPr="00ED14BC">
        <w:t>ummary</w:t>
      </w:r>
      <w:proofErr w:type="spellEnd"/>
      <w:r w:rsidRPr="00ED14BC">
        <w:t xml:space="preserve"> information regarding PCORI fees can be found at </w:t>
      </w:r>
      <w:hyperlink r:id="rId12" w:history="1">
        <w:r w:rsidRPr="00ED14BC">
          <w:rPr>
            <w:rStyle w:val="Hyperlink"/>
          </w:rPr>
          <w:t>https://www.irs.gov/newsroom/patient-centered-outcomes-research-institute-fee</w:t>
        </w:r>
      </w:hyperlink>
      <w:r>
        <w:rPr>
          <w:lang w:val="en-US"/>
        </w:rPr>
        <w:t xml:space="preserve">. </w:t>
      </w:r>
      <w:r w:rsidRPr="00ED14BC">
        <w:t xml:space="preserve">The PCORI fee applies to most group health plans, </w:t>
      </w:r>
      <w:r w:rsidR="00317FA1">
        <w:rPr>
          <w:lang w:val="en-US"/>
        </w:rPr>
        <w:t xml:space="preserve">including HRAs, </w:t>
      </w:r>
      <w:r w:rsidRPr="00ED14BC">
        <w:t xml:space="preserve">but not to excepted benefits. </w:t>
      </w:r>
      <w:r w:rsidR="00317FA1" w:rsidRPr="00ED14BC">
        <w:t>Health insurance carriers pay the fee directly in the case of fully-insured plans</w:t>
      </w:r>
      <w:r w:rsidR="00317FA1">
        <w:rPr>
          <w:lang w:val="en-US"/>
        </w:rPr>
        <w:t xml:space="preserve">, but employers are responsible for reporting and paying the fee for any self-funded group health plans, including HRAs. </w:t>
      </w:r>
      <w:r w:rsidR="00317FA1" w:rsidRPr="00ED14BC">
        <w:t xml:space="preserve">The fee is paid using quarterly excise tax Form 720 and must </w:t>
      </w:r>
      <w:r w:rsidR="00317FA1">
        <w:rPr>
          <w:lang w:val="en-US"/>
        </w:rPr>
        <w:t xml:space="preserve">generally </w:t>
      </w:r>
      <w:r w:rsidR="00317FA1" w:rsidRPr="00ED14BC">
        <w:t>be paid no later than July 31</w:t>
      </w:r>
      <w:r w:rsidR="00317FA1" w:rsidRPr="007C54B2">
        <w:rPr>
          <w:vertAlign w:val="superscript"/>
          <w:lang w:val="en-US"/>
        </w:rPr>
        <w:t>st</w:t>
      </w:r>
      <w:r w:rsidR="00317FA1">
        <w:rPr>
          <w:lang w:val="en-US"/>
        </w:rPr>
        <w:t xml:space="preserve"> </w:t>
      </w:r>
      <w:r w:rsidR="00317FA1" w:rsidRPr="00ED14BC">
        <w:t>of the year following the last day of the plan year.</w:t>
      </w:r>
    </w:p>
    <w:p w14:paraId="14FCFBE0" w14:textId="77777777" w:rsidR="00317FA1" w:rsidRDefault="00317FA1" w:rsidP="0099053D">
      <w:pPr>
        <w:pStyle w:val="MediumGrid2-Accent11"/>
      </w:pPr>
    </w:p>
    <w:p w14:paraId="1545888D" w14:textId="77777777" w:rsidR="00A14BE0" w:rsidRPr="00ED14BC" w:rsidRDefault="00A14BE0" w:rsidP="00ED14BC">
      <w:pPr>
        <w:pStyle w:val="MediumGrid2-Accent11"/>
      </w:pPr>
    </w:p>
    <w:p w14:paraId="5654FF75" w14:textId="02EB8A9B" w:rsidR="00ED14BC" w:rsidRPr="00A14BE0" w:rsidRDefault="00ED14BC" w:rsidP="00ED14BC">
      <w:pPr>
        <w:pStyle w:val="MediumGrid2-Accent11"/>
        <w:rPr>
          <w:b/>
          <w:lang w:val="en-US"/>
        </w:rPr>
      </w:pPr>
      <w:r w:rsidRPr="00ED14BC">
        <w:rPr>
          <w:b/>
        </w:rPr>
        <w:t>Fee</w:t>
      </w:r>
      <w:r w:rsidR="00A14BE0">
        <w:rPr>
          <w:b/>
          <w:lang w:val="en-US"/>
        </w:rPr>
        <w:t xml:space="preserve"> Amount</w:t>
      </w:r>
    </w:p>
    <w:p w14:paraId="15D90C04" w14:textId="7B4A1AE5" w:rsidR="00ED14BC" w:rsidRPr="00ED14BC" w:rsidRDefault="00ED14BC" w:rsidP="00ED14BC">
      <w:pPr>
        <w:pStyle w:val="MediumGrid2-Accent11"/>
      </w:pPr>
      <w:r w:rsidRPr="00ED14BC">
        <w:t xml:space="preserve">Payment amounts due </w:t>
      </w:r>
      <w:r w:rsidR="00390803">
        <w:rPr>
          <w:lang w:val="en-US"/>
        </w:rPr>
        <w:t>by July 31,</w:t>
      </w:r>
      <w:r w:rsidRPr="00ED14BC">
        <w:t xml:space="preserve"> 20</w:t>
      </w:r>
      <w:r w:rsidR="007C54B2">
        <w:rPr>
          <w:lang w:val="en-US"/>
        </w:rPr>
        <w:t xml:space="preserve">20 </w:t>
      </w:r>
      <w:r w:rsidRPr="00ED14BC">
        <w:t xml:space="preserve">differ based on the employer’s plan year. </w:t>
      </w:r>
    </w:p>
    <w:p w14:paraId="42AEB298" w14:textId="394241EF" w:rsidR="00ED14BC" w:rsidRPr="00ED14BC" w:rsidRDefault="00ED14BC" w:rsidP="00ED14BC">
      <w:pPr>
        <w:pStyle w:val="MediumGrid2-Accent11"/>
        <w:numPr>
          <w:ilvl w:val="0"/>
          <w:numId w:val="39"/>
        </w:numPr>
      </w:pPr>
      <w:r w:rsidRPr="00ED14BC">
        <w:t>$2.</w:t>
      </w:r>
      <w:r w:rsidR="007C54B2">
        <w:rPr>
          <w:lang w:val="en-US"/>
        </w:rPr>
        <w:t>45</w:t>
      </w:r>
      <w:r w:rsidRPr="00ED14BC">
        <w:t xml:space="preserve"> per covered life for plan years ending in January – September 201</w:t>
      </w:r>
      <w:r w:rsidR="007C54B2">
        <w:rPr>
          <w:lang w:val="en-US"/>
        </w:rPr>
        <w:t>9</w:t>
      </w:r>
      <w:r w:rsidRPr="00ED14BC">
        <w:t>.</w:t>
      </w:r>
    </w:p>
    <w:p w14:paraId="43065373" w14:textId="08328A24" w:rsidR="00ED14BC" w:rsidRDefault="00317FA1" w:rsidP="00ED14BC">
      <w:pPr>
        <w:pStyle w:val="MediumGrid2-Accent11"/>
        <w:numPr>
          <w:ilvl w:val="0"/>
          <w:numId w:val="39"/>
        </w:numPr>
      </w:pPr>
      <w:r>
        <w:rPr>
          <w:lang w:val="en-US"/>
        </w:rPr>
        <w:t>$2.54</w:t>
      </w:r>
      <w:r w:rsidR="00ED14BC" w:rsidRPr="00ED14BC">
        <w:t xml:space="preserve"> per covered life for plan years ending in October – December 201</w:t>
      </w:r>
      <w:r w:rsidR="007C54B2">
        <w:rPr>
          <w:lang w:val="en-US"/>
        </w:rPr>
        <w:t>9</w:t>
      </w:r>
      <w:r w:rsidR="00ED14BC" w:rsidRPr="00ED14BC">
        <w:t>.</w:t>
      </w:r>
    </w:p>
    <w:p w14:paraId="15EA49EB" w14:textId="582270BF" w:rsidR="00390803" w:rsidRDefault="00390803" w:rsidP="00390803">
      <w:pPr>
        <w:pStyle w:val="MediumGrid2-Accent11"/>
      </w:pPr>
    </w:p>
    <w:p w14:paraId="3C4C27F4" w14:textId="7E9AD238" w:rsidR="00390803" w:rsidRDefault="00390803" w:rsidP="00390803">
      <w:pPr>
        <w:pStyle w:val="MediumGrid2-Accent11"/>
        <w:rPr>
          <w:lang w:val="en-US"/>
        </w:rPr>
      </w:pPr>
      <w:r>
        <w:rPr>
          <w:lang w:val="en-US"/>
        </w:rPr>
        <w:t xml:space="preserve">NOTE: The IRS chart illustrating plan year end dates and applicable fees has not yet been updated to reflect the adjusted PCORI fees for plan years ending in October through December 2020. You can find the chart here - </w:t>
      </w:r>
      <w:hyperlink r:id="rId13" w:history="1">
        <w:r>
          <w:rPr>
            <w:rStyle w:val="Hyperlink"/>
          </w:rPr>
          <w:t>https://www.irs.gov/affordable-care-act/patient-centered-outreach-research-institute-filing-due-dates-and-applicable-rates</w:t>
        </w:r>
      </w:hyperlink>
      <w:r>
        <w:rPr>
          <w:lang w:val="en-US"/>
        </w:rPr>
        <w:t>. The Form 720 (Line 133) has not been updated yet either.</w:t>
      </w:r>
    </w:p>
    <w:p w14:paraId="403F178F" w14:textId="77777777" w:rsidR="00390803" w:rsidRPr="00390803" w:rsidRDefault="00390803" w:rsidP="00390803">
      <w:pPr>
        <w:pStyle w:val="MediumGrid2-Accent11"/>
        <w:rPr>
          <w:lang w:val="en-US"/>
        </w:rPr>
      </w:pPr>
    </w:p>
    <w:p w14:paraId="64BC41A2" w14:textId="08DBE3FB" w:rsidR="00ED14BC" w:rsidRDefault="00ED14BC" w:rsidP="00ED14BC">
      <w:pPr>
        <w:pStyle w:val="MediumGrid2-Accent11"/>
      </w:pPr>
    </w:p>
    <w:p w14:paraId="252EE268" w14:textId="56002FA4" w:rsidR="00ED14BC" w:rsidRPr="00390803" w:rsidRDefault="00ED14BC" w:rsidP="00390803">
      <w:pPr>
        <w:rPr>
          <w:lang w:eastAsia="x-none"/>
        </w:rPr>
      </w:pPr>
      <w:r w:rsidRPr="00ED14BC">
        <w:rPr>
          <w:b/>
        </w:rPr>
        <w:t>Calculating the Average Covered Lives</w:t>
      </w:r>
      <w:r w:rsidR="00E5056F">
        <w:rPr>
          <w:b/>
        </w:rPr>
        <w:t xml:space="preserve"> </w:t>
      </w:r>
      <w:r w:rsidR="00CC212E">
        <w:rPr>
          <w:b/>
        </w:rPr>
        <w:t>- Transition Relief</w:t>
      </w:r>
    </w:p>
    <w:p w14:paraId="12B0819B" w14:textId="4E31C0E0" w:rsidR="00ED14BC" w:rsidRPr="00ED14BC" w:rsidRDefault="00ED14BC" w:rsidP="00ED14BC">
      <w:pPr>
        <w:pStyle w:val="MediumGrid2-Accent11"/>
      </w:pPr>
      <w:r w:rsidRPr="00ED14BC">
        <w:t xml:space="preserve">Self-funded plans may </w:t>
      </w:r>
      <w:r w:rsidR="00E5056F">
        <w:rPr>
          <w:lang w:val="en-US"/>
        </w:rPr>
        <w:t xml:space="preserve">generally </w:t>
      </w:r>
      <w:r w:rsidRPr="00ED14BC">
        <w:t>use one of three methods to determine the average covered lives</w:t>
      </w:r>
      <w:r w:rsidR="00E5056F">
        <w:rPr>
          <w:lang w:val="en-US"/>
        </w:rPr>
        <w:t xml:space="preserve"> used for reporting and paying the PCORI fee</w:t>
      </w:r>
      <w:r w:rsidR="00390803">
        <w:rPr>
          <w:lang w:val="en-US"/>
        </w:rPr>
        <w:t>: (i) the actual count method; (ii) the snapshot method; or (iii) the Form 5500 method</w:t>
      </w:r>
      <w:r w:rsidRPr="00ED14BC">
        <w:t>. </w:t>
      </w:r>
      <w:r w:rsidR="00390803">
        <w:rPr>
          <w:color w:val="3D3D3D"/>
          <w:sz w:val="21"/>
          <w:szCs w:val="21"/>
          <w:shd w:val="clear" w:color="auto" w:fill="FFFFFF"/>
        </w:rPr>
        <w:t>Plan sponsors must stick with one method for the entire plan year, but are allowed to change from year to year. </w:t>
      </w:r>
      <w:r w:rsidR="00390803">
        <w:rPr>
          <w:lang w:val="en-US"/>
        </w:rPr>
        <w:t xml:space="preserve"> </w:t>
      </w:r>
      <w:r w:rsidRPr="00ED14BC">
        <w:t xml:space="preserve"> </w:t>
      </w:r>
      <w:bookmarkStart w:id="0" w:name="HCRFRM:4264.11"/>
      <w:bookmarkEnd w:id="0"/>
    </w:p>
    <w:p w14:paraId="30D0583F" w14:textId="720A0555" w:rsidR="00ED14BC" w:rsidRDefault="00ED14BC" w:rsidP="00ED14BC">
      <w:pPr>
        <w:pStyle w:val="MediumGrid2-Accent11"/>
      </w:pPr>
    </w:p>
    <w:p w14:paraId="057B84CB" w14:textId="151A0EAE" w:rsidR="00390803" w:rsidRPr="00390803" w:rsidRDefault="00390803" w:rsidP="00E5056F">
      <w:pPr>
        <w:pStyle w:val="MediumGrid2-Accent11"/>
        <w:rPr>
          <w:lang w:val="en-US"/>
        </w:rPr>
      </w:pPr>
      <w:r>
        <w:rPr>
          <w:lang w:val="en-US"/>
        </w:rPr>
        <w:t xml:space="preserve">Due to the fact that employers of self-funded plans ending in October 2020 or later may not have been tracking covered lives because the PCORI fee was supposed to expire, </w:t>
      </w:r>
      <w:r w:rsidR="00E5056F">
        <w:rPr>
          <w:lang w:val="en-US"/>
        </w:rPr>
        <w:t xml:space="preserve">in addition to the counting methods set forth above, such employers are also permitted to use </w:t>
      </w:r>
      <w:r w:rsidR="00E5056F" w:rsidRPr="00E5056F">
        <w:rPr>
          <w:b/>
          <w:bCs/>
          <w:i/>
          <w:iCs/>
          <w:lang w:val="en-US"/>
        </w:rPr>
        <w:t>any reasonable method</w:t>
      </w:r>
      <w:r w:rsidR="00E5056F" w:rsidRPr="00E5056F">
        <w:rPr>
          <w:lang w:val="en-US"/>
        </w:rPr>
        <w:t xml:space="preserve"> to</w:t>
      </w:r>
      <w:r w:rsidR="00E5056F">
        <w:rPr>
          <w:lang w:val="en-US"/>
        </w:rPr>
        <w:t xml:space="preserve"> </w:t>
      </w:r>
      <w:r w:rsidR="00E5056F" w:rsidRPr="00E5056F">
        <w:rPr>
          <w:lang w:val="en-US"/>
        </w:rPr>
        <w:t xml:space="preserve">calculate the average number of covered lives </w:t>
      </w:r>
      <w:r w:rsidR="00E5056F">
        <w:rPr>
          <w:lang w:val="en-US"/>
        </w:rPr>
        <w:t>so long as</w:t>
      </w:r>
      <w:r w:rsidR="00E5056F" w:rsidRPr="00E5056F">
        <w:rPr>
          <w:lang w:val="en-US"/>
        </w:rPr>
        <w:t xml:space="preserve"> </w:t>
      </w:r>
      <w:r w:rsidR="00E5056F">
        <w:rPr>
          <w:lang w:val="en-US"/>
        </w:rPr>
        <w:t xml:space="preserve">the method is used </w:t>
      </w:r>
      <w:r w:rsidR="00E5056F" w:rsidRPr="00E5056F">
        <w:rPr>
          <w:lang w:val="en-US"/>
        </w:rPr>
        <w:t>consistently for the duration of the plan year</w:t>
      </w:r>
      <w:r w:rsidR="00E5056F">
        <w:rPr>
          <w:lang w:val="en-US"/>
        </w:rPr>
        <w:t>.</w:t>
      </w:r>
    </w:p>
    <w:p w14:paraId="1D3816CD" w14:textId="77777777" w:rsidR="006E42C0" w:rsidRDefault="006E42C0" w:rsidP="00D20E25">
      <w:pPr>
        <w:pStyle w:val="MediumGrid2-Accent11"/>
      </w:pPr>
    </w:p>
    <w:p w14:paraId="0BCF8620" w14:textId="55575BCE" w:rsidR="00515089" w:rsidRDefault="00515089" w:rsidP="00D20E25">
      <w:pPr>
        <w:pStyle w:val="MediumGrid2-Accent11"/>
      </w:pPr>
    </w:p>
    <w:p w14:paraId="1369DFF4" w14:textId="77777777" w:rsidR="00A14BE0" w:rsidRPr="00D20E25" w:rsidRDefault="00A14BE0" w:rsidP="00D20E25">
      <w:pPr>
        <w:pStyle w:val="MediumGrid2-Accent11"/>
      </w:pPr>
    </w:p>
    <w:p w14:paraId="33593053" w14:textId="77777777" w:rsidR="008362F4" w:rsidRPr="00D20E25" w:rsidRDefault="0035725D" w:rsidP="00D20E25">
      <w:pPr>
        <w:pStyle w:val="MediumGrid2-Accent11"/>
        <w:rPr>
          <w:i/>
          <w:sz w:val="16"/>
          <w:szCs w:val="16"/>
        </w:rPr>
      </w:pPr>
      <w:r w:rsidRPr="00D20E2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20E25" w:rsidSect="00D20E25">
      <w:footerReference w:type="default" r:id="rId14"/>
      <w:footerReference w:type="first" r:id="rId15"/>
      <w:pgSz w:w="12240" w:h="15840" w:code="1"/>
      <w:pgMar w:top="1440"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D9D19" w14:textId="77777777" w:rsidR="00A87DFA" w:rsidRDefault="00A87DFA" w:rsidP="00D20E25">
      <w:r>
        <w:separator/>
      </w:r>
    </w:p>
  </w:endnote>
  <w:endnote w:type="continuationSeparator" w:id="0">
    <w:p w14:paraId="7C2E99C8" w14:textId="77777777" w:rsidR="00A87DFA" w:rsidRDefault="00A87DFA" w:rsidP="00D2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6DF43" w14:textId="77777777" w:rsidR="005C07B5" w:rsidRDefault="005C07B5" w:rsidP="00D20E25">
    <w:pPr>
      <w:pStyle w:val="Footer"/>
      <w:jc w:val="center"/>
    </w:pPr>
  </w:p>
  <w:p w14:paraId="39CFF0EC" w14:textId="1FB5BAD7" w:rsidR="005C07B5" w:rsidRDefault="005C07B5" w:rsidP="00D20E25">
    <w:pPr>
      <w:pStyle w:val="Footer"/>
      <w:jc w:val="center"/>
      <w:rPr>
        <w:lang w:val="en-US"/>
      </w:rPr>
    </w:pPr>
    <w:r w:rsidRPr="006C7EC1">
      <w:t>© 20</w:t>
    </w:r>
    <w:r w:rsidR="00A14BE0">
      <w:rPr>
        <w:lang w:val="en-US"/>
      </w:rPr>
      <w:t>20</w:t>
    </w:r>
    <w:r w:rsidRPr="006C7EC1">
      <w:t xml:space="preserve"> </w:t>
    </w:r>
    <w:r>
      <w:t>Benefit Comply, LLC</w:t>
    </w:r>
  </w:p>
  <w:p w14:paraId="795A5091" w14:textId="77777777" w:rsidR="005C07B5" w:rsidRDefault="005C07B5" w:rsidP="00D20E25">
    <w:pPr>
      <w:pStyle w:val="Footer"/>
      <w:jc w:val="center"/>
    </w:pPr>
    <w:r w:rsidRPr="00866B99">
      <w:fldChar w:fldCharType="begin"/>
    </w:r>
    <w:r w:rsidRPr="00866B99">
      <w:instrText xml:space="preserve"> PAGE   \* MERGEFORMAT </w:instrText>
    </w:r>
    <w:r w:rsidRPr="00866B99">
      <w:fldChar w:fldCharType="separate"/>
    </w:r>
    <w:r w:rsidR="00971D2A">
      <w:rPr>
        <w:noProof/>
      </w:rPr>
      <w:t>2</w:t>
    </w:r>
    <w:r w:rsidRPr="00866B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369EF" w14:textId="254128B9" w:rsidR="005C07B5" w:rsidRDefault="005C07B5" w:rsidP="00D20E25">
    <w:pPr>
      <w:pStyle w:val="Footer"/>
      <w:jc w:val="center"/>
      <w:rPr>
        <w:lang w:val="en-US"/>
      </w:rPr>
    </w:pPr>
    <w:r>
      <w:t>© 20</w:t>
    </w:r>
    <w:r w:rsidR="00A14BE0">
      <w:rPr>
        <w:lang w:val="en-US"/>
      </w:rPr>
      <w:t>20</w:t>
    </w:r>
    <w:r w:rsidRPr="006C7EC1">
      <w:t xml:space="preserve"> </w:t>
    </w:r>
    <w:r>
      <w:t>Benefit Comply, LLC</w:t>
    </w:r>
  </w:p>
  <w:p w14:paraId="2383CB18" w14:textId="77777777" w:rsidR="005C07B5" w:rsidRPr="00866B99" w:rsidRDefault="005C07B5" w:rsidP="00D20E25">
    <w:pPr>
      <w:pStyle w:val="Footer"/>
      <w:jc w:val="center"/>
    </w:pPr>
    <w:r w:rsidRPr="00866B99">
      <w:fldChar w:fldCharType="begin"/>
    </w:r>
    <w:r w:rsidRPr="00866B99">
      <w:instrText xml:space="preserve"> PAGE   \* MERGEFORMAT </w:instrText>
    </w:r>
    <w:r w:rsidRPr="00866B99">
      <w:fldChar w:fldCharType="separate"/>
    </w:r>
    <w:r w:rsidR="00971D2A">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EE932" w14:textId="77777777" w:rsidR="00A87DFA" w:rsidRDefault="00A87DFA" w:rsidP="00D20E25">
      <w:r>
        <w:separator/>
      </w:r>
    </w:p>
  </w:footnote>
  <w:footnote w:type="continuationSeparator" w:id="0">
    <w:p w14:paraId="432D7009" w14:textId="77777777" w:rsidR="00A87DFA" w:rsidRDefault="00A87DFA" w:rsidP="00D2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7E00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81E93"/>
    <w:multiLevelType w:val="hybridMultilevel"/>
    <w:tmpl w:val="61B4AC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586316"/>
    <w:multiLevelType w:val="hybridMultilevel"/>
    <w:tmpl w:val="3AAA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C6027"/>
    <w:multiLevelType w:val="hybridMultilevel"/>
    <w:tmpl w:val="E9FAD15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117B5F38"/>
    <w:multiLevelType w:val="hybridMultilevel"/>
    <w:tmpl w:val="839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B0B36"/>
    <w:multiLevelType w:val="hybridMultilevel"/>
    <w:tmpl w:val="722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1830D1"/>
    <w:multiLevelType w:val="hybridMultilevel"/>
    <w:tmpl w:val="02782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D42427"/>
    <w:multiLevelType w:val="hybridMultilevel"/>
    <w:tmpl w:val="45FC6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7545D"/>
    <w:multiLevelType w:val="hybridMultilevel"/>
    <w:tmpl w:val="77B49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7D2A70"/>
    <w:multiLevelType w:val="hybridMultilevel"/>
    <w:tmpl w:val="802A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65EE0"/>
    <w:multiLevelType w:val="hybridMultilevel"/>
    <w:tmpl w:val="9C4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8730D"/>
    <w:multiLevelType w:val="multilevel"/>
    <w:tmpl w:val="FDA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B7145B"/>
    <w:multiLevelType w:val="hybridMultilevel"/>
    <w:tmpl w:val="31724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FC11B3"/>
    <w:multiLevelType w:val="hybridMultilevel"/>
    <w:tmpl w:val="F10625F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306140AD"/>
    <w:multiLevelType w:val="hybridMultilevel"/>
    <w:tmpl w:val="E7203C60"/>
    <w:lvl w:ilvl="0" w:tplc="5914D488">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B6283"/>
    <w:multiLevelType w:val="hybridMultilevel"/>
    <w:tmpl w:val="1A2A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72993"/>
    <w:multiLevelType w:val="hybridMultilevel"/>
    <w:tmpl w:val="74485F14"/>
    <w:lvl w:ilvl="0" w:tplc="FD5C4BA4">
      <w:start w:val="1"/>
      <w:numFmt w:val="bullet"/>
      <w:lvlText w:val="•"/>
      <w:lvlJc w:val="left"/>
      <w:pPr>
        <w:tabs>
          <w:tab w:val="num" w:pos="720"/>
        </w:tabs>
        <w:ind w:left="720" w:hanging="360"/>
      </w:pPr>
      <w:rPr>
        <w:rFonts w:ascii="Times New Roman" w:hAnsi="Times New Roman" w:hint="default"/>
      </w:rPr>
    </w:lvl>
    <w:lvl w:ilvl="1" w:tplc="54E440B0" w:tentative="1">
      <w:start w:val="1"/>
      <w:numFmt w:val="bullet"/>
      <w:lvlText w:val="•"/>
      <w:lvlJc w:val="left"/>
      <w:pPr>
        <w:tabs>
          <w:tab w:val="num" w:pos="1440"/>
        </w:tabs>
        <w:ind w:left="1440" w:hanging="360"/>
      </w:pPr>
      <w:rPr>
        <w:rFonts w:ascii="Times New Roman" w:hAnsi="Times New Roman" w:hint="default"/>
      </w:rPr>
    </w:lvl>
    <w:lvl w:ilvl="2" w:tplc="2006D01C" w:tentative="1">
      <w:start w:val="1"/>
      <w:numFmt w:val="bullet"/>
      <w:lvlText w:val="•"/>
      <w:lvlJc w:val="left"/>
      <w:pPr>
        <w:tabs>
          <w:tab w:val="num" w:pos="2160"/>
        </w:tabs>
        <w:ind w:left="2160" w:hanging="360"/>
      </w:pPr>
      <w:rPr>
        <w:rFonts w:ascii="Times New Roman" w:hAnsi="Times New Roman" w:hint="default"/>
      </w:rPr>
    </w:lvl>
    <w:lvl w:ilvl="3" w:tplc="577CA134" w:tentative="1">
      <w:start w:val="1"/>
      <w:numFmt w:val="bullet"/>
      <w:lvlText w:val="•"/>
      <w:lvlJc w:val="left"/>
      <w:pPr>
        <w:tabs>
          <w:tab w:val="num" w:pos="2880"/>
        </w:tabs>
        <w:ind w:left="2880" w:hanging="360"/>
      </w:pPr>
      <w:rPr>
        <w:rFonts w:ascii="Times New Roman" w:hAnsi="Times New Roman" w:hint="default"/>
      </w:rPr>
    </w:lvl>
    <w:lvl w:ilvl="4" w:tplc="F7262660" w:tentative="1">
      <w:start w:val="1"/>
      <w:numFmt w:val="bullet"/>
      <w:lvlText w:val="•"/>
      <w:lvlJc w:val="left"/>
      <w:pPr>
        <w:tabs>
          <w:tab w:val="num" w:pos="3600"/>
        </w:tabs>
        <w:ind w:left="3600" w:hanging="360"/>
      </w:pPr>
      <w:rPr>
        <w:rFonts w:ascii="Times New Roman" w:hAnsi="Times New Roman" w:hint="default"/>
      </w:rPr>
    </w:lvl>
    <w:lvl w:ilvl="5" w:tplc="9A60C6FE" w:tentative="1">
      <w:start w:val="1"/>
      <w:numFmt w:val="bullet"/>
      <w:lvlText w:val="•"/>
      <w:lvlJc w:val="left"/>
      <w:pPr>
        <w:tabs>
          <w:tab w:val="num" w:pos="4320"/>
        </w:tabs>
        <w:ind w:left="4320" w:hanging="360"/>
      </w:pPr>
      <w:rPr>
        <w:rFonts w:ascii="Times New Roman" w:hAnsi="Times New Roman" w:hint="default"/>
      </w:rPr>
    </w:lvl>
    <w:lvl w:ilvl="6" w:tplc="A2CE47BE" w:tentative="1">
      <w:start w:val="1"/>
      <w:numFmt w:val="bullet"/>
      <w:lvlText w:val="•"/>
      <w:lvlJc w:val="left"/>
      <w:pPr>
        <w:tabs>
          <w:tab w:val="num" w:pos="5040"/>
        </w:tabs>
        <w:ind w:left="5040" w:hanging="360"/>
      </w:pPr>
      <w:rPr>
        <w:rFonts w:ascii="Times New Roman" w:hAnsi="Times New Roman" w:hint="default"/>
      </w:rPr>
    </w:lvl>
    <w:lvl w:ilvl="7" w:tplc="C0CCFBFC" w:tentative="1">
      <w:start w:val="1"/>
      <w:numFmt w:val="bullet"/>
      <w:lvlText w:val="•"/>
      <w:lvlJc w:val="left"/>
      <w:pPr>
        <w:tabs>
          <w:tab w:val="num" w:pos="5760"/>
        </w:tabs>
        <w:ind w:left="5760" w:hanging="360"/>
      </w:pPr>
      <w:rPr>
        <w:rFonts w:ascii="Times New Roman" w:hAnsi="Times New Roman" w:hint="default"/>
      </w:rPr>
    </w:lvl>
    <w:lvl w:ilvl="8" w:tplc="A798EA1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9302C7D"/>
    <w:multiLevelType w:val="hybridMultilevel"/>
    <w:tmpl w:val="BA04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BF68E8"/>
    <w:multiLevelType w:val="hybridMultilevel"/>
    <w:tmpl w:val="F9FE06A0"/>
    <w:lvl w:ilvl="0" w:tplc="B2F265C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94B9C"/>
    <w:multiLevelType w:val="hybridMultilevel"/>
    <w:tmpl w:val="5784B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BB967D2"/>
    <w:multiLevelType w:val="hybridMultilevel"/>
    <w:tmpl w:val="7ACEC1C8"/>
    <w:lvl w:ilvl="0" w:tplc="934C31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1A6E88"/>
    <w:multiLevelType w:val="hybridMultilevel"/>
    <w:tmpl w:val="723CEA96"/>
    <w:lvl w:ilvl="0" w:tplc="EEE20BAE">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2B7EB2"/>
    <w:multiLevelType w:val="hybridMultilevel"/>
    <w:tmpl w:val="88A81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4139CE"/>
    <w:multiLevelType w:val="hybridMultilevel"/>
    <w:tmpl w:val="9AC85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4559C8"/>
    <w:multiLevelType w:val="hybridMultilevel"/>
    <w:tmpl w:val="79E8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65A05"/>
    <w:multiLevelType w:val="hybridMultilevel"/>
    <w:tmpl w:val="E8CA460C"/>
    <w:lvl w:ilvl="0" w:tplc="A8B84380">
      <w:start w:val="2015"/>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23099"/>
    <w:multiLevelType w:val="hybridMultilevel"/>
    <w:tmpl w:val="2E9A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158DB"/>
    <w:multiLevelType w:val="hybridMultilevel"/>
    <w:tmpl w:val="2BEC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9B197B"/>
    <w:multiLevelType w:val="hybridMultilevel"/>
    <w:tmpl w:val="CEBC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A6DE2"/>
    <w:multiLevelType w:val="hybridMultilevel"/>
    <w:tmpl w:val="4852C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8857D6"/>
    <w:multiLevelType w:val="hybridMultilevel"/>
    <w:tmpl w:val="FA088E96"/>
    <w:lvl w:ilvl="0" w:tplc="7A1CE11C">
      <w:start w:val="1"/>
      <w:numFmt w:val="bullet"/>
      <w:lvlText w:val="•"/>
      <w:lvlJc w:val="left"/>
      <w:pPr>
        <w:tabs>
          <w:tab w:val="num" w:pos="720"/>
        </w:tabs>
        <w:ind w:left="720" w:hanging="360"/>
      </w:pPr>
      <w:rPr>
        <w:rFonts w:ascii="Times New Roman" w:hAnsi="Times New Roman" w:hint="default"/>
      </w:rPr>
    </w:lvl>
    <w:lvl w:ilvl="1" w:tplc="AD844A26" w:tentative="1">
      <w:start w:val="1"/>
      <w:numFmt w:val="bullet"/>
      <w:lvlText w:val="•"/>
      <w:lvlJc w:val="left"/>
      <w:pPr>
        <w:tabs>
          <w:tab w:val="num" w:pos="1440"/>
        </w:tabs>
        <w:ind w:left="1440" w:hanging="360"/>
      </w:pPr>
      <w:rPr>
        <w:rFonts w:ascii="Times New Roman" w:hAnsi="Times New Roman" w:hint="default"/>
      </w:rPr>
    </w:lvl>
    <w:lvl w:ilvl="2" w:tplc="E7F40420" w:tentative="1">
      <w:start w:val="1"/>
      <w:numFmt w:val="bullet"/>
      <w:lvlText w:val="•"/>
      <w:lvlJc w:val="left"/>
      <w:pPr>
        <w:tabs>
          <w:tab w:val="num" w:pos="2160"/>
        </w:tabs>
        <w:ind w:left="2160" w:hanging="360"/>
      </w:pPr>
      <w:rPr>
        <w:rFonts w:ascii="Times New Roman" w:hAnsi="Times New Roman" w:hint="default"/>
      </w:rPr>
    </w:lvl>
    <w:lvl w:ilvl="3" w:tplc="ABEE4E0E" w:tentative="1">
      <w:start w:val="1"/>
      <w:numFmt w:val="bullet"/>
      <w:lvlText w:val="•"/>
      <w:lvlJc w:val="left"/>
      <w:pPr>
        <w:tabs>
          <w:tab w:val="num" w:pos="2880"/>
        </w:tabs>
        <w:ind w:left="2880" w:hanging="360"/>
      </w:pPr>
      <w:rPr>
        <w:rFonts w:ascii="Times New Roman" w:hAnsi="Times New Roman" w:hint="default"/>
      </w:rPr>
    </w:lvl>
    <w:lvl w:ilvl="4" w:tplc="D668CE94" w:tentative="1">
      <w:start w:val="1"/>
      <w:numFmt w:val="bullet"/>
      <w:lvlText w:val="•"/>
      <w:lvlJc w:val="left"/>
      <w:pPr>
        <w:tabs>
          <w:tab w:val="num" w:pos="3600"/>
        </w:tabs>
        <w:ind w:left="3600" w:hanging="360"/>
      </w:pPr>
      <w:rPr>
        <w:rFonts w:ascii="Times New Roman" w:hAnsi="Times New Roman" w:hint="default"/>
      </w:rPr>
    </w:lvl>
    <w:lvl w:ilvl="5" w:tplc="A6F44CEC" w:tentative="1">
      <w:start w:val="1"/>
      <w:numFmt w:val="bullet"/>
      <w:lvlText w:val="•"/>
      <w:lvlJc w:val="left"/>
      <w:pPr>
        <w:tabs>
          <w:tab w:val="num" w:pos="4320"/>
        </w:tabs>
        <w:ind w:left="4320" w:hanging="360"/>
      </w:pPr>
      <w:rPr>
        <w:rFonts w:ascii="Times New Roman" w:hAnsi="Times New Roman" w:hint="default"/>
      </w:rPr>
    </w:lvl>
    <w:lvl w:ilvl="6" w:tplc="7E9456AE" w:tentative="1">
      <w:start w:val="1"/>
      <w:numFmt w:val="bullet"/>
      <w:lvlText w:val="•"/>
      <w:lvlJc w:val="left"/>
      <w:pPr>
        <w:tabs>
          <w:tab w:val="num" w:pos="5040"/>
        </w:tabs>
        <w:ind w:left="5040" w:hanging="360"/>
      </w:pPr>
      <w:rPr>
        <w:rFonts w:ascii="Times New Roman" w:hAnsi="Times New Roman" w:hint="default"/>
      </w:rPr>
    </w:lvl>
    <w:lvl w:ilvl="7" w:tplc="C486CF76" w:tentative="1">
      <w:start w:val="1"/>
      <w:numFmt w:val="bullet"/>
      <w:lvlText w:val="•"/>
      <w:lvlJc w:val="left"/>
      <w:pPr>
        <w:tabs>
          <w:tab w:val="num" w:pos="5760"/>
        </w:tabs>
        <w:ind w:left="5760" w:hanging="360"/>
      </w:pPr>
      <w:rPr>
        <w:rFonts w:ascii="Times New Roman" w:hAnsi="Times New Roman" w:hint="default"/>
      </w:rPr>
    </w:lvl>
    <w:lvl w:ilvl="8" w:tplc="5B10DAD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95B3C7D"/>
    <w:multiLevelType w:val="hybridMultilevel"/>
    <w:tmpl w:val="93742F68"/>
    <w:lvl w:ilvl="0" w:tplc="EBD4E474">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6528C"/>
    <w:multiLevelType w:val="hybridMultilevel"/>
    <w:tmpl w:val="1AC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740653"/>
    <w:multiLevelType w:val="hybridMultilevel"/>
    <w:tmpl w:val="9A1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35F7D"/>
    <w:multiLevelType w:val="hybridMultilevel"/>
    <w:tmpl w:val="EE6E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FD79B1"/>
    <w:multiLevelType w:val="hybridMultilevel"/>
    <w:tmpl w:val="0528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8462C"/>
    <w:multiLevelType w:val="hybridMultilevel"/>
    <w:tmpl w:val="3DC4EDCC"/>
    <w:lvl w:ilvl="0" w:tplc="735862D2">
      <w:start w:val="1"/>
      <w:numFmt w:val="bullet"/>
      <w:lvlText w:val="•"/>
      <w:lvlJc w:val="left"/>
      <w:pPr>
        <w:tabs>
          <w:tab w:val="num" w:pos="1080"/>
        </w:tabs>
        <w:ind w:left="1080" w:hanging="360"/>
      </w:pPr>
      <w:rPr>
        <w:rFonts w:ascii="Arial" w:hAnsi="Arial" w:hint="default"/>
      </w:rPr>
    </w:lvl>
    <w:lvl w:ilvl="1" w:tplc="88302BF8">
      <w:numFmt w:val="bullet"/>
      <w:lvlText w:val="•"/>
      <w:lvlJc w:val="left"/>
      <w:pPr>
        <w:tabs>
          <w:tab w:val="num" w:pos="1800"/>
        </w:tabs>
        <w:ind w:left="1800" w:hanging="360"/>
      </w:pPr>
      <w:rPr>
        <w:rFonts w:ascii="Arial" w:hAnsi="Arial" w:hint="default"/>
      </w:rPr>
    </w:lvl>
    <w:lvl w:ilvl="2" w:tplc="5030D0EE">
      <w:numFmt w:val="bullet"/>
      <w:lvlText w:val="•"/>
      <w:lvlJc w:val="left"/>
      <w:pPr>
        <w:tabs>
          <w:tab w:val="num" w:pos="2520"/>
        </w:tabs>
        <w:ind w:left="2520" w:hanging="360"/>
      </w:pPr>
      <w:rPr>
        <w:rFonts w:ascii="Arial" w:hAnsi="Arial" w:hint="default"/>
      </w:rPr>
    </w:lvl>
    <w:lvl w:ilvl="3" w:tplc="BA1686D0" w:tentative="1">
      <w:start w:val="1"/>
      <w:numFmt w:val="bullet"/>
      <w:lvlText w:val="•"/>
      <w:lvlJc w:val="left"/>
      <w:pPr>
        <w:tabs>
          <w:tab w:val="num" w:pos="3240"/>
        </w:tabs>
        <w:ind w:left="3240" w:hanging="360"/>
      </w:pPr>
      <w:rPr>
        <w:rFonts w:ascii="Arial" w:hAnsi="Arial" w:hint="default"/>
      </w:rPr>
    </w:lvl>
    <w:lvl w:ilvl="4" w:tplc="6AF83BD8" w:tentative="1">
      <w:start w:val="1"/>
      <w:numFmt w:val="bullet"/>
      <w:lvlText w:val="•"/>
      <w:lvlJc w:val="left"/>
      <w:pPr>
        <w:tabs>
          <w:tab w:val="num" w:pos="3960"/>
        </w:tabs>
        <w:ind w:left="3960" w:hanging="360"/>
      </w:pPr>
      <w:rPr>
        <w:rFonts w:ascii="Arial" w:hAnsi="Arial" w:hint="default"/>
      </w:rPr>
    </w:lvl>
    <w:lvl w:ilvl="5" w:tplc="5AF01700" w:tentative="1">
      <w:start w:val="1"/>
      <w:numFmt w:val="bullet"/>
      <w:lvlText w:val="•"/>
      <w:lvlJc w:val="left"/>
      <w:pPr>
        <w:tabs>
          <w:tab w:val="num" w:pos="4680"/>
        </w:tabs>
        <w:ind w:left="4680" w:hanging="360"/>
      </w:pPr>
      <w:rPr>
        <w:rFonts w:ascii="Arial" w:hAnsi="Arial" w:hint="default"/>
      </w:rPr>
    </w:lvl>
    <w:lvl w:ilvl="6" w:tplc="BB984918" w:tentative="1">
      <w:start w:val="1"/>
      <w:numFmt w:val="bullet"/>
      <w:lvlText w:val="•"/>
      <w:lvlJc w:val="left"/>
      <w:pPr>
        <w:tabs>
          <w:tab w:val="num" w:pos="5400"/>
        </w:tabs>
        <w:ind w:left="5400" w:hanging="360"/>
      </w:pPr>
      <w:rPr>
        <w:rFonts w:ascii="Arial" w:hAnsi="Arial" w:hint="default"/>
      </w:rPr>
    </w:lvl>
    <w:lvl w:ilvl="7" w:tplc="80E0834E" w:tentative="1">
      <w:start w:val="1"/>
      <w:numFmt w:val="bullet"/>
      <w:lvlText w:val="•"/>
      <w:lvlJc w:val="left"/>
      <w:pPr>
        <w:tabs>
          <w:tab w:val="num" w:pos="6120"/>
        </w:tabs>
        <w:ind w:left="6120" w:hanging="360"/>
      </w:pPr>
      <w:rPr>
        <w:rFonts w:ascii="Arial" w:hAnsi="Arial" w:hint="default"/>
      </w:rPr>
    </w:lvl>
    <w:lvl w:ilvl="8" w:tplc="C6764022" w:tentative="1">
      <w:start w:val="1"/>
      <w:numFmt w:val="bullet"/>
      <w:lvlText w:val="•"/>
      <w:lvlJc w:val="left"/>
      <w:pPr>
        <w:tabs>
          <w:tab w:val="num" w:pos="6840"/>
        </w:tabs>
        <w:ind w:left="6840" w:hanging="360"/>
      </w:pPr>
      <w:rPr>
        <w:rFonts w:ascii="Arial" w:hAnsi="Arial" w:hint="default"/>
      </w:rPr>
    </w:lvl>
  </w:abstractNum>
  <w:abstractNum w:abstractNumId="37" w15:restartNumberingAfterBreak="0">
    <w:nsid w:val="7D4460AC"/>
    <w:multiLevelType w:val="multilevel"/>
    <w:tmpl w:val="F0F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9D30D3"/>
    <w:multiLevelType w:val="hybridMultilevel"/>
    <w:tmpl w:val="9398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235C0"/>
    <w:multiLevelType w:val="hybridMultilevel"/>
    <w:tmpl w:val="A3206DFE"/>
    <w:lvl w:ilvl="0" w:tplc="25F0EFF0">
      <w:start w:val="1"/>
      <w:numFmt w:val="bullet"/>
      <w:lvlText w:val="–"/>
      <w:lvlJc w:val="left"/>
      <w:pPr>
        <w:tabs>
          <w:tab w:val="num" w:pos="720"/>
        </w:tabs>
        <w:ind w:left="720" w:hanging="360"/>
      </w:pPr>
      <w:rPr>
        <w:rFonts w:ascii="Times New Roman" w:hAnsi="Times New Roman" w:hint="default"/>
      </w:rPr>
    </w:lvl>
    <w:lvl w:ilvl="1" w:tplc="79FC44D0">
      <w:start w:val="1"/>
      <w:numFmt w:val="bullet"/>
      <w:lvlText w:val="–"/>
      <w:lvlJc w:val="left"/>
      <w:pPr>
        <w:tabs>
          <w:tab w:val="num" w:pos="1440"/>
        </w:tabs>
        <w:ind w:left="1440" w:hanging="360"/>
      </w:pPr>
      <w:rPr>
        <w:rFonts w:ascii="Times New Roman" w:hAnsi="Times New Roman" w:hint="default"/>
      </w:rPr>
    </w:lvl>
    <w:lvl w:ilvl="2" w:tplc="435EE31A" w:tentative="1">
      <w:start w:val="1"/>
      <w:numFmt w:val="bullet"/>
      <w:lvlText w:val="–"/>
      <w:lvlJc w:val="left"/>
      <w:pPr>
        <w:tabs>
          <w:tab w:val="num" w:pos="2160"/>
        </w:tabs>
        <w:ind w:left="2160" w:hanging="360"/>
      </w:pPr>
      <w:rPr>
        <w:rFonts w:ascii="Times New Roman" w:hAnsi="Times New Roman" w:hint="default"/>
      </w:rPr>
    </w:lvl>
    <w:lvl w:ilvl="3" w:tplc="DDA22E98" w:tentative="1">
      <w:start w:val="1"/>
      <w:numFmt w:val="bullet"/>
      <w:lvlText w:val="–"/>
      <w:lvlJc w:val="left"/>
      <w:pPr>
        <w:tabs>
          <w:tab w:val="num" w:pos="2880"/>
        </w:tabs>
        <w:ind w:left="2880" w:hanging="360"/>
      </w:pPr>
      <w:rPr>
        <w:rFonts w:ascii="Times New Roman" w:hAnsi="Times New Roman" w:hint="default"/>
      </w:rPr>
    </w:lvl>
    <w:lvl w:ilvl="4" w:tplc="CDAA9EF0" w:tentative="1">
      <w:start w:val="1"/>
      <w:numFmt w:val="bullet"/>
      <w:lvlText w:val="–"/>
      <w:lvlJc w:val="left"/>
      <w:pPr>
        <w:tabs>
          <w:tab w:val="num" w:pos="3600"/>
        </w:tabs>
        <w:ind w:left="3600" w:hanging="360"/>
      </w:pPr>
      <w:rPr>
        <w:rFonts w:ascii="Times New Roman" w:hAnsi="Times New Roman" w:hint="default"/>
      </w:rPr>
    </w:lvl>
    <w:lvl w:ilvl="5" w:tplc="D85CC388" w:tentative="1">
      <w:start w:val="1"/>
      <w:numFmt w:val="bullet"/>
      <w:lvlText w:val="–"/>
      <w:lvlJc w:val="left"/>
      <w:pPr>
        <w:tabs>
          <w:tab w:val="num" w:pos="4320"/>
        </w:tabs>
        <w:ind w:left="4320" w:hanging="360"/>
      </w:pPr>
      <w:rPr>
        <w:rFonts w:ascii="Times New Roman" w:hAnsi="Times New Roman" w:hint="default"/>
      </w:rPr>
    </w:lvl>
    <w:lvl w:ilvl="6" w:tplc="C512B978" w:tentative="1">
      <w:start w:val="1"/>
      <w:numFmt w:val="bullet"/>
      <w:lvlText w:val="–"/>
      <w:lvlJc w:val="left"/>
      <w:pPr>
        <w:tabs>
          <w:tab w:val="num" w:pos="5040"/>
        </w:tabs>
        <w:ind w:left="5040" w:hanging="360"/>
      </w:pPr>
      <w:rPr>
        <w:rFonts w:ascii="Times New Roman" w:hAnsi="Times New Roman" w:hint="default"/>
      </w:rPr>
    </w:lvl>
    <w:lvl w:ilvl="7" w:tplc="E52EBFB4" w:tentative="1">
      <w:start w:val="1"/>
      <w:numFmt w:val="bullet"/>
      <w:lvlText w:val="–"/>
      <w:lvlJc w:val="left"/>
      <w:pPr>
        <w:tabs>
          <w:tab w:val="num" w:pos="5760"/>
        </w:tabs>
        <w:ind w:left="5760" w:hanging="360"/>
      </w:pPr>
      <w:rPr>
        <w:rFonts w:ascii="Times New Roman" w:hAnsi="Times New Roman" w:hint="default"/>
      </w:rPr>
    </w:lvl>
    <w:lvl w:ilvl="8" w:tplc="FD3EE9E0"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3"/>
  </w:num>
  <w:num w:numId="3">
    <w:abstractNumId w:val="22"/>
  </w:num>
  <w:num w:numId="4">
    <w:abstractNumId w:val="8"/>
  </w:num>
  <w:num w:numId="5">
    <w:abstractNumId w:val="27"/>
  </w:num>
  <w:num w:numId="6">
    <w:abstractNumId w:val="6"/>
  </w:num>
  <w:num w:numId="7">
    <w:abstractNumId w:val="12"/>
  </w:num>
  <w:num w:numId="8">
    <w:abstractNumId w:val="28"/>
  </w:num>
  <w:num w:numId="9">
    <w:abstractNumId w:val="15"/>
  </w:num>
  <w:num w:numId="10">
    <w:abstractNumId w:val="33"/>
  </w:num>
  <w:num w:numId="11">
    <w:abstractNumId w:val="1"/>
  </w:num>
  <w:num w:numId="12">
    <w:abstractNumId w:val="14"/>
  </w:num>
  <w:num w:numId="13">
    <w:abstractNumId w:val="21"/>
  </w:num>
  <w:num w:numId="14">
    <w:abstractNumId w:val="38"/>
  </w:num>
  <w:num w:numId="15">
    <w:abstractNumId w:val="25"/>
  </w:num>
  <w:num w:numId="16">
    <w:abstractNumId w:val="32"/>
  </w:num>
  <w:num w:numId="17">
    <w:abstractNumId w:val="9"/>
  </w:num>
  <w:num w:numId="18">
    <w:abstractNumId w:val="17"/>
  </w:num>
  <w:num w:numId="19">
    <w:abstractNumId w:val="26"/>
  </w:num>
  <w:num w:numId="20">
    <w:abstractNumId w:val="35"/>
  </w:num>
  <w:num w:numId="21">
    <w:abstractNumId w:val="16"/>
  </w:num>
  <w:num w:numId="22">
    <w:abstractNumId w:val="30"/>
  </w:num>
  <w:num w:numId="23">
    <w:abstractNumId w:val="39"/>
  </w:num>
  <w:num w:numId="24">
    <w:abstractNumId w:val="29"/>
  </w:num>
  <w:num w:numId="25">
    <w:abstractNumId w:val="13"/>
  </w:num>
  <w:num w:numId="26">
    <w:abstractNumId w:val="11"/>
  </w:num>
  <w:num w:numId="27">
    <w:abstractNumId w:val="37"/>
  </w:num>
  <w:num w:numId="28">
    <w:abstractNumId w:val="7"/>
  </w:num>
  <w:num w:numId="29">
    <w:abstractNumId w:val="2"/>
  </w:num>
  <w:num w:numId="30">
    <w:abstractNumId w:val="10"/>
  </w:num>
  <w:num w:numId="31">
    <w:abstractNumId w:val="0"/>
  </w:num>
  <w:num w:numId="32">
    <w:abstractNumId w:val="19"/>
  </w:num>
  <w:num w:numId="33">
    <w:abstractNumId w:val="4"/>
  </w:num>
  <w:num w:numId="34">
    <w:abstractNumId w:val="3"/>
  </w:num>
  <w:num w:numId="35">
    <w:abstractNumId w:val="36"/>
  </w:num>
  <w:num w:numId="36">
    <w:abstractNumId w:val="24"/>
  </w:num>
  <w:num w:numId="37">
    <w:abstractNumId w:val="31"/>
  </w:num>
  <w:num w:numId="38">
    <w:abstractNumId w:val="34"/>
  </w:num>
  <w:num w:numId="39">
    <w:abstractNumId w:val="20"/>
  </w:num>
  <w:num w:numId="4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hideSpellingErrors/>
  <w:hideGrammaticalErrors/>
  <w:proofState w:spelling="clean" w:grammar="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54B3"/>
    <w:rsid w:val="00005756"/>
    <w:rsid w:val="000166F5"/>
    <w:rsid w:val="00021244"/>
    <w:rsid w:val="0003657F"/>
    <w:rsid w:val="00041D34"/>
    <w:rsid w:val="00042D2A"/>
    <w:rsid w:val="00055D59"/>
    <w:rsid w:val="00056762"/>
    <w:rsid w:val="0006084A"/>
    <w:rsid w:val="0006208C"/>
    <w:rsid w:val="0006416F"/>
    <w:rsid w:val="00065F15"/>
    <w:rsid w:val="00071F3D"/>
    <w:rsid w:val="0007369E"/>
    <w:rsid w:val="00076EB8"/>
    <w:rsid w:val="000867F5"/>
    <w:rsid w:val="00091CA7"/>
    <w:rsid w:val="00093BE1"/>
    <w:rsid w:val="00096B1E"/>
    <w:rsid w:val="000A697A"/>
    <w:rsid w:val="000C41B5"/>
    <w:rsid w:val="000C5473"/>
    <w:rsid w:val="000E03AB"/>
    <w:rsid w:val="000E668C"/>
    <w:rsid w:val="000F11E2"/>
    <w:rsid w:val="000F7498"/>
    <w:rsid w:val="0010150B"/>
    <w:rsid w:val="001029DC"/>
    <w:rsid w:val="00102C3F"/>
    <w:rsid w:val="00103F85"/>
    <w:rsid w:val="00104680"/>
    <w:rsid w:val="00113F23"/>
    <w:rsid w:val="00114D77"/>
    <w:rsid w:val="00137BDB"/>
    <w:rsid w:val="00140769"/>
    <w:rsid w:val="00142A3F"/>
    <w:rsid w:val="001432A3"/>
    <w:rsid w:val="00144A9C"/>
    <w:rsid w:val="00150473"/>
    <w:rsid w:val="0015387D"/>
    <w:rsid w:val="00160335"/>
    <w:rsid w:val="001824D9"/>
    <w:rsid w:val="00187547"/>
    <w:rsid w:val="001912DE"/>
    <w:rsid w:val="0019308E"/>
    <w:rsid w:val="001B1A88"/>
    <w:rsid w:val="001C256F"/>
    <w:rsid w:val="001C70AE"/>
    <w:rsid w:val="001D58D8"/>
    <w:rsid w:val="001D745D"/>
    <w:rsid w:val="001E2972"/>
    <w:rsid w:val="001E622E"/>
    <w:rsid w:val="001F0404"/>
    <w:rsid w:val="001F20E5"/>
    <w:rsid w:val="00200664"/>
    <w:rsid w:val="00211FC6"/>
    <w:rsid w:val="00231306"/>
    <w:rsid w:val="00246370"/>
    <w:rsid w:val="00247077"/>
    <w:rsid w:val="00255A5D"/>
    <w:rsid w:val="00270D0F"/>
    <w:rsid w:val="00273D4E"/>
    <w:rsid w:val="00277CAA"/>
    <w:rsid w:val="0029167B"/>
    <w:rsid w:val="002A51D5"/>
    <w:rsid w:val="002C4ADB"/>
    <w:rsid w:val="002D6E4B"/>
    <w:rsid w:val="002E41EF"/>
    <w:rsid w:val="002F1D78"/>
    <w:rsid w:val="002F2BFF"/>
    <w:rsid w:val="002F3FBC"/>
    <w:rsid w:val="002F5B6A"/>
    <w:rsid w:val="002F7CDF"/>
    <w:rsid w:val="00311883"/>
    <w:rsid w:val="00311D22"/>
    <w:rsid w:val="00314066"/>
    <w:rsid w:val="00317FA1"/>
    <w:rsid w:val="003231B2"/>
    <w:rsid w:val="00332855"/>
    <w:rsid w:val="003332F7"/>
    <w:rsid w:val="00337651"/>
    <w:rsid w:val="00341F9B"/>
    <w:rsid w:val="00342727"/>
    <w:rsid w:val="003536E9"/>
    <w:rsid w:val="0035725D"/>
    <w:rsid w:val="003606B3"/>
    <w:rsid w:val="00367D54"/>
    <w:rsid w:val="00373838"/>
    <w:rsid w:val="0037534B"/>
    <w:rsid w:val="00376CF8"/>
    <w:rsid w:val="00377A73"/>
    <w:rsid w:val="00383956"/>
    <w:rsid w:val="00386166"/>
    <w:rsid w:val="003902B6"/>
    <w:rsid w:val="003902B9"/>
    <w:rsid w:val="00390803"/>
    <w:rsid w:val="0039272A"/>
    <w:rsid w:val="00397F1D"/>
    <w:rsid w:val="003A15A0"/>
    <w:rsid w:val="003A5845"/>
    <w:rsid w:val="003A5F0F"/>
    <w:rsid w:val="003B0730"/>
    <w:rsid w:val="003B180D"/>
    <w:rsid w:val="003B7105"/>
    <w:rsid w:val="003D3ABE"/>
    <w:rsid w:val="003D5BB6"/>
    <w:rsid w:val="003D69F0"/>
    <w:rsid w:val="003E5815"/>
    <w:rsid w:val="0040100E"/>
    <w:rsid w:val="004019B7"/>
    <w:rsid w:val="00402CF5"/>
    <w:rsid w:val="00421453"/>
    <w:rsid w:val="00424799"/>
    <w:rsid w:val="00442266"/>
    <w:rsid w:val="00453816"/>
    <w:rsid w:val="00464CBE"/>
    <w:rsid w:val="00467218"/>
    <w:rsid w:val="00467FDA"/>
    <w:rsid w:val="004827D1"/>
    <w:rsid w:val="004870C3"/>
    <w:rsid w:val="00487B4C"/>
    <w:rsid w:val="004B2781"/>
    <w:rsid w:val="004B2E8E"/>
    <w:rsid w:val="004B3E30"/>
    <w:rsid w:val="004B4147"/>
    <w:rsid w:val="004B6441"/>
    <w:rsid w:val="004C685A"/>
    <w:rsid w:val="004E4565"/>
    <w:rsid w:val="004F0122"/>
    <w:rsid w:val="004F38E5"/>
    <w:rsid w:val="004F4484"/>
    <w:rsid w:val="005061CA"/>
    <w:rsid w:val="00515089"/>
    <w:rsid w:val="00521F45"/>
    <w:rsid w:val="0052609C"/>
    <w:rsid w:val="00532F84"/>
    <w:rsid w:val="005378A2"/>
    <w:rsid w:val="00540CCF"/>
    <w:rsid w:val="00554B62"/>
    <w:rsid w:val="00554D66"/>
    <w:rsid w:val="0055764A"/>
    <w:rsid w:val="005660E9"/>
    <w:rsid w:val="005718C3"/>
    <w:rsid w:val="00581F18"/>
    <w:rsid w:val="00586571"/>
    <w:rsid w:val="0058733A"/>
    <w:rsid w:val="005926DA"/>
    <w:rsid w:val="00595A34"/>
    <w:rsid w:val="005A0F11"/>
    <w:rsid w:val="005A5810"/>
    <w:rsid w:val="005B0103"/>
    <w:rsid w:val="005C07B5"/>
    <w:rsid w:val="005C2382"/>
    <w:rsid w:val="005D2525"/>
    <w:rsid w:val="005E075F"/>
    <w:rsid w:val="005E4301"/>
    <w:rsid w:val="005E74DC"/>
    <w:rsid w:val="005F1993"/>
    <w:rsid w:val="005F2269"/>
    <w:rsid w:val="005F4D3F"/>
    <w:rsid w:val="005F6038"/>
    <w:rsid w:val="00600FC4"/>
    <w:rsid w:val="006034D7"/>
    <w:rsid w:val="00605355"/>
    <w:rsid w:val="006102F4"/>
    <w:rsid w:val="006149F2"/>
    <w:rsid w:val="006158BC"/>
    <w:rsid w:val="00616FD0"/>
    <w:rsid w:val="00633D0E"/>
    <w:rsid w:val="006466D7"/>
    <w:rsid w:val="006469E5"/>
    <w:rsid w:val="00657361"/>
    <w:rsid w:val="006577E9"/>
    <w:rsid w:val="006717AA"/>
    <w:rsid w:val="00675439"/>
    <w:rsid w:val="00683EE3"/>
    <w:rsid w:val="00685C8D"/>
    <w:rsid w:val="00686AFD"/>
    <w:rsid w:val="006924DC"/>
    <w:rsid w:val="006A61F3"/>
    <w:rsid w:val="006B1545"/>
    <w:rsid w:val="006B23FC"/>
    <w:rsid w:val="006B28BC"/>
    <w:rsid w:val="006B35C9"/>
    <w:rsid w:val="006C3EE1"/>
    <w:rsid w:val="006C6E71"/>
    <w:rsid w:val="006C7B72"/>
    <w:rsid w:val="006C7EC1"/>
    <w:rsid w:val="006D5631"/>
    <w:rsid w:val="006E1247"/>
    <w:rsid w:val="006E42C0"/>
    <w:rsid w:val="00713909"/>
    <w:rsid w:val="00736A9B"/>
    <w:rsid w:val="007508F7"/>
    <w:rsid w:val="00764D79"/>
    <w:rsid w:val="007709F7"/>
    <w:rsid w:val="00776816"/>
    <w:rsid w:val="00781D99"/>
    <w:rsid w:val="007821CE"/>
    <w:rsid w:val="007908B7"/>
    <w:rsid w:val="007A5C28"/>
    <w:rsid w:val="007A5F8B"/>
    <w:rsid w:val="007B1E18"/>
    <w:rsid w:val="007B4885"/>
    <w:rsid w:val="007C3D13"/>
    <w:rsid w:val="007C4419"/>
    <w:rsid w:val="007C54B2"/>
    <w:rsid w:val="007C77AA"/>
    <w:rsid w:val="007C7C7C"/>
    <w:rsid w:val="007D3E4D"/>
    <w:rsid w:val="007E18DE"/>
    <w:rsid w:val="007E193A"/>
    <w:rsid w:val="007E2565"/>
    <w:rsid w:val="007E377B"/>
    <w:rsid w:val="007E53F1"/>
    <w:rsid w:val="007F34B4"/>
    <w:rsid w:val="008020F4"/>
    <w:rsid w:val="0080349F"/>
    <w:rsid w:val="008052A3"/>
    <w:rsid w:val="0083063B"/>
    <w:rsid w:val="008322DC"/>
    <w:rsid w:val="008351DA"/>
    <w:rsid w:val="008362F4"/>
    <w:rsid w:val="00840509"/>
    <w:rsid w:val="008477BE"/>
    <w:rsid w:val="008557A4"/>
    <w:rsid w:val="008615C4"/>
    <w:rsid w:val="0086304F"/>
    <w:rsid w:val="00866B99"/>
    <w:rsid w:val="00882FA5"/>
    <w:rsid w:val="00897617"/>
    <w:rsid w:val="008A5DF8"/>
    <w:rsid w:val="008A65DA"/>
    <w:rsid w:val="008C712B"/>
    <w:rsid w:val="008C7AE1"/>
    <w:rsid w:val="008D0598"/>
    <w:rsid w:val="008D3E7A"/>
    <w:rsid w:val="008D5BAD"/>
    <w:rsid w:val="008E2AFE"/>
    <w:rsid w:val="008E2D74"/>
    <w:rsid w:val="008E4117"/>
    <w:rsid w:val="008F0F5D"/>
    <w:rsid w:val="008F6B65"/>
    <w:rsid w:val="008F75A9"/>
    <w:rsid w:val="00922438"/>
    <w:rsid w:val="009312C4"/>
    <w:rsid w:val="00935D00"/>
    <w:rsid w:val="00951D03"/>
    <w:rsid w:val="009536DD"/>
    <w:rsid w:val="00953E85"/>
    <w:rsid w:val="0096627B"/>
    <w:rsid w:val="00971D2A"/>
    <w:rsid w:val="0099053D"/>
    <w:rsid w:val="009A3A08"/>
    <w:rsid w:val="009A4AD6"/>
    <w:rsid w:val="009B5ABE"/>
    <w:rsid w:val="009C3F26"/>
    <w:rsid w:val="009C5E1D"/>
    <w:rsid w:val="009D2536"/>
    <w:rsid w:val="009D30FA"/>
    <w:rsid w:val="009D6B8F"/>
    <w:rsid w:val="009D73B3"/>
    <w:rsid w:val="009E2006"/>
    <w:rsid w:val="009E21BA"/>
    <w:rsid w:val="009E43E3"/>
    <w:rsid w:val="009F0EFE"/>
    <w:rsid w:val="009F1035"/>
    <w:rsid w:val="009F112E"/>
    <w:rsid w:val="00A10143"/>
    <w:rsid w:val="00A139C1"/>
    <w:rsid w:val="00A14BE0"/>
    <w:rsid w:val="00A21DC4"/>
    <w:rsid w:val="00A35CFA"/>
    <w:rsid w:val="00A45E46"/>
    <w:rsid w:val="00A50245"/>
    <w:rsid w:val="00A51D54"/>
    <w:rsid w:val="00A563B1"/>
    <w:rsid w:val="00A62B5A"/>
    <w:rsid w:val="00A65FD1"/>
    <w:rsid w:val="00A671B6"/>
    <w:rsid w:val="00A87DFA"/>
    <w:rsid w:val="00A94DC8"/>
    <w:rsid w:val="00A9585D"/>
    <w:rsid w:val="00AA3E90"/>
    <w:rsid w:val="00AA6A57"/>
    <w:rsid w:val="00AB0F84"/>
    <w:rsid w:val="00AB1C85"/>
    <w:rsid w:val="00AB2DCF"/>
    <w:rsid w:val="00AC60D1"/>
    <w:rsid w:val="00AD14A0"/>
    <w:rsid w:val="00AD5E20"/>
    <w:rsid w:val="00AE1425"/>
    <w:rsid w:val="00AE2B47"/>
    <w:rsid w:val="00AE33B8"/>
    <w:rsid w:val="00AF0B9D"/>
    <w:rsid w:val="00B065B2"/>
    <w:rsid w:val="00B14799"/>
    <w:rsid w:val="00B15106"/>
    <w:rsid w:val="00B3020C"/>
    <w:rsid w:val="00B347E4"/>
    <w:rsid w:val="00B51719"/>
    <w:rsid w:val="00B554D2"/>
    <w:rsid w:val="00B55BBA"/>
    <w:rsid w:val="00B57B5E"/>
    <w:rsid w:val="00B6090B"/>
    <w:rsid w:val="00B66B60"/>
    <w:rsid w:val="00B77E7B"/>
    <w:rsid w:val="00B803FC"/>
    <w:rsid w:val="00B8463D"/>
    <w:rsid w:val="00B85CE3"/>
    <w:rsid w:val="00B90848"/>
    <w:rsid w:val="00B9448D"/>
    <w:rsid w:val="00B96BF7"/>
    <w:rsid w:val="00BA6FBA"/>
    <w:rsid w:val="00BB01DD"/>
    <w:rsid w:val="00BC1E4F"/>
    <w:rsid w:val="00BC5BB5"/>
    <w:rsid w:val="00BD2EC1"/>
    <w:rsid w:val="00BE0984"/>
    <w:rsid w:val="00BE5FA7"/>
    <w:rsid w:val="00BF49EF"/>
    <w:rsid w:val="00C14297"/>
    <w:rsid w:val="00C24151"/>
    <w:rsid w:val="00C24CC8"/>
    <w:rsid w:val="00C27347"/>
    <w:rsid w:val="00C37884"/>
    <w:rsid w:val="00C60F20"/>
    <w:rsid w:val="00C70F5A"/>
    <w:rsid w:val="00C75185"/>
    <w:rsid w:val="00C87D79"/>
    <w:rsid w:val="00C93821"/>
    <w:rsid w:val="00CB2087"/>
    <w:rsid w:val="00CB233F"/>
    <w:rsid w:val="00CB7F8B"/>
    <w:rsid w:val="00CC212E"/>
    <w:rsid w:val="00CD3AB1"/>
    <w:rsid w:val="00CD6579"/>
    <w:rsid w:val="00CE15AE"/>
    <w:rsid w:val="00CE2D96"/>
    <w:rsid w:val="00D00064"/>
    <w:rsid w:val="00D0013D"/>
    <w:rsid w:val="00D12D97"/>
    <w:rsid w:val="00D12E64"/>
    <w:rsid w:val="00D209A7"/>
    <w:rsid w:val="00D20E25"/>
    <w:rsid w:val="00D2204C"/>
    <w:rsid w:val="00D31672"/>
    <w:rsid w:val="00D44E36"/>
    <w:rsid w:val="00D51832"/>
    <w:rsid w:val="00D636DB"/>
    <w:rsid w:val="00D76D80"/>
    <w:rsid w:val="00D84DDC"/>
    <w:rsid w:val="00D87ED1"/>
    <w:rsid w:val="00D95C74"/>
    <w:rsid w:val="00D967F0"/>
    <w:rsid w:val="00D975E7"/>
    <w:rsid w:val="00DA1860"/>
    <w:rsid w:val="00DA5084"/>
    <w:rsid w:val="00DA5878"/>
    <w:rsid w:val="00DA6314"/>
    <w:rsid w:val="00DB1126"/>
    <w:rsid w:val="00DB46C3"/>
    <w:rsid w:val="00DB553D"/>
    <w:rsid w:val="00DC715C"/>
    <w:rsid w:val="00DD1020"/>
    <w:rsid w:val="00DD1F73"/>
    <w:rsid w:val="00DE2E6F"/>
    <w:rsid w:val="00DE428B"/>
    <w:rsid w:val="00DF24C0"/>
    <w:rsid w:val="00DF5014"/>
    <w:rsid w:val="00DF5D23"/>
    <w:rsid w:val="00E0273B"/>
    <w:rsid w:val="00E03088"/>
    <w:rsid w:val="00E10762"/>
    <w:rsid w:val="00E17B5E"/>
    <w:rsid w:val="00E269D4"/>
    <w:rsid w:val="00E37B09"/>
    <w:rsid w:val="00E44F0B"/>
    <w:rsid w:val="00E46F87"/>
    <w:rsid w:val="00E5056F"/>
    <w:rsid w:val="00E52CD0"/>
    <w:rsid w:val="00E53468"/>
    <w:rsid w:val="00E53CBA"/>
    <w:rsid w:val="00E76581"/>
    <w:rsid w:val="00E773C4"/>
    <w:rsid w:val="00E85FF7"/>
    <w:rsid w:val="00EA7801"/>
    <w:rsid w:val="00EB2B80"/>
    <w:rsid w:val="00EB6293"/>
    <w:rsid w:val="00EB76AE"/>
    <w:rsid w:val="00ED0E7A"/>
    <w:rsid w:val="00ED14BC"/>
    <w:rsid w:val="00EF1C04"/>
    <w:rsid w:val="00EF7919"/>
    <w:rsid w:val="00F05E10"/>
    <w:rsid w:val="00F06079"/>
    <w:rsid w:val="00F2230C"/>
    <w:rsid w:val="00F33F3C"/>
    <w:rsid w:val="00F4702D"/>
    <w:rsid w:val="00F50A82"/>
    <w:rsid w:val="00F51BB5"/>
    <w:rsid w:val="00F51DF1"/>
    <w:rsid w:val="00F535E7"/>
    <w:rsid w:val="00F55CEF"/>
    <w:rsid w:val="00F562CC"/>
    <w:rsid w:val="00F617E4"/>
    <w:rsid w:val="00F75275"/>
    <w:rsid w:val="00F80D9C"/>
    <w:rsid w:val="00F83367"/>
    <w:rsid w:val="00F877B8"/>
    <w:rsid w:val="00F91499"/>
    <w:rsid w:val="00F949F2"/>
    <w:rsid w:val="00F96597"/>
    <w:rsid w:val="00FA0739"/>
    <w:rsid w:val="00FA2F25"/>
    <w:rsid w:val="00FA4C44"/>
    <w:rsid w:val="00FB0360"/>
    <w:rsid w:val="00FB1408"/>
    <w:rsid w:val="00FB6812"/>
    <w:rsid w:val="00FD0F26"/>
    <w:rsid w:val="00FD20BF"/>
    <w:rsid w:val="00FE5F9B"/>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F0CAB"/>
  <w15:chartTrackingRefBased/>
  <w15:docId w15:val="{F3D7F08E-65AE-4EC6-9B7E-EC74FAC2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Hashtag" w:uiPriority="49"/>
    <w:lsdException w:name="Unresolved Mention" w:uiPriority="50"/>
    <w:lsdException w:name="Smart Link" w:uiPriority="51"/>
  </w:latentStyles>
  <w:style w:type="paragraph" w:default="1" w:styleId="Normal">
    <w:name w:val="Normal"/>
    <w:qFormat/>
    <w:rsid w:val="00D20E25"/>
    <w:rPr>
      <w:rFonts w:ascii="Arial" w:hAnsi="Arial" w:cs="Arial"/>
      <w:lang w:bidi="en-US"/>
    </w:rPr>
  </w:style>
  <w:style w:type="paragraph" w:styleId="Heading1">
    <w:name w:val="heading 1"/>
    <w:basedOn w:val="Heading2"/>
    <w:next w:val="Normal"/>
    <w:link w:val="Heading1Char"/>
    <w:uiPriority w:val="9"/>
    <w:qFormat/>
    <w:rsid w:val="00D20E25"/>
    <w:pPr>
      <w:outlineLvl w:val="0"/>
    </w:pPr>
    <w:rPr>
      <w:sz w:val="24"/>
      <w:szCs w:val="24"/>
    </w:rPr>
  </w:style>
  <w:style w:type="paragraph" w:styleId="Heading2">
    <w:name w:val="heading 2"/>
    <w:basedOn w:val="Normal"/>
    <w:next w:val="Normal"/>
    <w:link w:val="Heading2Char"/>
    <w:uiPriority w:val="9"/>
    <w:qFormat/>
    <w:rsid w:val="00D20E25"/>
    <w:pPr>
      <w:outlineLvl w:val="1"/>
    </w:pPr>
    <w:rPr>
      <w:b/>
    </w:rPr>
  </w:style>
  <w:style w:type="paragraph" w:styleId="Heading3">
    <w:name w:val="heading 3"/>
    <w:basedOn w:val="MediumGrid2-Accent11"/>
    <w:next w:val="Normal"/>
    <w:link w:val="Heading3Char"/>
    <w:uiPriority w:val="9"/>
    <w:qFormat/>
    <w:rsid w:val="00D20E25"/>
    <w:pPr>
      <w:outlineLvl w:val="2"/>
    </w:pPr>
    <w:rPr>
      <w:u w:val="single"/>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0E25"/>
    <w:rPr>
      <w:rFonts w:ascii="Arial" w:hAnsi="Arial" w:cs="Arial"/>
      <w:b/>
      <w:sz w:val="24"/>
      <w:szCs w:val="24"/>
      <w:lang w:val="x-none" w:eastAsia="x-none" w:bidi="en-US"/>
    </w:rPr>
  </w:style>
  <w:style w:type="character" w:customStyle="1" w:styleId="Heading2Char">
    <w:name w:val="Heading 2 Char"/>
    <w:link w:val="Heading2"/>
    <w:uiPriority w:val="9"/>
    <w:rsid w:val="00D20E25"/>
    <w:rPr>
      <w:rFonts w:ascii="Arial" w:hAnsi="Arial" w:cs="Arial"/>
      <w:b/>
      <w:lang w:val="x-none" w:eastAsia="x-none" w:bidi="en-US"/>
    </w:rPr>
  </w:style>
  <w:style w:type="character" w:customStyle="1" w:styleId="Heading3Char">
    <w:name w:val="Heading 3 Char"/>
    <w:link w:val="Heading3"/>
    <w:uiPriority w:val="9"/>
    <w:rsid w:val="00D20E25"/>
    <w:rPr>
      <w:rFonts w:ascii="Arial" w:hAnsi="Arial" w:cs="Arial"/>
      <w:u w:val="single"/>
      <w:lang w:val="x-none" w:eastAsia="x-none" w:bidi="en-U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Accent11">
    <w:name w:val="Medium Grid 2 - Accent 11"/>
    <w:aliases w:val="Bob Comments"/>
    <w:basedOn w:val="Normal"/>
    <w:link w:val="MediumGrid2-Accent1Char"/>
    <w:uiPriority w:val="1"/>
    <w:qFormat/>
    <w:rsid w:val="002F5B6A"/>
    <w:rPr>
      <w:lang w:val="x-none" w:eastAsia="x-none"/>
    </w:rPr>
  </w:style>
  <w:style w:type="paragraph" w:customStyle="1" w:styleId="LightGrid-Accent31">
    <w:name w:val="Light Grid - Accent 31"/>
    <w:basedOn w:val="Normal"/>
    <w:uiPriority w:val="34"/>
    <w:qFormat/>
    <w:rsid w:val="002F5B6A"/>
    <w:pPr>
      <w:contextualSpacing/>
    </w:pPr>
  </w:style>
  <w:style w:type="paragraph" w:customStyle="1" w:styleId="MediumShading1-Accent31">
    <w:name w:val="Medium Shading 1 - Accent 31"/>
    <w:basedOn w:val="Normal"/>
    <w:next w:val="Normal"/>
    <w:link w:val="MediumShading1-Accent3Char"/>
    <w:uiPriority w:val="29"/>
    <w:qFormat/>
    <w:rsid w:val="002F5B6A"/>
    <w:pPr>
      <w:spacing w:before="200"/>
      <w:ind w:right="360"/>
    </w:pPr>
    <w:rPr>
      <w:rFonts w:ascii="Calibri" w:hAnsi="Calibri"/>
      <w:i/>
      <w:iCs/>
      <w:lang w:val="x-none" w:eastAsia="x-none" w:bidi="ar-SA"/>
    </w:rPr>
  </w:style>
  <w:style w:type="character" w:customStyle="1" w:styleId="MediumShading1-Accent3Char">
    <w:name w:val="Medium Shading 1 - Accent 3 Char"/>
    <w:link w:val="MediumShading1-Accent31"/>
    <w:uiPriority w:val="29"/>
    <w:rsid w:val="002F5B6A"/>
    <w:rPr>
      <w:i/>
      <w:iCs/>
    </w:rPr>
  </w:style>
  <w:style w:type="paragraph" w:customStyle="1" w:styleId="MediumShading2-Accent31">
    <w:name w:val="Medium Shading 2 - Accent 31"/>
    <w:basedOn w:val="Normal"/>
    <w:next w:val="Normal"/>
    <w:link w:val="MediumShading2-Accent3Char"/>
    <w:uiPriority w:val="30"/>
    <w:qFormat/>
    <w:rsid w:val="002F5B6A"/>
    <w:pPr>
      <w:pBdr>
        <w:bottom w:val="single" w:sz="4" w:space="1" w:color="auto"/>
      </w:pBdr>
      <w:spacing w:before="200" w:after="280"/>
      <w:ind w:left="1008" w:right="1152"/>
    </w:pPr>
    <w:rPr>
      <w:rFonts w:ascii="Calibri" w:hAnsi="Calibri"/>
      <w:b/>
      <w:bCs/>
      <w:i/>
      <w:iCs/>
      <w:lang w:val="x-none" w:eastAsia="x-none" w:bidi="ar-SA"/>
    </w:rPr>
  </w:style>
  <w:style w:type="character" w:customStyle="1" w:styleId="MediumShading2-Accent3Char">
    <w:name w:val="Medium Shading 2 - Accent 3 Char"/>
    <w:link w:val="MediumShading2-Accent31"/>
    <w:uiPriority w:val="30"/>
    <w:rsid w:val="002F5B6A"/>
    <w:rPr>
      <w:b/>
      <w:bCs/>
      <w:i/>
      <w:iCs/>
    </w:rPr>
  </w:style>
  <w:style w:type="character" w:customStyle="1" w:styleId="GridTable1Light-Accent21">
    <w:name w:val="Grid Table 1 Light - Accent 21"/>
    <w:uiPriority w:val="19"/>
    <w:qFormat/>
    <w:rsid w:val="002F5B6A"/>
    <w:rPr>
      <w:i/>
      <w:iCs/>
    </w:rPr>
  </w:style>
  <w:style w:type="character" w:customStyle="1" w:styleId="GridTable2-Accent21">
    <w:name w:val="Grid Table 2 - Accent 21"/>
    <w:uiPriority w:val="21"/>
    <w:qFormat/>
    <w:rsid w:val="002F5B6A"/>
    <w:rPr>
      <w:b/>
      <w:bCs/>
    </w:rPr>
  </w:style>
  <w:style w:type="character" w:customStyle="1" w:styleId="GridTable3-Accent21">
    <w:name w:val="Grid Table 3 - Accent 21"/>
    <w:uiPriority w:val="31"/>
    <w:qFormat/>
    <w:rsid w:val="002F5B6A"/>
    <w:rPr>
      <w:smallCaps/>
    </w:rPr>
  </w:style>
  <w:style w:type="character" w:customStyle="1" w:styleId="GridTable4-Accent21">
    <w:name w:val="Grid Table 4 - Accent 21"/>
    <w:uiPriority w:val="32"/>
    <w:qFormat/>
    <w:rsid w:val="002F5B6A"/>
    <w:rPr>
      <w:smallCaps/>
      <w:spacing w:val="5"/>
      <w:u w:val="single"/>
    </w:rPr>
  </w:style>
  <w:style w:type="character" w:customStyle="1" w:styleId="GridTable5Dark-Accent21">
    <w:name w:val="Grid Table 5 Dark - Accent 21"/>
    <w:uiPriority w:val="33"/>
    <w:qFormat/>
    <w:rsid w:val="002F5B6A"/>
    <w:rPr>
      <w:i/>
      <w:iCs/>
      <w:smallCaps/>
      <w:spacing w:val="5"/>
    </w:rPr>
  </w:style>
  <w:style w:type="paragraph" w:customStyle="1" w:styleId="GridTable7Colorful-Accent21">
    <w:name w:val="Grid Table 7 Colorful - Accent 2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Accent1Char">
    <w:name w:val="Medium Grid 2 - Accent 1 Char"/>
    <w:aliases w:val="Bob Comments Char"/>
    <w:link w:val="MediumGrid2-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unhideWhenUsed/>
    <w:rsid w:val="00D84DDC"/>
    <w:pPr>
      <w:spacing w:before="100" w:beforeAutospacing="1" w:after="100" w:afterAutospacing="1"/>
    </w:pPr>
    <w:rPr>
      <w:rFonts w:ascii="Times New Roman" w:hAnsi="Times New Roman"/>
      <w:sz w:val="24"/>
      <w:szCs w:val="24"/>
      <w:lang w:bidi="ar-SA"/>
    </w:rPr>
  </w:style>
  <w:style w:type="paragraph" w:customStyle="1" w:styleId="MediumGrid1-Accent21">
    <w:name w:val="Medium Grid 1 - Accent 21"/>
    <w:basedOn w:val="Normal"/>
    <w:uiPriority w:val="34"/>
    <w:qFormat/>
    <w:rsid w:val="00595A34"/>
    <w:pPr>
      <w:ind w:left="720"/>
    </w:pPr>
    <w:rPr>
      <w:rFonts w:ascii="Calibri" w:hAnsi="Calibri" w:cs="Calibri"/>
      <w:sz w:val="22"/>
      <w:lang w:bidi="ar-SA"/>
    </w:rPr>
  </w:style>
  <w:style w:type="character" w:customStyle="1" w:styleId="UnresolvedMention1">
    <w:name w:val="Unresolved Mention1"/>
    <w:uiPriority w:val="47"/>
    <w:rsid w:val="00402CF5"/>
    <w:rPr>
      <w:color w:val="808080"/>
      <w:shd w:val="clear" w:color="auto" w:fill="E6E6E6"/>
    </w:rPr>
  </w:style>
  <w:style w:type="character" w:customStyle="1" w:styleId="UnresolvedMention2">
    <w:name w:val="Unresolved Mention2"/>
    <w:uiPriority w:val="47"/>
    <w:rsid w:val="00D87ED1"/>
    <w:rPr>
      <w:color w:val="808080"/>
      <w:shd w:val="clear" w:color="auto" w:fill="E6E6E6"/>
    </w:rPr>
  </w:style>
  <w:style w:type="character" w:customStyle="1" w:styleId="UnresolvedMention3">
    <w:name w:val="Unresolved Mention3"/>
    <w:uiPriority w:val="52"/>
    <w:rsid w:val="00021244"/>
    <w:rPr>
      <w:color w:val="808080"/>
      <w:shd w:val="clear" w:color="auto" w:fill="E6E6E6"/>
    </w:rPr>
  </w:style>
  <w:style w:type="character" w:styleId="FollowedHyperlink">
    <w:name w:val="FollowedHyperlink"/>
    <w:uiPriority w:val="99"/>
    <w:semiHidden/>
    <w:unhideWhenUsed/>
    <w:rsid w:val="0099053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104156455">
      <w:bodyDiv w:val="1"/>
      <w:marLeft w:val="0"/>
      <w:marRight w:val="0"/>
      <w:marTop w:val="0"/>
      <w:marBottom w:val="0"/>
      <w:divBdr>
        <w:top w:val="none" w:sz="0" w:space="0" w:color="auto"/>
        <w:left w:val="none" w:sz="0" w:space="0" w:color="auto"/>
        <w:bottom w:val="none" w:sz="0" w:space="0" w:color="auto"/>
        <w:right w:val="none" w:sz="0" w:space="0" w:color="auto"/>
      </w:divBdr>
      <w:divsChild>
        <w:div w:id="137308084">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78155068">
          <w:marLeft w:val="0"/>
          <w:marRight w:val="0"/>
          <w:marTop w:val="0"/>
          <w:marBottom w:val="0"/>
          <w:divBdr>
            <w:top w:val="none" w:sz="0" w:space="0" w:color="auto"/>
            <w:left w:val="none" w:sz="0" w:space="0" w:color="auto"/>
            <w:bottom w:val="none" w:sz="0" w:space="0" w:color="auto"/>
            <w:right w:val="none" w:sz="0" w:space="0" w:color="auto"/>
          </w:divBdr>
        </w:div>
        <w:div w:id="184365333">
          <w:marLeft w:val="0"/>
          <w:marRight w:val="0"/>
          <w:marTop w:val="0"/>
          <w:marBottom w:val="0"/>
          <w:divBdr>
            <w:top w:val="none" w:sz="0" w:space="0" w:color="auto"/>
            <w:left w:val="none" w:sz="0" w:space="0" w:color="auto"/>
            <w:bottom w:val="none" w:sz="0" w:space="0" w:color="auto"/>
            <w:right w:val="none" w:sz="0" w:space="0" w:color="auto"/>
          </w:divBdr>
        </w:div>
        <w:div w:id="244800560">
          <w:marLeft w:val="0"/>
          <w:marRight w:val="0"/>
          <w:marTop w:val="0"/>
          <w:marBottom w:val="0"/>
          <w:divBdr>
            <w:top w:val="none" w:sz="0" w:space="0" w:color="auto"/>
            <w:left w:val="none" w:sz="0" w:space="0" w:color="auto"/>
            <w:bottom w:val="none" w:sz="0" w:space="0" w:color="auto"/>
            <w:right w:val="none" w:sz="0" w:space="0" w:color="auto"/>
          </w:divBdr>
        </w:div>
        <w:div w:id="317612891">
          <w:marLeft w:val="0"/>
          <w:marRight w:val="0"/>
          <w:marTop w:val="0"/>
          <w:marBottom w:val="0"/>
          <w:divBdr>
            <w:top w:val="none" w:sz="0" w:space="0" w:color="auto"/>
            <w:left w:val="none" w:sz="0" w:space="0" w:color="auto"/>
            <w:bottom w:val="none" w:sz="0" w:space="0" w:color="auto"/>
            <w:right w:val="none" w:sz="0" w:space="0" w:color="auto"/>
          </w:divBdr>
        </w:div>
        <w:div w:id="595941884">
          <w:marLeft w:val="0"/>
          <w:marRight w:val="0"/>
          <w:marTop w:val="0"/>
          <w:marBottom w:val="0"/>
          <w:divBdr>
            <w:top w:val="none" w:sz="0" w:space="0" w:color="auto"/>
            <w:left w:val="none" w:sz="0" w:space="0" w:color="auto"/>
            <w:bottom w:val="none" w:sz="0" w:space="0" w:color="auto"/>
            <w:right w:val="none" w:sz="0" w:space="0" w:color="auto"/>
          </w:divBdr>
        </w:div>
        <w:div w:id="626200292">
          <w:marLeft w:val="0"/>
          <w:marRight w:val="0"/>
          <w:marTop w:val="0"/>
          <w:marBottom w:val="0"/>
          <w:divBdr>
            <w:top w:val="none" w:sz="0" w:space="0" w:color="auto"/>
            <w:left w:val="none" w:sz="0" w:space="0" w:color="auto"/>
            <w:bottom w:val="none" w:sz="0" w:space="0" w:color="auto"/>
            <w:right w:val="none" w:sz="0" w:space="0" w:color="auto"/>
          </w:divBdr>
        </w:div>
        <w:div w:id="653410964">
          <w:marLeft w:val="0"/>
          <w:marRight w:val="0"/>
          <w:marTop w:val="0"/>
          <w:marBottom w:val="0"/>
          <w:divBdr>
            <w:top w:val="none" w:sz="0" w:space="0" w:color="auto"/>
            <w:left w:val="none" w:sz="0" w:space="0" w:color="auto"/>
            <w:bottom w:val="none" w:sz="0" w:space="0" w:color="auto"/>
            <w:right w:val="none" w:sz="0" w:space="0" w:color="auto"/>
          </w:divBdr>
        </w:div>
        <w:div w:id="814906084">
          <w:marLeft w:val="0"/>
          <w:marRight w:val="0"/>
          <w:marTop w:val="0"/>
          <w:marBottom w:val="0"/>
          <w:divBdr>
            <w:top w:val="none" w:sz="0" w:space="0" w:color="auto"/>
            <w:left w:val="none" w:sz="0" w:space="0" w:color="auto"/>
            <w:bottom w:val="none" w:sz="0" w:space="0" w:color="auto"/>
            <w:right w:val="none" w:sz="0" w:space="0" w:color="auto"/>
          </w:divBdr>
        </w:div>
        <w:div w:id="864633243">
          <w:marLeft w:val="0"/>
          <w:marRight w:val="0"/>
          <w:marTop w:val="0"/>
          <w:marBottom w:val="0"/>
          <w:divBdr>
            <w:top w:val="none" w:sz="0" w:space="0" w:color="auto"/>
            <w:left w:val="none" w:sz="0" w:space="0" w:color="auto"/>
            <w:bottom w:val="none" w:sz="0" w:space="0" w:color="auto"/>
            <w:right w:val="none" w:sz="0" w:space="0" w:color="auto"/>
          </w:divBdr>
        </w:div>
        <w:div w:id="864906817">
          <w:marLeft w:val="0"/>
          <w:marRight w:val="0"/>
          <w:marTop w:val="0"/>
          <w:marBottom w:val="0"/>
          <w:divBdr>
            <w:top w:val="none" w:sz="0" w:space="0" w:color="auto"/>
            <w:left w:val="none" w:sz="0" w:space="0" w:color="auto"/>
            <w:bottom w:val="none" w:sz="0" w:space="0" w:color="auto"/>
            <w:right w:val="none" w:sz="0" w:space="0" w:color="auto"/>
          </w:divBdr>
        </w:div>
        <w:div w:id="1010374410">
          <w:marLeft w:val="0"/>
          <w:marRight w:val="0"/>
          <w:marTop w:val="0"/>
          <w:marBottom w:val="0"/>
          <w:divBdr>
            <w:top w:val="none" w:sz="0" w:space="0" w:color="auto"/>
            <w:left w:val="none" w:sz="0" w:space="0" w:color="auto"/>
            <w:bottom w:val="none" w:sz="0" w:space="0" w:color="auto"/>
            <w:right w:val="none" w:sz="0" w:space="0" w:color="auto"/>
          </w:divBdr>
          <w:divsChild>
            <w:div w:id="1213496477">
              <w:marLeft w:val="0"/>
              <w:marRight w:val="0"/>
              <w:marTop w:val="0"/>
              <w:marBottom w:val="0"/>
              <w:divBdr>
                <w:top w:val="none" w:sz="0" w:space="0" w:color="auto"/>
                <w:left w:val="none" w:sz="0" w:space="0" w:color="auto"/>
                <w:bottom w:val="none" w:sz="0" w:space="0" w:color="auto"/>
                <w:right w:val="none" w:sz="0" w:space="0" w:color="auto"/>
              </w:divBdr>
            </w:div>
          </w:divsChild>
        </w:div>
        <w:div w:id="1183931876">
          <w:marLeft w:val="0"/>
          <w:marRight w:val="0"/>
          <w:marTop w:val="0"/>
          <w:marBottom w:val="0"/>
          <w:divBdr>
            <w:top w:val="none" w:sz="0" w:space="0" w:color="auto"/>
            <w:left w:val="none" w:sz="0" w:space="0" w:color="auto"/>
            <w:bottom w:val="none" w:sz="0" w:space="0" w:color="auto"/>
            <w:right w:val="none" w:sz="0" w:space="0" w:color="auto"/>
          </w:divBdr>
        </w:div>
        <w:div w:id="1184780204">
          <w:marLeft w:val="0"/>
          <w:marRight w:val="0"/>
          <w:marTop w:val="0"/>
          <w:marBottom w:val="0"/>
          <w:divBdr>
            <w:top w:val="none" w:sz="0" w:space="0" w:color="auto"/>
            <w:left w:val="none" w:sz="0" w:space="0" w:color="auto"/>
            <w:bottom w:val="none" w:sz="0" w:space="0" w:color="auto"/>
            <w:right w:val="none" w:sz="0" w:space="0" w:color="auto"/>
          </w:divBdr>
        </w:div>
        <w:div w:id="1208491327">
          <w:marLeft w:val="0"/>
          <w:marRight w:val="0"/>
          <w:marTop w:val="0"/>
          <w:marBottom w:val="0"/>
          <w:divBdr>
            <w:top w:val="none" w:sz="0" w:space="0" w:color="auto"/>
            <w:left w:val="none" w:sz="0" w:space="0" w:color="auto"/>
            <w:bottom w:val="none" w:sz="0" w:space="0" w:color="auto"/>
            <w:right w:val="none" w:sz="0" w:space="0" w:color="auto"/>
          </w:divBdr>
        </w:div>
        <w:div w:id="1222863445">
          <w:marLeft w:val="0"/>
          <w:marRight w:val="0"/>
          <w:marTop w:val="0"/>
          <w:marBottom w:val="0"/>
          <w:divBdr>
            <w:top w:val="none" w:sz="0" w:space="0" w:color="auto"/>
            <w:left w:val="none" w:sz="0" w:space="0" w:color="auto"/>
            <w:bottom w:val="none" w:sz="0" w:space="0" w:color="auto"/>
            <w:right w:val="none" w:sz="0" w:space="0" w:color="auto"/>
          </w:divBdr>
        </w:div>
        <w:div w:id="1246955062">
          <w:marLeft w:val="0"/>
          <w:marRight w:val="0"/>
          <w:marTop w:val="0"/>
          <w:marBottom w:val="0"/>
          <w:divBdr>
            <w:top w:val="none" w:sz="0" w:space="0" w:color="auto"/>
            <w:left w:val="none" w:sz="0" w:space="0" w:color="auto"/>
            <w:bottom w:val="none" w:sz="0" w:space="0" w:color="auto"/>
            <w:right w:val="none" w:sz="0" w:space="0" w:color="auto"/>
          </w:divBdr>
          <w:divsChild>
            <w:div w:id="647784167">
              <w:marLeft w:val="0"/>
              <w:marRight w:val="0"/>
              <w:marTop w:val="0"/>
              <w:marBottom w:val="0"/>
              <w:divBdr>
                <w:top w:val="none" w:sz="0" w:space="0" w:color="auto"/>
                <w:left w:val="none" w:sz="0" w:space="0" w:color="auto"/>
                <w:bottom w:val="none" w:sz="0" w:space="0" w:color="auto"/>
                <w:right w:val="none" w:sz="0" w:space="0" w:color="auto"/>
              </w:divBdr>
            </w:div>
          </w:divsChild>
        </w:div>
        <w:div w:id="1269970552">
          <w:marLeft w:val="0"/>
          <w:marRight w:val="0"/>
          <w:marTop w:val="0"/>
          <w:marBottom w:val="0"/>
          <w:divBdr>
            <w:top w:val="none" w:sz="0" w:space="0" w:color="auto"/>
            <w:left w:val="none" w:sz="0" w:space="0" w:color="auto"/>
            <w:bottom w:val="none" w:sz="0" w:space="0" w:color="auto"/>
            <w:right w:val="none" w:sz="0" w:space="0" w:color="auto"/>
          </w:divBdr>
        </w:div>
        <w:div w:id="1345011466">
          <w:marLeft w:val="0"/>
          <w:marRight w:val="0"/>
          <w:marTop w:val="0"/>
          <w:marBottom w:val="0"/>
          <w:divBdr>
            <w:top w:val="none" w:sz="0" w:space="0" w:color="auto"/>
            <w:left w:val="none" w:sz="0" w:space="0" w:color="auto"/>
            <w:bottom w:val="none" w:sz="0" w:space="0" w:color="auto"/>
            <w:right w:val="none" w:sz="0" w:space="0" w:color="auto"/>
          </w:divBdr>
          <w:divsChild>
            <w:div w:id="17512919">
              <w:marLeft w:val="0"/>
              <w:marRight w:val="0"/>
              <w:marTop w:val="0"/>
              <w:marBottom w:val="0"/>
              <w:divBdr>
                <w:top w:val="none" w:sz="0" w:space="0" w:color="auto"/>
                <w:left w:val="none" w:sz="0" w:space="0" w:color="auto"/>
                <w:bottom w:val="none" w:sz="0" w:space="0" w:color="auto"/>
                <w:right w:val="none" w:sz="0" w:space="0" w:color="auto"/>
              </w:divBdr>
            </w:div>
            <w:div w:id="119694061">
              <w:marLeft w:val="0"/>
              <w:marRight w:val="0"/>
              <w:marTop w:val="0"/>
              <w:marBottom w:val="0"/>
              <w:divBdr>
                <w:top w:val="none" w:sz="0" w:space="0" w:color="auto"/>
                <w:left w:val="none" w:sz="0" w:space="0" w:color="auto"/>
                <w:bottom w:val="none" w:sz="0" w:space="0" w:color="auto"/>
                <w:right w:val="none" w:sz="0" w:space="0" w:color="auto"/>
              </w:divBdr>
            </w:div>
            <w:div w:id="190998787">
              <w:marLeft w:val="0"/>
              <w:marRight w:val="0"/>
              <w:marTop w:val="0"/>
              <w:marBottom w:val="0"/>
              <w:divBdr>
                <w:top w:val="none" w:sz="0" w:space="0" w:color="auto"/>
                <w:left w:val="none" w:sz="0" w:space="0" w:color="auto"/>
                <w:bottom w:val="none" w:sz="0" w:space="0" w:color="auto"/>
                <w:right w:val="none" w:sz="0" w:space="0" w:color="auto"/>
              </w:divBdr>
            </w:div>
            <w:div w:id="570819961">
              <w:marLeft w:val="0"/>
              <w:marRight w:val="0"/>
              <w:marTop w:val="0"/>
              <w:marBottom w:val="0"/>
              <w:divBdr>
                <w:top w:val="none" w:sz="0" w:space="0" w:color="auto"/>
                <w:left w:val="none" w:sz="0" w:space="0" w:color="auto"/>
                <w:bottom w:val="none" w:sz="0" w:space="0" w:color="auto"/>
                <w:right w:val="none" w:sz="0" w:space="0" w:color="auto"/>
              </w:divBdr>
            </w:div>
            <w:div w:id="1305770625">
              <w:marLeft w:val="0"/>
              <w:marRight w:val="0"/>
              <w:marTop w:val="0"/>
              <w:marBottom w:val="0"/>
              <w:divBdr>
                <w:top w:val="none" w:sz="0" w:space="0" w:color="auto"/>
                <w:left w:val="none" w:sz="0" w:space="0" w:color="auto"/>
                <w:bottom w:val="none" w:sz="0" w:space="0" w:color="auto"/>
                <w:right w:val="none" w:sz="0" w:space="0" w:color="auto"/>
              </w:divBdr>
            </w:div>
            <w:div w:id="1416971432">
              <w:marLeft w:val="0"/>
              <w:marRight w:val="0"/>
              <w:marTop w:val="0"/>
              <w:marBottom w:val="0"/>
              <w:divBdr>
                <w:top w:val="none" w:sz="0" w:space="0" w:color="auto"/>
                <w:left w:val="none" w:sz="0" w:space="0" w:color="auto"/>
                <w:bottom w:val="none" w:sz="0" w:space="0" w:color="auto"/>
                <w:right w:val="none" w:sz="0" w:space="0" w:color="auto"/>
              </w:divBdr>
            </w:div>
            <w:div w:id="1479569547">
              <w:marLeft w:val="0"/>
              <w:marRight w:val="0"/>
              <w:marTop w:val="0"/>
              <w:marBottom w:val="0"/>
              <w:divBdr>
                <w:top w:val="none" w:sz="0" w:space="0" w:color="auto"/>
                <w:left w:val="none" w:sz="0" w:space="0" w:color="auto"/>
                <w:bottom w:val="none" w:sz="0" w:space="0" w:color="auto"/>
                <w:right w:val="none" w:sz="0" w:space="0" w:color="auto"/>
              </w:divBdr>
            </w:div>
          </w:divsChild>
        </w:div>
        <w:div w:id="1397701018">
          <w:marLeft w:val="0"/>
          <w:marRight w:val="0"/>
          <w:marTop w:val="0"/>
          <w:marBottom w:val="0"/>
          <w:divBdr>
            <w:top w:val="none" w:sz="0" w:space="0" w:color="auto"/>
            <w:left w:val="none" w:sz="0" w:space="0" w:color="auto"/>
            <w:bottom w:val="none" w:sz="0" w:space="0" w:color="auto"/>
            <w:right w:val="none" w:sz="0" w:space="0" w:color="auto"/>
          </w:divBdr>
        </w:div>
        <w:div w:id="1474063507">
          <w:marLeft w:val="0"/>
          <w:marRight w:val="0"/>
          <w:marTop w:val="0"/>
          <w:marBottom w:val="0"/>
          <w:divBdr>
            <w:top w:val="none" w:sz="0" w:space="0" w:color="auto"/>
            <w:left w:val="none" w:sz="0" w:space="0" w:color="auto"/>
            <w:bottom w:val="none" w:sz="0" w:space="0" w:color="auto"/>
            <w:right w:val="none" w:sz="0" w:space="0" w:color="auto"/>
          </w:divBdr>
        </w:div>
        <w:div w:id="1492481189">
          <w:marLeft w:val="0"/>
          <w:marRight w:val="0"/>
          <w:marTop w:val="0"/>
          <w:marBottom w:val="0"/>
          <w:divBdr>
            <w:top w:val="none" w:sz="0" w:space="0" w:color="auto"/>
            <w:left w:val="none" w:sz="0" w:space="0" w:color="auto"/>
            <w:bottom w:val="none" w:sz="0" w:space="0" w:color="auto"/>
            <w:right w:val="none" w:sz="0" w:space="0" w:color="auto"/>
          </w:divBdr>
        </w:div>
        <w:div w:id="1529563144">
          <w:marLeft w:val="0"/>
          <w:marRight w:val="0"/>
          <w:marTop w:val="0"/>
          <w:marBottom w:val="0"/>
          <w:divBdr>
            <w:top w:val="none" w:sz="0" w:space="0" w:color="auto"/>
            <w:left w:val="none" w:sz="0" w:space="0" w:color="auto"/>
            <w:bottom w:val="none" w:sz="0" w:space="0" w:color="auto"/>
            <w:right w:val="none" w:sz="0" w:space="0" w:color="auto"/>
          </w:divBdr>
        </w:div>
        <w:div w:id="1661427830">
          <w:marLeft w:val="0"/>
          <w:marRight w:val="0"/>
          <w:marTop w:val="0"/>
          <w:marBottom w:val="0"/>
          <w:divBdr>
            <w:top w:val="none" w:sz="0" w:space="0" w:color="auto"/>
            <w:left w:val="none" w:sz="0" w:space="0" w:color="auto"/>
            <w:bottom w:val="none" w:sz="0" w:space="0" w:color="auto"/>
            <w:right w:val="none" w:sz="0" w:space="0" w:color="auto"/>
          </w:divBdr>
        </w:div>
        <w:div w:id="1750343525">
          <w:marLeft w:val="0"/>
          <w:marRight w:val="0"/>
          <w:marTop w:val="0"/>
          <w:marBottom w:val="0"/>
          <w:divBdr>
            <w:top w:val="none" w:sz="0" w:space="0" w:color="auto"/>
            <w:left w:val="none" w:sz="0" w:space="0" w:color="auto"/>
            <w:bottom w:val="none" w:sz="0" w:space="0" w:color="auto"/>
            <w:right w:val="none" w:sz="0" w:space="0" w:color="auto"/>
          </w:divBdr>
          <w:divsChild>
            <w:div w:id="1022050635">
              <w:marLeft w:val="0"/>
              <w:marRight w:val="0"/>
              <w:marTop w:val="0"/>
              <w:marBottom w:val="0"/>
              <w:divBdr>
                <w:top w:val="none" w:sz="0" w:space="0" w:color="auto"/>
                <w:left w:val="none" w:sz="0" w:space="0" w:color="auto"/>
                <w:bottom w:val="none" w:sz="0" w:space="0" w:color="auto"/>
                <w:right w:val="none" w:sz="0" w:space="0" w:color="auto"/>
              </w:divBdr>
            </w:div>
          </w:divsChild>
        </w:div>
        <w:div w:id="1887376978">
          <w:marLeft w:val="0"/>
          <w:marRight w:val="0"/>
          <w:marTop w:val="0"/>
          <w:marBottom w:val="0"/>
          <w:divBdr>
            <w:top w:val="none" w:sz="0" w:space="0" w:color="auto"/>
            <w:left w:val="none" w:sz="0" w:space="0" w:color="auto"/>
            <w:bottom w:val="none" w:sz="0" w:space="0" w:color="auto"/>
            <w:right w:val="none" w:sz="0" w:space="0" w:color="auto"/>
          </w:divBdr>
        </w:div>
        <w:div w:id="1896310205">
          <w:marLeft w:val="0"/>
          <w:marRight w:val="0"/>
          <w:marTop w:val="0"/>
          <w:marBottom w:val="0"/>
          <w:divBdr>
            <w:top w:val="none" w:sz="0" w:space="0" w:color="auto"/>
            <w:left w:val="none" w:sz="0" w:space="0" w:color="auto"/>
            <w:bottom w:val="none" w:sz="0" w:space="0" w:color="auto"/>
            <w:right w:val="none" w:sz="0" w:space="0" w:color="auto"/>
          </w:divBdr>
        </w:div>
        <w:div w:id="2126733936">
          <w:marLeft w:val="0"/>
          <w:marRight w:val="0"/>
          <w:marTop w:val="0"/>
          <w:marBottom w:val="0"/>
          <w:divBdr>
            <w:top w:val="none" w:sz="0" w:space="0" w:color="auto"/>
            <w:left w:val="none" w:sz="0" w:space="0" w:color="auto"/>
            <w:bottom w:val="none" w:sz="0" w:space="0" w:color="auto"/>
            <w:right w:val="none" w:sz="0" w:space="0" w:color="auto"/>
          </w:divBdr>
          <w:divsChild>
            <w:div w:id="578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835">
      <w:bodyDiv w:val="1"/>
      <w:marLeft w:val="0"/>
      <w:marRight w:val="0"/>
      <w:marTop w:val="0"/>
      <w:marBottom w:val="0"/>
      <w:divBdr>
        <w:top w:val="none" w:sz="0" w:space="0" w:color="auto"/>
        <w:left w:val="none" w:sz="0" w:space="0" w:color="auto"/>
        <w:bottom w:val="none" w:sz="0" w:space="0" w:color="auto"/>
        <w:right w:val="none" w:sz="0" w:space="0" w:color="auto"/>
      </w:divBdr>
    </w:div>
    <w:div w:id="400324238">
      <w:bodyDiv w:val="1"/>
      <w:marLeft w:val="0"/>
      <w:marRight w:val="0"/>
      <w:marTop w:val="0"/>
      <w:marBottom w:val="0"/>
      <w:divBdr>
        <w:top w:val="none" w:sz="0" w:space="0" w:color="auto"/>
        <w:left w:val="none" w:sz="0" w:space="0" w:color="auto"/>
        <w:bottom w:val="none" w:sz="0" w:space="0" w:color="auto"/>
        <w:right w:val="none" w:sz="0" w:space="0" w:color="auto"/>
      </w:divBdr>
      <w:divsChild>
        <w:div w:id="1981498653">
          <w:marLeft w:val="360"/>
          <w:marRight w:val="0"/>
          <w:marTop w:val="0"/>
          <w:marBottom w:val="240"/>
          <w:divBdr>
            <w:top w:val="none" w:sz="0" w:space="0" w:color="auto"/>
            <w:left w:val="none" w:sz="0" w:space="0" w:color="auto"/>
            <w:bottom w:val="none" w:sz="0" w:space="0" w:color="auto"/>
            <w:right w:val="none" w:sz="0" w:space="0" w:color="auto"/>
          </w:divBdr>
        </w:div>
      </w:divsChild>
    </w:div>
    <w:div w:id="723212500">
      <w:bodyDiv w:val="1"/>
      <w:marLeft w:val="0"/>
      <w:marRight w:val="0"/>
      <w:marTop w:val="0"/>
      <w:marBottom w:val="0"/>
      <w:divBdr>
        <w:top w:val="none" w:sz="0" w:space="0" w:color="auto"/>
        <w:left w:val="none" w:sz="0" w:space="0" w:color="auto"/>
        <w:bottom w:val="none" w:sz="0" w:space="0" w:color="auto"/>
        <w:right w:val="none" w:sz="0" w:space="0" w:color="auto"/>
      </w:divBdr>
      <w:divsChild>
        <w:div w:id="211503465">
          <w:marLeft w:val="720"/>
          <w:marRight w:val="0"/>
          <w:marTop w:val="0"/>
          <w:marBottom w:val="240"/>
          <w:divBdr>
            <w:top w:val="none" w:sz="0" w:space="0" w:color="auto"/>
            <w:left w:val="none" w:sz="0" w:space="0" w:color="auto"/>
            <w:bottom w:val="none" w:sz="0" w:space="0" w:color="auto"/>
            <w:right w:val="none" w:sz="0" w:space="0" w:color="auto"/>
          </w:divBdr>
        </w:div>
        <w:div w:id="1074201076">
          <w:marLeft w:val="720"/>
          <w:marRight w:val="0"/>
          <w:marTop w:val="0"/>
          <w:marBottom w:val="240"/>
          <w:divBdr>
            <w:top w:val="none" w:sz="0" w:space="0" w:color="auto"/>
            <w:left w:val="none" w:sz="0" w:space="0" w:color="auto"/>
            <w:bottom w:val="none" w:sz="0" w:space="0" w:color="auto"/>
            <w:right w:val="none" w:sz="0" w:space="0" w:color="auto"/>
          </w:divBdr>
        </w:div>
        <w:div w:id="1134561915">
          <w:marLeft w:val="720"/>
          <w:marRight w:val="0"/>
          <w:marTop w:val="0"/>
          <w:marBottom w:val="24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74621591">
      <w:bodyDiv w:val="1"/>
      <w:marLeft w:val="0"/>
      <w:marRight w:val="0"/>
      <w:marTop w:val="0"/>
      <w:marBottom w:val="0"/>
      <w:divBdr>
        <w:top w:val="none" w:sz="0" w:space="0" w:color="auto"/>
        <w:left w:val="none" w:sz="0" w:space="0" w:color="auto"/>
        <w:bottom w:val="none" w:sz="0" w:space="0" w:color="auto"/>
        <w:right w:val="none" w:sz="0" w:space="0" w:color="auto"/>
      </w:divBdr>
      <w:divsChild>
        <w:div w:id="1300189028">
          <w:marLeft w:val="360"/>
          <w:marRight w:val="0"/>
          <w:marTop w:val="0"/>
          <w:marBottom w:val="24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39376976">
      <w:bodyDiv w:val="1"/>
      <w:marLeft w:val="0"/>
      <w:marRight w:val="0"/>
      <w:marTop w:val="0"/>
      <w:marBottom w:val="0"/>
      <w:divBdr>
        <w:top w:val="none" w:sz="0" w:space="0" w:color="auto"/>
        <w:left w:val="none" w:sz="0" w:space="0" w:color="auto"/>
        <w:bottom w:val="none" w:sz="0" w:space="0" w:color="auto"/>
        <w:right w:val="none" w:sz="0" w:space="0" w:color="auto"/>
      </w:divBdr>
    </w:div>
    <w:div w:id="1527329001">
      <w:bodyDiv w:val="1"/>
      <w:marLeft w:val="0"/>
      <w:marRight w:val="0"/>
      <w:marTop w:val="0"/>
      <w:marBottom w:val="0"/>
      <w:divBdr>
        <w:top w:val="none" w:sz="0" w:space="0" w:color="auto"/>
        <w:left w:val="none" w:sz="0" w:space="0" w:color="auto"/>
        <w:bottom w:val="none" w:sz="0" w:space="0" w:color="auto"/>
        <w:right w:val="none" w:sz="0" w:space="0" w:color="auto"/>
      </w:divBdr>
    </w:div>
    <w:div w:id="1706905556">
      <w:bodyDiv w:val="1"/>
      <w:marLeft w:val="0"/>
      <w:marRight w:val="0"/>
      <w:marTop w:val="0"/>
      <w:marBottom w:val="0"/>
      <w:divBdr>
        <w:top w:val="none" w:sz="0" w:space="0" w:color="auto"/>
        <w:left w:val="none" w:sz="0" w:space="0" w:color="auto"/>
        <w:bottom w:val="none" w:sz="0" w:space="0" w:color="auto"/>
        <w:right w:val="none" w:sz="0" w:space="0" w:color="auto"/>
      </w:divBdr>
    </w:div>
    <w:div w:id="1722973232">
      <w:bodyDiv w:val="1"/>
      <w:marLeft w:val="0"/>
      <w:marRight w:val="0"/>
      <w:marTop w:val="0"/>
      <w:marBottom w:val="0"/>
      <w:divBdr>
        <w:top w:val="none" w:sz="0" w:space="0" w:color="auto"/>
        <w:left w:val="none" w:sz="0" w:space="0" w:color="auto"/>
        <w:bottom w:val="none" w:sz="0" w:space="0" w:color="auto"/>
        <w:right w:val="none" w:sz="0" w:space="0" w:color="auto"/>
      </w:divBdr>
      <w:divsChild>
        <w:div w:id="27685345">
          <w:marLeft w:val="0"/>
          <w:marRight w:val="0"/>
          <w:marTop w:val="0"/>
          <w:marBottom w:val="0"/>
          <w:divBdr>
            <w:top w:val="none" w:sz="0" w:space="0" w:color="auto"/>
            <w:left w:val="none" w:sz="0" w:space="0" w:color="auto"/>
            <w:bottom w:val="none" w:sz="0" w:space="0" w:color="auto"/>
            <w:right w:val="none" w:sz="0" w:space="0" w:color="auto"/>
          </w:divBdr>
        </w:div>
        <w:div w:id="39793762">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245463814">
          <w:marLeft w:val="0"/>
          <w:marRight w:val="0"/>
          <w:marTop w:val="0"/>
          <w:marBottom w:val="0"/>
          <w:divBdr>
            <w:top w:val="none" w:sz="0" w:space="0" w:color="auto"/>
            <w:left w:val="none" w:sz="0" w:space="0" w:color="auto"/>
            <w:bottom w:val="none" w:sz="0" w:space="0" w:color="auto"/>
            <w:right w:val="none" w:sz="0" w:space="0" w:color="auto"/>
          </w:divBdr>
        </w:div>
        <w:div w:id="348874289">
          <w:marLeft w:val="0"/>
          <w:marRight w:val="0"/>
          <w:marTop w:val="0"/>
          <w:marBottom w:val="0"/>
          <w:divBdr>
            <w:top w:val="none" w:sz="0" w:space="0" w:color="auto"/>
            <w:left w:val="none" w:sz="0" w:space="0" w:color="auto"/>
            <w:bottom w:val="none" w:sz="0" w:space="0" w:color="auto"/>
            <w:right w:val="none" w:sz="0" w:space="0" w:color="auto"/>
          </w:divBdr>
          <w:divsChild>
            <w:div w:id="1652825848">
              <w:marLeft w:val="0"/>
              <w:marRight w:val="0"/>
              <w:marTop w:val="0"/>
              <w:marBottom w:val="0"/>
              <w:divBdr>
                <w:top w:val="none" w:sz="0" w:space="0" w:color="auto"/>
                <w:left w:val="none" w:sz="0" w:space="0" w:color="auto"/>
                <w:bottom w:val="none" w:sz="0" w:space="0" w:color="auto"/>
                <w:right w:val="none" w:sz="0" w:space="0" w:color="auto"/>
              </w:divBdr>
            </w:div>
          </w:divsChild>
        </w:div>
        <w:div w:id="404568159">
          <w:marLeft w:val="0"/>
          <w:marRight w:val="0"/>
          <w:marTop w:val="0"/>
          <w:marBottom w:val="0"/>
          <w:divBdr>
            <w:top w:val="none" w:sz="0" w:space="0" w:color="auto"/>
            <w:left w:val="none" w:sz="0" w:space="0" w:color="auto"/>
            <w:bottom w:val="none" w:sz="0" w:space="0" w:color="auto"/>
            <w:right w:val="none" w:sz="0" w:space="0" w:color="auto"/>
          </w:divBdr>
        </w:div>
        <w:div w:id="409885718">
          <w:marLeft w:val="0"/>
          <w:marRight w:val="0"/>
          <w:marTop w:val="0"/>
          <w:marBottom w:val="0"/>
          <w:divBdr>
            <w:top w:val="none" w:sz="0" w:space="0" w:color="auto"/>
            <w:left w:val="none" w:sz="0" w:space="0" w:color="auto"/>
            <w:bottom w:val="none" w:sz="0" w:space="0" w:color="auto"/>
            <w:right w:val="none" w:sz="0" w:space="0" w:color="auto"/>
          </w:divBdr>
        </w:div>
        <w:div w:id="433477328">
          <w:marLeft w:val="0"/>
          <w:marRight w:val="0"/>
          <w:marTop w:val="0"/>
          <w:marBottom w:val="0"/>
          <w:divBdr>
            <w:top w:val="none" w:sz="0" w:space="0" w:color="auto"/>
            <w:left w:val="none" w:sz="0" w:space="0" w:color="auto"/>
            <w:bottom w:val="none" w:sz="0" w:space="0" w:color="auto"/>
            <w:right w:val="none" w:sz="0" w:space="0" w:color="auto"/>
          </w:divBdr>
        </w:div>
        <w:div w:id="471601873">
          <w:marLeft w:val="0"/>
          <w:marRight w:val="0"/>
          <w:marTop w:val="0"/>
          <w:marBottom w:val="0"/>
          <w:divBdr>
            <w:top w:val="none" w:sz="0" w:space="0" w:color="auto"/>
            <w:left w:val="none" w:sz="0" w:space="0" w:color="auto"/>
            <w:bottom w:val="none" w:sz="0" w:space="0" w:color="auto"/>
            <w:right w:val="none" w:sz="0" w:space="0" w:color="auto"/>
          </w:divBdr>
        </w:div>
        <w:div w:id="523129365">
          <w:marLeft w:val="0"/>
          <w:marRight w:val="0"/>
          <w:marTop w:val="0"/>
          <w:marBottom w:val="0"/>
          <w:divBdr>
            <w:top w:val="none" w:sz="0" w:space="0" w:color="auto"/>
            <w:left w:val="none" w:sz="0" w:space="0" w:color="auto"/>
            <w:bottom w:val="none" w:sz="0" w:space="0" w:color="auto"/>
            <w:right w:val="none" w:sz="0" w:space="0" w:color="auto"/>
          </w:divBdr>
          <w:divsChild>
            <w:div w:id="1014264817">
              <w:marLeft w:val="0"/>
              <w:marRight w:val="0"/>
              <w:marTop w:val="0"/>
              <w:marBottom w:val="0"/>
              <w:divBdr>
                <w:top w:val="none" w:sz="0" w:space="0" w:color="auto"/>
                <w:left w:val="none" w:sz="0" w:space="0" w:color="auto"/>
                <w:bottom w:val="none" w:sz="0" w:space="0" w:color="auto"/>
                <w:right w:val="none" w:sz="0" w:space="0" w:color="auto"/>
              </w:divBdr>
            </w:div>
          </w:divsChild>
        </w:div>
        <w:div w:id="613093144">
          <w:marLeft w:val="0"/>
          <w:marRight w:val="0"/>
          <w:marTop w:val="0"/>
          <w:marBottom w:val="0"/>
          <w:divBdr>
            <w:top w:val="none" w:sz="0" w:space="0" w:color="auto"/>
            <w:left w:val="none" w:sz="0" w:space="0" w:color="auto"/>
            <w:bottom w:val="none" w:sz="0" w:space="0" w:color="auto"/>
            <w:right w:val="none" w:sz="0" w:space="0" w:color="auto"/>
          </w:divBdr>
        </w:div>
        <w:div w:id="710805548">
          <w:marLeft w:val="0"/>
          <w:marRight w:val="0"/>
          <w:marTop w:val="0"/>
          <w:marBottom w:val="0"/>
          <w:divBdr>
            <w:top w:val="none" w:sz="0" w:space="0" w:color="auto"/>
            <w:left w:val="none" w:sz="0" w:space="0" w:color="auto"/>
            <w:bottom w:val="none" w:sz="0" w:space="0" w:color="auto"/>
            <w:right w:val="none" w:sz="0" w:space="0" w:color="auto"/>
          </w:divBdr>
        </w:div>
        <w:div w:id="810514201">
          <w:marLeft w:val="0"/>
          <w:marRight w:val="0"/>
          <w:marTop w:val="0"/>
          <w:marBottom w:val="0"/>
          <w:divBdr>
            <w:top w:val="none" w:sz="0" w:space="0" w:color="auto"/>
            <w:left w:val="none" w:sz="0" w:space="0" w:color="auto"/>
            <w:bottom w:val="none" w:sz="0" w:space="0" w:color="auto"/>
            <w:right w:val="none" w:sz="0" w:space="0" w:color="auto"/>
          </w:divBdr>
        </w:div>
        <w:div w:id="830946029">
          <w:marLeft w:val="0"/>
          <w:marRight w:val="0"/>
          <w:marTop w:val="0"/>
          <w:marBottom w:val="0"/>
          <w:divBdr>
            <w:top w:val="none" w:sz="0" w:space="0" w:color="auto"/>
            <w:left w:val="none" w:sz="0" w:space="0" w:color="auto"/>
            <w:bottom w:val="none" w:sz="0" w:space="0" w:color="auto"/>
            <w:right w:val="none" w:sz="0" w:space="0" w:color="auto"/>
          </w:divBdr>
        </w:div>
        <w:div w:id="844126015">
          <w:marLeft w:val="0"/>
          <w:marRight w:val="0"/>
          <w:marTop w:val="0"/>
          <w:marBottom w:val="0"/>
          <w:divBdr>
            <w:top w:val="none" w:sz="0" w:space="0" w:color="auto"/>
            <w:left w:val="none" w:sz="0" w:space="0" w:color="auto"/>
            <w:bottom w:val="none" w:sz="0" w:space="0" w:color="auto"/>
            <w:right w:val="none" w:sz="0" w:space="0" w:color="auto"/>
          </w:divBdr>
        </w:div>
        <w:div w:id="1060246521">
          <w:marLeft w:val="0"/>
          <w:marRight w:val="0"/>
          <w:marTop w:val="0"/>
          <w:marBottom w:val="0"/>
          <w:divBdr>
            <w:top w:val="none" w:sz="0" w:space="0" w:color="auto"/>
            <w:left w:val="none" w:sz="0" w:space="0" w:color="auto"/>
            <w:bottom w:val="none" w:sz="0" w:space="0" w:color="auto"/>
            <w:right w:val="none" w:sz="0" w:space="0" w:color="auto"/>
          </w:divBdr>
        </w:div>
        <w:div w:id="1146705201">
          <w:marLeft w:val="0"/>
          <w:marRight w:val="0"/>
          <w:marTop w:val="0"/>
          <w:marBottom w:val="0"/>
          <w:divBdr>
            <w:top w:val="none" w:sz="0" w:space="0" w:color="auto"/>
            <w:left w:val="none" w:sz="0" w:space="0" w:color="auto"/>
            <w:bottom w:val="none" w:sz="0" w:space="0" w:color="auto"/>
            <w:right w:val="none" w:sz="0" w:space="0" w:color="auto"/>
          </w:divBdr>
        </w:div>
        <w:div w:id="1165902011">
          <w:marLeft w:val="0"/>
          <w:marRight w:val="0"/>
          <w:marTop w:val="0"/>
          <w:marBottom w:val="0"/>
          <w:divBdr>
            <w:top w:val="none" w:sz="0" w:space="0" w:color="auto"/>
            <w:left w:val="none" w:sz="0" w:space="0" w:color="auto"/>
            <w:bottom w:val="none" w:sz="0" w:space="0" w:color="auto"/>
            <w:right w:val="none" w:sz="0" w:space="0" w:color="auto"/>
          </w:divBdr>
        </w:div>
        <w:div w:id="1211456283">
          <w:marLeft w:val="0"/>
          <w:marRight w:val="0"/>
          <w:marTop w:val="0"/>
          <w:marBottom w:val="0"/>
          <w:divBdr>
            <w:top w:val="none" w:sz="0" w:space="0" w:color="auto"/>
            <w:left w:val="none" w:sz="0" w:space="0" w:color="auto"/>
            <w:bottom w:val="none" w:sz="0" w:space="0" w:color="auto"/>
            <w:right w:val="none" w:sz="0" w:space="0" w:color="auto"/>
          </w:divBdr>
          <w:divsChild>
            <w:div w:id="200019135">
              <w:marLeft w:val="0"/>
              <w:marRight w:val="0"/>
              <w:marTop w:val="0"/>
              <w:marBottom w:val="0"/>
              <w:divBdr>
                <w:top w:val="none" w:sz="0" w:space="0" w:color="auto"/>
                <w:left w:val="none" w:sz="0" w:space="0" w:color="auto"/>
                <w:bottom w:val="none" w:sz="0" w:space="0" w:color="auto"/>
                <w:right w:val="none" w:sz="0" w:space="0" w:color="auto"/>
              </w:divBdr>
            </w:div>
            <w:div w:id="266814116">
              <w:marLeft w:val="0"/>
              <w:marRight w:val="0"/>
              <w:marTop w:val="0"/>
              <w:marBottom w:val="0"/>
              <w:divBdr>
                <w:top w:val="none" w:sz="0" w:space="0" w:color="auto"/>
                <w:left w:val="none" w:sz="0" w:space="0" w:color="auto"/>
                <w:bottom w:val="none" w:sz="0" w:space="0" w:color="auto"/>
                <w:right w:val="none" w:sz="0" w:space="0" w:color="auto"/>
              </w:divBdr>
            </w:div>
            <w:div w:id="477649401">
              <w:marLeft w:val="0"/>
              <w:marRight w:val="0"/>
              <w:marTop w:val="0"/>
              <w:marBottom w:val="0"/>
              <w:divBdr>
                <w:top w:val="none" w:sz="0" w:space="0" w:color="auto"/>
                <w:left w:val="none" w:sz="0" w:space="0" w:color="auto"/>
                <w:bottom w:val="none" w:sz="0" w:space="0" w:color="auto"/>
                <w:right w:val="none" w:sz="0" w:space="0" w:color="auto"/>
              </w:divBdr>
            </w:div>
            <w:div w:id="562563039">
              <w:marLeft w:val="0"/>
              <w:marRight w:val="0"/>
              <w:marTop w:val="0"/>
              <w:marBottom w:val="0"/>
              <w:divBdr>
                <w:top w:val="none" w:sz="0" w:space="0" w:color="auto"/>
                <w:left w:val="none" w:sz="0" w:space="0" w:color="auto"/>
                <w:bottom w:val="none" w:sz="0" w:space="0" w:color="auto"/>
                <w:right w:val="none" w:sz="0" w:space="0" w:color="auto"/>
              </w:divBdr>
            </w:div>
            <w:div w:id="977150657">
              <w:marLeft w:val="0"/>
              <w:marRight w:val="0"/>
              <w:marTop w:val="0"/>
              <w:marBottom w:val="0"/>
              <w:divBdr>
                <w:top w:val="none" w:sz="0" w:space="0" w:color="auto"/>
                <w:left w:val="none" w:sz="0" w:space="0" w:color="auto"/>
                <w:bottom w:val="none" w:sz="0" w:space="0" w:color="auto"/>
                <w:right w:val="none" w:sz="0" w:space="0" w:color="auto"/>
              </w:divBdr>
            </w:div>
            <w:div w:id="1737321536">
              <w:marLeft w:val="0"/>
              <w:marRight w:val="0"/>
              <w:marTop w:val="0"/>
              <w:marBottom w:val="0"/>
              <w:divBdr>
                <w:top w:val="none" w:sz="0" w:space="0" w:color="auto"/>
                <w:left w:val="none" w:sz="0" w:space="0" w:color="auto"/>
                <w:bottom w:val="none" w:sz="0" w:space="0" w:color="auto"/>
                <w:right w:val="none" w:sz="0" w:space="0" w:color="auto"/>
              </w:divBdr>
            </w:div>
            <w:div w:id="2015961486">
              <w:marLeft w:val="0"/>
              <w:marRight w:val="0"/>
              <w:marTop w:val="0"/>
              <w:marBottom w:val="0"/>
              <w:divBdr>
                <w:top w:val="none" w:sz="0" w:space="0" w:color="auto"/>
                <w:left w:val="none" w:sz="0" w:space="0" w:color="auto"/>
                <w:bottom w:val="none" w:sz="0" w:space="0" w:color="auto"/>
                <w:right w:val="none" w:sz="0" w:space="0" w:color="auto"/>
              </w:divBdr>
            </w:div>
          </w:divsChild>
        </w:div>
        <w:div w:id="1299187830">
          <w:marLeft w:val="0"/>
          <w:marRight w:val="0"/>
          <w:marTop w:val="0"/>
          <w:marBottom w:val="0"/>
          <w:divBdr>
            <w:top w:val="none" w:sz="0" w:space="0" w:color="auto"/>
            <w:left w:val="none" w:sz="0" w:space="0" w:color="auto"/>
            <w:bottom w:val="none" w:sz="0" w:space="0" w:color="auto"/>
            <w:right w:val="none" w:sz="0" w:space="0" w:color="auto"/>
          </w:divBdr>
        </w:div>
        <w:div w:id="1497722175">
          <w:marLeft w:val="0"/>
          <w:marRight w:val="0"/>
          <w:marTop w:val="0"/>
          <w:marBottom w:val="0"/>
          <w:divBdr>
            <w:top w:val="none" w:sz="0" w:space="0" w:color="auto"/>
            <w:left w:val="none" w:sz="0" w:space="0" w:color="auto"/>
            <w:bottom w:val="none" w:sz="0" w:space="0" w:color="auto"/>
            <w:right w:val="none" w:sz="0" w:space="0" w:color="auto"/>
          </w:divBdr>
        </w:div>
        <w:div w:id="1520394783">
          <w:marLeft w:val="0"/>
          <w:marRight w:val="0"/>
          <w:marTop w:val="0"/>
          <w:marBottom w:val="0"/>
          <w:divBdr>
            <w:top w:val="none" w:sz="0" w:space="0" w:color="auto"/>
            <w:left w:val="none" w:sz="0" w:space="0" w:color="auto"/>
            <w:bottom w:val="none" w:sz="0" w:space="0" w:color="auto"/>
            <w:right w:val="none" w:sz="0" w:space="0" w:color="auto"/>
          </w:divBdr>
          <w:divsChild>
            <w:div w:id="750080795">
              <w:marLeft w:val="0"/>
              <w:marRight w:val="0"/>
              <w:marTop w:val="0"/>
              <w:marBottom w:val="0"/>
              <w:divBdr>
                <w:top w:val="none" w:sz="0" w:space="0" w:color="auto"/>
                <w:left w:val="none" w:sz="0" w:space="0" w:color="auto"/>
                <w:bottom w:val="none" w:sz="0" w:space="0" w:color="auto"/>
                <w:right w:val="none" w:sz="0" w:space="0" w:color="auto"/>
              </w:divBdr>
            </w:div>
          </w:divsChild>
        </w:div>
        <w:div w:id="1612661012">
          <w:marLeft w:val="0"/>
          <w:marRight w:val="0"/>
          <w:marTop w:val="0"/>
          <w:marBottom w:val="0"/>
          <w:divBdr>
            <w:top w:val="none" w:sz="0" w:space="0" w:color="auto"/>
            <w:left w:val="none" w:sz="0" w:space="0" w:color="auto"/>
            <w:bottom w:val="none" w:sz="0" w:space="0" w:color="auto"/>
            <w:right w:val="none" w:sz="0" w:space="0" w:color="auto"/>
          </w:divBdr>
        </w:div>
        <w:div w:id="1633706210">
          <w:marLeft w:val="0"/>
          <w:marRight w:val="0"/>
          <w:marTop w:val="0"/>
          <w:marBottom w:val="0"/>
          <w:divBdr>
            <w:top w:val="none" w:sz="0" w:space="0" w:color="auto"/>
            <w:left w:val="none" w:sz="0" w:space="0" w:color="auto"/>
            <w:bottom w:val="none" w:sz="0" w:space="0" w:color="auto"/>
            <w:right w:val="none" w:sz="0" w:space="0" w:color="auto"/>
          </w:divBdr>
        </w:div>
        <w:div w:id="1764952299">
          <w:marLeft w:val="0"/>
          <w:marRight w:val="0"/>
          <w:marTop w:val="0"/>
          <w:marBottom w:val="0"/>
          <w:divBdr>
            <w:top w:val="none" w:sz="0" w:space="0" w:color="auto"/>
            <w:left w:val="none" w:sz="0" w:space="0" w:color="auto"/>
            <w:bottom w:val="none" w:sz="0" w:space="0" w:color="auto"/>
            <w:right w:val="none" w:sz="0" w:space="0" w:color="auto"/>
          </w:divBdr>
        </w:div>
        <w:div w:id="1804616849">
          <w:marLeft w:val="0"/>
          <w:marRight w:val="0"/>
          <w:marTop w:val="0"/>
          <w:marBottom w:val="0"/>
          <w:divBdr>
            <w:top w:val="none" w:sz="0" w:space="0" w:color="auto"/>
            <w:left w:val="none" w:sz="0" w:space="0" w:color="auto"/>
            <w:bottom w:val="none" w:sz="0" w:space="0" w:color="auto"/>
            <w:right w:val="none" w:sz="0" w:space="0" w:color="auto"/>
          </w:divBdr>
        </w:div>
        <w:div w:id="1854296182">
          <w:marLeft w:val="0"/>
          <w:marRight w:val="0"/>
          <w:marTop w:val="0"/>
          <w:marBottom w:val="0"/>
          <w:divBdr>
            <w:top w:val="none" w:sz="0" w:space="0" w:color="auto"/>
            <w:left w:val="none" w:sz="0" w:space="0" w:color="auto"/>
            <w:bottom w:val="none" w:sz="0" w:space="0" w:color="auto"/>
            <w:right w:val="none" w:sz="0" w:space="0" w:color="auto"/>
          </w:divBdr>
          <w:divsChild>
            <w:div w:id="772676900">
              <w:marLeft w:val="0"/>
              <w:marRight w:val="0"/>
              <w:marTop w:val="0"/>
              <w:marBottom w:val="0"/>
              <w:divBdr>
                <w:top w:val="none" w:sz="0" w:space="0" w:color="auto"/>
                <w:left w:val="none" w:sz="0" w:space="0" w:color="auto"/>
                <w:bottom w:val="none" w:sz="0" w:space="0" w:color="auto"/>
                <w:right w:val="none" w:sz="0" w:space="0" w:color="auto"/>
              </w:divBdr>
            </w:div>
          </w:divsChild>
        </w:div>
        <w:div w:id="1954243231">
          <w:marLeft w:val="0"/>
          <w:marRight w:val="0"/>
          <w:marTop w:val="0"/>
          <w:marBottom w:val="0"/>
          <w:divBdr>
            <w:top w:val="none" w:sz="0" w:space="0" w:color="auto"/>
            <w:left w:val="none" w:sz="0" w:space="0" w:color="auto"/>
            <w:bottom w:val="none" w:sz="0" w:space="0" w:color="auto"/>
            <w:right w:val="none" w:sz="0" w:space="0" w:color="auto"/>
          </w:divBdr>
        </w:div>
        <w:div w:id="2006006897">
          <w:marLeft w:val="0"/>
          <w:marRight w:val="0"/>
          <w:marTop w:val="0"/>
          <w:marBottom w:val="0"/>
          <w:divBdr>
            <w:top w:val="none" w:sz="0" w:space="0" w:color="auto"/>
            <w:left w:val="none" w:sz="0" w:space="0" w:color="auto"/>
            <w:bottom w:val="none" w:sz="0" w:space="0" w:color="auto"/>
            <w:right w:val="none" w:sz="0" w:space="0" w:color="auto"/>
          </w:divBdr>
        </w:div>
      </w:divsChild>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442110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affordable-care-act/patient-centered-outreach-research-institute-filing-due-dates-and-applicable-ra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rs.gov/newsroom/patient-centered-outcomes-research-institute-f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84A6D71E201E40A5C386A640FD6142" ma:contentTypeVersion="5" ma:contentTypeDescription="Create a new document." ma:contentTypeScope="" ma:versionID="c57c5bb150d7f19e93368c53e1144f1f">
  <xsd:schema xmlns:xsd="http://www.w3.org/2001/XMLSchema" xmlns:xs="http://www.w3.org/2001/XMLSchema" xmlns:p="http://schemas.microsoft.com/office/2006/metadata/properties" xmlns:ns2="0a6853a2-cbd0-4c27-86c5-5e551920ec39" xmlns:ns3="0c3a4983-1ad0-4b48-a88c-34cd349e99ba" targetNamespace="http://schemas.microsoft.com/office/2006/metadata/properties" ma:root="true" ma:fieldsID="652922e132add34d38cb6a297c2b727d" ns2:_="" ns3:_="">
    <xsd:import namespace="0a6853a2-cbd0-4c27-86c5-5e551920ec39"/>
    <xsd:import namespace="0c3a4983-1ad0-4b48-a88c-34cd349e9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853a2-cbd0-4c27-86c5-5e551920ec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3a4983-1ad0-4b48-a88c-34cd349e9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E3600-6E38-4025-AB73-EA2C0843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853a2-cbd0-4c27-86c5-5e551920ec39"/>
    <ds:schemaRef ds:uri="0c3a4983-1ad0-4b48-a88c-34cd349e9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FB4B0-965F-48D5-82D3-78F4145107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D6FCA9-124D-4AC4-94C3-B81F96A89FE5}">
  <ds:schemaRefs>
    <ds:schemaRef ds:uri="http://schemas.microsoft.com/sharepoint/v3/contenttype/forms"/>
  </ds:schemaRefs>
</ds:datastoreItem>
</file>

<file path=customXml/itemProps4.xml><?xml version="1.0" encoding="utf-8"?>
<ds:datastoreItem xmlns:ds="http://schemas.openxmlformats.org/officeDocument/2006/customXml" ds:itemID="{17126535-F54B-DA46-A57D-61964088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3232</CharactersWithSpaces>
  <SharedDoc>false</SharedDoc>
  <HLinks>
    <vt:vector size="18" baseType="variant">
      <vt:variant>
        <vt:i4>3997809</vt:i4>
      </vt:variant>
      <vt:variant>
        <vt:i4>6</vt:i4>
      </vt:variant>
      <vt:variant>
        <vt:i4>0</vt:i4>
      </vt:variant>
      <vt:variant>
        <vt:i4>5</vt:i4>
      </vt:variant>
      <vt:variant>
        <vt:lpwstr>https://www.irs.gov/affordable-care-act/patient-centered-outreach-research-institute-filing-due-dates-and-applicable-rates</vt:lpwstr>
      </vt:variant>
      <vt:variant>
        <vt:lpwstr/>
      </vt:variant>
      <vt:variant>
        <vt:i4>65642</vt:i4>
      </vt:variant>
      <vt:variant>
        <vt:i4>3</vt:i4>
      </vt:variant>
      <vt:variant>
        <vt:i4>0</vt:i4>
      </vt:variant>
      <vt:variant>
        <vt:i4>5</vt:i4>
      </vt:variant>
      <vt:variant>
        <vt:lpwstr>https://www.irs.gov/newsroom/patient-centered-outcomes-research-institute-fee</vt:lpwstr>
      </vt:variant>
      <vt:variant>
        <vt:lpwstr/>
      </vt:variant>
      <vt:variant>
        <vt:i4>4653124</vt:i4>
      </vt:variant>
      <vt:variant>
        <vt:i4>0</vt:i4>
      </vt:variant>
      <vt:variant>
        <vt:i4>0</vt:i4>
      </vt:variant>
      <vt:variant>
        <vt:i4>5</vt:i4>
      </vt:variant>
      <vt:variant>
        <vt:lpwstr>https://www.irs.gov/newsroom/application-of-the-patient-centered-outcomes-research-trust-fund-fee-to-common-types-of-health-coverage-or-arrangements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Anthony Radecki</cp:lastModifiedBy>
  <cp:revision>3</cp:revision>
  <cp:lastPrinted>2018-01-08T16:59:00Z</cp:lastPrinted>
  <dcterms:created xsi:type="dcterms:W3CDTF">2020-06-08T23:17:00Z</dcterms:created>
  <dcterms:modified xsi:type="dcterms:W3CDTF">2020-06-08T23:17:00Z</dcterms:modified>
</cp:coreProperties>
</file>