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CF1B" w14:textId="50369D8E" w:rsidR="00C62225" w:rsidRPr="00326A75" w:rsidRDefault="00C62225" w:rsidP="00AD44D9">
      <w:pPr>
        <w:pStyle w:val="Heading1"/>
        <w:rPr>
          <w:sz w:val="20"/>
          <w:szCs w:val="20"/>
        </w:rPr>
      </w:pPr>
      <w:bookmarkStart w:id="0" w:name="_Toc302216887"/>
    </w:p>
    <w:tbl>
      <w:tblPr>
        <w:tblW w:w="5000" w:type="pct"/>
        <w:tblCellMar>
          <w:left w:w="0" w:type="dxa"/>
          <w:right w:w="0" w:type="dxa"/>
        </w:tblCellMar>
        <w:tblLook w:val="04A0" w:firstRow="1" w:lastRow="0" w:firstColumn="1" w:lastColumn="0" w:noHBand="0" w:noVBand="1"/>
      </w:tblPr>
      <w:tblGrid>
        <w:gridCol w:w="6395"/>
        <w:gridCol w:w="2965"/>
      </w:tblGrid>
      <w:tr w:rsidR="009A2C1C" w:rsidRPr="00326A75" w14:paraId="64C5D50B" w14:textId="77777777" w:rsidTr="005A10A7">
        <w:trPr>
          <w:trHeight w:val="4032"/>
        </w:trPr>
        <w:tc>
          <w:tcPr>
            <w:tcW w:w="6178" w:type="dxa"/>
          </w:tcPr>
          <w:p w14:paraId="15B4D9B2" w14:textId="69E8269D" w:rsidR="001A7F9F" w:rsidRPr="001A7F9F" w:rsidRDefault="005A10A7" w:rsidP="001A7F9F">
            <w:pPr>
              <w:pStyle w:val="TOC1"/>
            </w:pPr>
            <w:r w:rsidRPr="00660B36">
              <w:rPr>
                <w:noProof/>
              </w:rPr>
              <mc:AlternateContent>
                <mc:Choice Requires="wps">
                  <w:drawing>
                    <wp:anchor distT="0" distB="0" distL="114300" distR="114300" simplePos="0" relativeHeight="251694080" behindDoc="0" locked="0" layoutInCell="1" allowOverlap="1" wp14:anchorId="6AEE4CF9" wp14:editId="45C4D8D8">
                      <wp:simplePos x="0" y="0"/>
                      <wp:positionH relativeFrom="margin">
                        <wp:posOffset>2060847</wp:posOffset>
                      </wp:positionH>
                      <wp:positionV relativeFrom="paragraph">
                        <wp:posOffset>128270</wp:posOffset>
                      </wp:positionV>
                      <wp:extent cx="4554220" cy="1362075"/>
                      <wp:effectExtent l="0" t="0" r="0" b="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362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EE4CF9" id="_x0000_t202" coordsize="21600,21600" o:spt="202" path="m,l,21600r21600,l21600,xe">
                      <v:stroke joinstyle="miter"/>
                      <v:path gradientshapeok="t" o:connecttype="rect"/>
                    </v:shapetype>
                    <v:shape id="Text Box 52" o:spid="_x0000_s1026" type="#_x0000_t202" style="position:absolute;margin-left:162.25pt;margin-top:10.1pt;width:358.6pt;height:10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" filled="f" fillcolor="#fffffe" stroked="f" strokecolor="#212120" insetpen="t">
                      <v:textbox inset="2.88pt,2.88pt,2.88pt,2.88pt">
                        <w:txbxContent>
                          <w:p w14:paraId="7A5DB5E8" w14:textId="77777777" w:rsidR="00D35526" w:rsidRPr="00ED6BE5" w:rsidRDefault="00D35526" w:rsidP="00D35526">
                            <w:pPr>
                              <w:pStyle w:val="ContactInfo"/>
                              <w:rPr>
                                <w:rFonts w:ascii="Times New Roman" w:hAnsi="Times New Roman" w:cs="Times New Roman"/>
                                <w:color w:val="0070C0"/>
                                <w:sz w:val="144"/>
                                <w:szCs w:val="144"/>
                              </w:rPr>
                            </w:pPr>
                            <w:r w:rsidRPr="00ED6BE5">
                              <w:rPr>
                                <w:rFonts w:ascii="Times New Roman" w:hAnsi="Times New Roman" w:cs="Times New Roman"/>
                                <w:color w:val="0070C0"/>
                                <w:sz w:val="144"/>
                                <w:szCs w:val="144"/>
                              </w:rPr>
                              <w:t>Compliance</w:t>
                            </w:r>
                          </w:p>
                        </w:txbxContent>
                      </v:textbox>
                      <w10:wrap anchorx="margin"/>
                    </v:shape>
                  </w:pict>
                </mc:Fallback>
              </mc:AlternateContent>
            </w:r>
            <w:r w:rsidR="00D176FE" w:rsidRPr="00660B36">
              <w:t>In this issue</w:t>
            </w:r>
            <w:r w:rsidR="00B77AC2" w:rsidRPr="00326A75">
              <w:rPr>
                <w:caps/>
              </w:rPr>
              <w:fldChar w:fldCharType="begin"/>
            </w:r>
            <w:r w:rsidR="00B77AC2" w:rsidRPr="00326A75">
              <w:instrText xml:space="preserve"> TOC \o "1-2" \h \z \u </w:instrText>
            </w:r>
            <w:r w:rsidR="00B77AC2" w:rsidRPr="00326A75">
              <w:rPr>
                <w:caps/>
              </w:rPr>
              <w:fldChar w:fldCharType="separate"/>
            </w:r>
            <w:hyperlink w:anchor="_Toc44580993" w:history="1"/>
          </w:p>
          <w:p w14:paraId="56103C08" w14:textId="0A1E4189" w:rsidR="001A7F9F" w:rsidRPr="001A7F9F" w:rsidRDefault="001A7F9F">
            <w:pPr>
              <w:pStyle w:val="TOC1"/>
              <w:tabs>
                <w:tab w:val="right" w:leader="dot" w:pos="9350"/>
              </w:tabs>
              <w:rPr>
                <w:b w:val="0"/>
                <w:bCs w:val="0"/>
                <w:noProof/>
                <w:sz w:val="20"/>
                <w:szCs w:val="20"/>
                <w:lang w:eastAsia="en-US"/>
              </w:rPr>
            </w:pPr>
            <w:r w:rsidRPr="00326A75">
              <w:rPr>
                <w:noProof/>
              </w:rPr>
              <mc:AlternateContent>
                <mc:Choice Requires="wps">
                  <w:drawing>
                    <wp:anchor distT="0" distB="0" distL="114300" distR="114300" simplePos="0" relativeHeight="251695104" behindDoc="0" locked="0" layoutInCell="1" allowOverlap="1" wp14:anchorId="0694F9D8" wp14:editId="7E033BA6">
                      <wp:simplePos x="0" y="0"/>
                      <wp:positionH relativeFrom="margin">
                        <wp:posOffset>2701925</wp:posOffset>
                      </wp:positionH>
                      <wp:positionV relativeFrom="paragraph">
                        <wp:posOffset>249032</wp:posOffset>
                      </wp:positionV>
                      <wp:extent cx="3323590" cy="1371600"/>
                      <wp:effectExtent l="0" t="0" r="0" b="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3590" cy="1371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sdt>
                                  <w:sdtPr>
                                    <w:rPr>
                                      <w:lang w:val="en"/>
                                    </w:rPr>
                                    <w:id w:val="-1749411840"/>
                                    <w:placeholder>
                                      <w:docPart w:val="807D45BD4846E2428EB9F38F68954E8D"/>
                                    </w:placeholder>
                                    <w:temporary/>
                                    <w:showingPlcHdr/>
                                    <w15:appearance w15:val="hidden"/>
                                  </w:sdtPr>
                                  <w:sdtEndPr/>
                                  <w:sdtContent>
                                    <w:p w14:paraId="60CE2BE5" w14:textId="77777777" w:rsidR="00D35526" w:rsidRDefault="00D35526" w:rsidP="00D35526">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4F9D8" id="Text Box 60" o:spid="_x0000_s1027" type="#_x0000_t202" style="position:absolute;margin-left:212.75pt;margin-top:19.6pt;width:261.7pt;height:108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" filled="f" fillcolor="#fffffe" stroked="f" strokecolor="#212120" insetpen="t">
                      <v:textbox inset="2.88pt,2.88pt,2.88pt,2.88pt">
                        <w:txbxContent>
                          <w:sdt>
                            <w:sdtPr>
                              <w:rPr>
                                <w:lang w:val="en"/>
                              </w:rPr>
                              <w:id w:val="-1749411840"/>
                              <w:placeholder>
                                <w:docPart w:val="807D45BD4846E2428EB9F38F68954E8D"/>
                              </w:placeholder>
                              <w:temporary/>
                              <w:showingPlcHdr/>
                              <w15:appearance w15:val="hidden"/>
                            </w:sdtPr>
                            <w:sdtEndPr/>
                            <w:sdtContent>
                              <w:p w14:paraId="60CE2BE5" w14:textId="77777777" w:rsidR="00D35526" w:rsidRDefault="00D35526" w:rsidP="00D35526">
                                <w:pPr>
                                  <w:jc w:val="right"/>
                                  <w:rPr>
                                    <w:i/>
                                    <w:lang w:val="en"/>
                                  </w:rPr>
                                </w:pPr>
                                <w:r w:rsidRPr="00D35526">
                                  <w:rPr>
                                    <w:rFonts w:ascii="Times New Roman" w:hAnsi="Times New Roman" w:cs="Times New Roman"/>
                                    <w:i/>
                                    <w:iCs/>
                                    <w:color w:val="61ADBF" w:themeColor="accent4"/>
                                    <w:sz w:val="144"/>
                                    <w:szCs w:val="144"/>
                                    <w:lang w:val="en"/>
                                  </w:rPr>
                                  <w:t>focus</w:t>
                                </w:r>
                              </w:p>
                            </w:sdtContent>
                          </w:sdt>
                        </w:txbxContent>
                      </v:textbox>
                      <w10:wrap anchorx="margin"/>
                    </v:shape>
                  </w:pict>
                </mc:Fallback>
              </mc:AlternateContent>
            </w:r>
            <w:hyperlink w:anchor="_Toc44580994" w:history="1">
              <w:r w:rsidRPr="001A7F9F">
                <w:rPr>
                  <w:rStyle w:val="Hyperlink"/>
                  <w:noProof/>
                  <w:sz w:val="20"/>
                  <w:szCs w:val="20"/>
                </w:rPr>
                <w:t>Return to Work – Benefit Considerations</w:t>
              </w:r>
              <w:r w:rsidRPr="001A7F9F">
                <w:rPr>
                  <w:noProof/>
                  <w:webHidden/>
                  <w:sz w:val="20"/>
                  <w:szCs w:val="20"/>
                </w:rPr>
                <w:tab/>
              </w:r>
              <w:r w:rsidRPr="001A7F9F">
                <w:rPr>
                  <w:noProof/>
                  <w:webHidden/>
                  <w:sz w:val="20"/>
                  <w:szCs w:val="20"/>
                </w:rPr>
                <w:fldChar w:fldCharType="begin"/>
              </w:r>
              <w:r w:rsidRPr="001A7F9F">
                <w:rPr>
                  <w:noProof/>
                  <w:webHidden/>
                  <w:sz w:val="20"/>
                  <w:szCs w:val="20"/>
                </w:rPr>
                <w:instrText xml:space="preserve"> PAGEREF _Toc44580994 \h </w:instrText>
              </w:r>
              <w:r w:rsidRPr="001A7F9F">
                <w:rPr>
                  <w:noProof/>
                  <w:webHidden/>
                  <w:sz w:val="20"/>
                  <w:szCs w:val="20"/>
                </w:rPr>
              </w:r>
              <w:r w:rsidRPr="001A7F9F">
                <w:rPr>
                  <w:noProof/>
                  <w:webHidden/>
                  <w:sz w:val="20"/>
                  <w:szCs w:val="20"/>
                </w:rPr>
                <w:fldChar w:fldCharType="separate"/>
              </w:r>
              <w:r w:rsidRPr="001A7F9F">
                <w:rPr>
                  <w:noProof/>
                  <w:webHidden/>
                  <w:sz w:val="20"/>
                  <w:szCs w:val="20"/>
                </w:rPr>
                <w:t>1</w:t>
              </w:r>
              <w:r w:rsidRPr="001A7F9F">
                <w:rPr>
                  <w:noProof/>
                  <w:webHidden/>
                  <w:sz w:val="20"/>
                  <w:szCs w:val="20"/>
                </w:rPr>
                <w:fldChar w:fldCharType="end"/>
              </w:r>
            </w:hyperlink>
          </w:p>
          <w:p w14:paraId="47DBEBDA" w14:textId="645B1788" w:rsidR="001A7F9F" w:rsidRPr="001A7F9F" w:rsidRDefault="00452F59">
            <w:pPr>
              <w:pStyle w:val="TOC1"/>
              <w:tabs>
                <w:tab w:val="right" w:leader="dot" w:pos="9350"/>
              </w:tabs>
              <w:rPr>
                <w:b w:val="0"/>
                <w:bCs w:val="0"/>
                <w:noProof/>
                <w:sz w:val="20"/>
                <w:szCs w:val="20"/>
                <w:lang w:eastAsia="en-US"/>
              </w:rPr>
            </w:pPr>
            <w:hyperlink w:anchor="_Toc44580995" w:history="1">
              <w:r w:rsidR="001A7F9F" w:rsidRPr="001A7F9F">
                <w:rPr>
                  <w:rStyle w:val="Hyperlink"/>
                  <w:noProof/>
                  <w:sz w:val="20"/>
                  <w:szCs w:val="20"/>
                </w:rPr>
                <w:t>In Other News…</w:t>
              </w:r>
              <w:r w:rsidR="001A7F9F" w:rsidRPr="001A7F9F">
                <w:rPr>
                  <w:noProof/>
                  <w:webHidden/>
                  <w:sz w:val="20"/>
                  <w:szCs w:val="20"/>
                </w:rPr>
                <w:tab/>
              </w:r>
              <w:r w:rsidR="001A7F9F" w:rsidRPr="001A7F9F">
                <w:rPr>
                  <w:noProof/>
                  <w:webHidden/>
                  <w:sz w:val="20"/>
                  <w:szCs w:val="20"/>
                </w:rPr>
                <w:fldChar w:fldCharType="begin"/>
              </w:r>
              <w:r w:rsidR="001A7F9F" w:rsidRPr="001A7F9F">
                <w:rPr>
                  <w:noProof/>
                  <w:webHidden/>
                  <w:sz w:val="20"/>
                  <w:szCs w:val="20"/>
                </w:rPr>
                <w:instrText xml:space="preserve"> PAGEREF _Toc44580995 \h </w:instrText>
              </w:r>
              <w:r w:rsidR="001A7F9F" w:rsidRPr="001A7F9F">
                <w:rPr>
                  <w:noProof/>
                  <w:webHidden/>
                  <w:sz w:val="20"/>
                  <w:szCs w:val="20"/>
                </w:rPr>
              </w:r>
              <w:r w:rsidR="001A7F9F" w:rsidRPr="001A7F9F">
                <w:rPr>
                  <w:noProof/>
                  <w:webHidden/>
                  <w:sz w:val="20"/>
                  <w:szCs w:val="20"/>
                </w:rPr>
                <w:fldChar w:fldCharType="separate"/>
              </w:r>
              <w:r w:rsidR="001A7F9F" w:rsidRPr="001A7F9F">
                <w:rPr>
                  <w:noProof/>
                  <w:webHidden/>
                  <w:sz w:val="20"/>
                  <w:szCs w:val="20"/>
                </w:rPr>
                <w:t>3</w:t>
              </w:r>
              <w:r w:rsidR="001A7F9F" w:rsidRPr="001A7F9F">
                <w:rPr>
                  <w:noProof/>
                  <w:webHidden/>
                  <w:sz w:val="20"/>
                  <w:szCs w:val="20"/>
                </w:rPr>
                <w:fldChar w:fldCharType="end"/>
              </w:r>
            </w:hyperlink>
          </w:p>
          <w:p w14:paraId="613E9309" w14:textId="46328200" w:rsidR="001A7F9F" w:rsidRPr="001A7F9F" w:rsidRDefault="001A7F9F">
            <w:pPr>
              <w:pStyle w:val="TOC2"/>
              <w:rPr>
                <w:rFonts w:ascii="Arial" w:hAnsi="Arial" w:cs="Arial"/>
                <w:noProof/>
                <w:lang w:eastAsia="en-US"/>
              </w:rPr>
            </w:pPr>
            <w:r>
              <w:rPr>
                <w:rFonts w:ascii="Arial" w:hAnsi="Arial" w:cs="Arial"/>
                <w:noProof/>
                <w:lang w:eastAsia="en-US"/>
              </w:rPr>
              <w:t>Quarterly Q&amp;A………….7</w:t>
            </w:r>
          </w:p>
          <w:p w14:paraId="75348926" w14:textId="1852780F" w:rsidR="00B77AC2" w:rsidRDefault="00B77AC2" w:rsidP="009A2C1C">
            <w:pPr>
              <w:ind w:right="3996"/>
              <w:rPr>
                <w:rFonts w:ascii="Arial" w:hAnsi="Arial" w:cs="Arial"/>
                <w:sz w:val="20"/>
                <w:szCs w:val="20"/>
              </w:rPr>
            </w:pPr>
            <w:r w:rsidRPr="00326A75">
              <w:rPr>
                <w:rFonts w:ascii="Arial" w:hAnsi="Arial" w:cs="Arial"/>
                <w:sz w:val="20"/>
                <w:szCs w:val="20"/>
              </w:rPr>
              <w:fldChar w:fldCharType="end"/>
            </w:r>
          </w:p>
          <w:p w14:paraId="1CC58F13" w14:textId="1DFE8A8D" w:rsidR="000962F5" w:rsidRPr="00326A75" w:rsidRDefault="000962F5" w:rsidP="00942529">
            <w:pPr>
              <w:ind w:right="3996"/>
              <w:rPr>
                <w:rFonts w:ascii="Arial" w:hAnsi="Arial" w:cs="Arial"/>
                <w:sz w:val="20"/>
                <w:szCs w:val="20"/>
              </w:rPr>
            </w:pPr>
          </w:p>
        </w:tc>
        <w:tc>
          <w:tcPr>
            <w:tcW w:w="3182" w:type="dxa"/>
          </w:tcPr>
          <w:p w14:paraId="620E970E" w14:textId="53ABEFFF" w:rsidR="00B77AC2" w:rsidRPr="00326A75" w:rsidRDefault="00B77AC2" w:rsidP="009A2C1C">
            <w:pPr>
              <w:pStyle w:val="IssueInfo"/>
              <w:ind w:right="3996"/>
              <w:rPr>
                <w:rFonts w:ascii="Arial" w:hAnsi="Arial" w:cs="Arial"/>
                <w:sz w:val="20"/>
                <w:szCs w:val="20"/>
              </w:rPr>
            </w:pPr>
            <w:r w:rsidRPr="00326A75">
              <w:rPr>
                <w:rFonts w:ascii="Arial" w:hAnsi="Arial" w:cs="Arial"/>
                <w:color w:val="FFFFFF" w:themeColor="background1"/>
                <w:sz w:val="20"/>
                <w:szCs w:val="20"/>
              </w:rPr>
              <w:sym w:font="Wingdings" w:char="F0A1"/>
            </w:r>
          </w:p>
        </w:tc>
      </w:tr>
    </w:tbl>
    <w:p w14:paraId="31DB4584" w14:textId="77777777" w:rsidR="0020660C" w:rsidRDefault="00962BC0" w:rsidP="00BB3AEB">
      <w:pPr>
        <w:pStyle w:val="Heading1"/>
        <w:rPr>
          <w:color w:val="0070C0"/>
          <w:sz w:val="32"/>
          <w:szCs w:val="32"/>
        </w:rPr>
      </w:pPr>
      <w:bookmarkStart w:id="1" w:name="_Toc44580993"/>
      <w:bookmarkEnd w:id="0"/>
      <w:r>
        <w:rPr>
          <w:color w:val="0070C0"/>
          <w:sz w:val="32"/>
          <w:szCs w:val="32"/>
        </w:rPr>
        <w:t>Introduction</w:t>
      </w:r>
      <w:bookmarkEnd w:id="1"/>
    </w:p>
    <w:p w14:paraId="5D80B7B8" w14:textId="45023148" w:rsidR="00962BC0" w:rsidRDefault="00962BC0" w:rsidP="00962BC0"/>
    <w:p w14:paraId="445C30C4" w14:textId="280DF573" w:rsidR="00E87DC2" w:rsidRPr="00E87DC2" w:rsidRDefault="00E87DC2" w:rsidP="00E87DC2">
      <w:pPr>
        <w:rPr>
          <w:rFonts w:ascii="Arial" w:hAnsi="Arial" w:cs="Arial"/>
          <w:sz w:val="20"/>
          <w:szCs w:val="20"/>
        </w:rPr>
      </w:pPr>
      <w:r w:rsidRPr="001A7F9F">
        <w:rPr>
          <w:rFonts w:ascii="Arial" w:hAnsi="Arial" w:cs="Arial"/>
          <w:color w:val="262626" w:themeColor="text1" w:themeTint="D9"/>
          <w:sz w:val="20"/>
          <w:szCs w:val="20"/>
        </w:rPr>
        <w:t>Happy Summer! We are officially halfway through</w:t>
      </w:r>
      <w:r w:rsidR="00251315">
        <w:rPr>
          <w:rFonts w:ascii="Arial" w:hAnsi="Arial" w:cs="Arial"/>
          <w:color w:val="262626" w:themeColor="text1" w:themeTint="D9"/>
          <w:sz w:val="20"/>
          <w:szCs w:val="20"/>
        </w:rPr>
        <w:t xml:space="preserve"> </w:t>
      </w:r>
      <w:r w:rsidR="00251315" w:rsidRPr="00251315">
        <w:rPr>
          <w:rFonts w:ascii="Arial" w:hAnsi="Arial" w:cs="Arial"/>
          <w:strike/>
          <w:color w:val="262626" w:themeColor="text1" w:themeTint="D9"/>
          <w:sz w:val="20"/>
          <w:szCs w:val="20"/>
        </w:rPr>
        <w:t>the longest year on record</w:t>
      </w:r>
      <w:r w:rsidR="001A7F9F" w:rsidRPr="001A7F9F">
        <w:rPr>
          <w:rFonts w:ascii="Arial" w:hAnsi="Arial" w:cs="Arial"/>
          <w:color w:val="262626" w:themeColor="text1" w:themeTint="D9"/>
          <w:sz w:val="20"/>
          <w:szCs w:val="20"/>
        </w:rPr>
        <w:t xml:space="preserve"> </w:t>
      </w:r>
      <w:r w:rsidRPr="001A7F9F">
        <w:rPr>
          <w:rFonts w:ascii="Arial" w:hAnsi="Arial" w:cs="Arial"/>
          <w:color w:val="262626" w:themeColor="text1" w:themeTint="D9"/>
          <w:sz w:val="20"/>
          <w:szCs w:val="20"/>
        </w:rPr>
        <w:t>2020. While Q</w:t>
      </w:r>
      <w:r w:rsidR="00BD6B22" w:rsidRPr="001A7F9F">
        <w:rPr>
          <w:rFonts w:ascii="Arial" w:hAnsi="Arial" w:cs="Arial"/>
          <w:color w:val="262626" w:themeColor="text1" w:themeTint="D9"/>
          <w:sz w:val="20"/>
          <w:szCs w:val="20"/>
        </w:rPr>
        <w:t xml:space="preserve">uarter </w:t>
      </w:r>
      <w:r w:rsidRPr="001A7F9F">
        <w:rPr>
          <w:rFonts w:ascii="Arial" w:hAnsi="Arial" w:cs="Arial"/>
          <w:color w:val="262626" w:themeColor="text1" w:themeTint="D9"/>
          <w:sz w:val="20"/>
          <w:szCs w:val="20"/>
        </w:rPr>
        <w:t>1 was dominated by COVID-19 and related benefits issues, we</w:t>
      </w:r>
      <w:r w:rsidR="009E15ED" w:rsidRPr="001A7F9F">
        <w:rPr>
          <w:rFonts w:ascii="Arial" w:hAnsi="Arial" w:cs="Arial"/>
          <w:color w:val="262626" w:themeColor="text1" w:themeTint="D9"/>
          <w:sz w:val="20"/>
          <w:szCs w:val="20"/>
        </w:rPr>
        <w:t xml:space="preserve"> have</w:t>
      </w:r>
      <w:r w:rsidRPr="001A7F9F">
        <w:rPr>
          <w:rFonts w:ascii="Arial" w:hAnsi="Arial" w:cs="Arial"/>
          <w:color w:val="262626" w:themeColor="text1" w:themeTint="D9"/>
          <w:sz w:val="20"/>
          <w:szCs w:val="20"/>
        </w:rPr>
        <w:t xml:space="preserve"> begun to return to a sense of normalcy – at least from a regulatory perspective – in Q</w:t>
      </w:r>
      <w:r w:rsidR="00BD6B22" w:rsidRPr="001A7F9F">
        <w:rPr>
          <w:rFonts w:ascii="Arial" w:hAnsi="Arial" w:cs="Arial"/>
          <w:color w:val="262626" w:themeColor="text1" w:themeTint="D9"/>
          <w:sz w:val="20"/>
          <w:szCs w:val="20"/>
        </w:rPr>
        <w:t xml:space="preserve">uarter </w:t>
      </w:r>
      <w:r w:rsidRPr="001A7F9F">
        <w:rPr>
          <w:rFonts w:ascii="Arial" w:hAnsi="Arial" w:cs="Arial"/>
          <w:color w:val="262626" w:themeColor="text1" w:themeTint="D9"/>
          <w:sz w:val="20"/>
          <w:szCs w:val="20"/>
        </w:rPr>
        <w:t xml:space="preserve">2. In this issue of </w:t>
      </w:r>
      <w:r w:rsidRPr="001A7F9F">
        <w:rPr>
          <w:rFonts w:ascii="Arial" w:hAnsi="Arial" w:cs="Arial"/>
          <w:i/>
          <w:iCs/>
          <w:color w:val="262626" w:themeColor="text1" w:themeTint="D9"/>
          <w:sz w:val="20"/>
          <w:szCs w:val="20"/>
        </w:rPr>
        <w:t>Compliance Focus</w:t>
      </w:r>
      <w:r w:rsidRPr="001A7F9F">
        <w:rPr>
          <w:rFonts w:ascii="Arial" w:hAnsi="Arial" w:cs="Arial"/>
          <w:color w:val="262626" w:themeColor="text1" w:themeTint="D9"/>
          <w:sz w:val="20"/>
          <w:szCs w:val="20"/>
        </w:rPr>
        <w:t>, you</w:t>
      </w:r>
      <w:r w:rsidR="009E15ED" w:rsidRPr="001A7F9F">
        <w:rPr>
          <w:rFonts w:ascii="Arial" w:hAnsi="Arial" w:cs="Arial"/>
          <w:color w:val="262626" w:themeColor="text1" w:themeTint="D9"/>
          <w:sz w:val="20"/>
          <w:szCs w:val="20"/>
        </w:rPr>
        <w:t xml:space="preserve"> will </w:t>
      </w:r>
      <w:r w:rsidRPr="001A7F9F">
        <w:rPr>
          <w:rFonts w:ascii="Arial" w:hAnsi="Arial" w:cs="Arial"/>
          <w:color w:val="262626" w:themeColor="text1" w:themeTint="D9"/>
          <w:sz w:val="20"/>
          <w:szCs w:val="20"/>
        </w:rPr>
        <w:t xml:space="preserve">find a veritable assortment of compliance items, from HSAs </w:t>
      </w:r>
      <w:r w:rsidR="00E82FCA" w:rsidRPr="001A7F9F">
        <w:rPr>
          <w:rFonts w:ascii="Arial" w:hAnsi="Arial" w:cs="Arial"/>
          <w:color w:val="262626" w:themeColor="text1" w:themeTint="D9"/>
          <w:sz w:val="20"/>
          <w:szCs w:val="20"/>
        </w:rPr>
        <w:t>to</w:t>
      </w:r>
      <w:r w:rsidR="00246A10" w:rsidRPr="001A7F9F">
        <w:rPr>
          <w:rFonts w:ascii="Arial" w:hAnsi="Arial" w:cs="Arial"/>
          <w:color w:val="262626" w:themeColor="text1" w:themeTint="D9"/>
          <w:sz w:val="20"/>
          <w:szCs w:val="20"/>
        </w:rPr>
        <w:t xml:space="preserve"> </w:t>
      </w:r>
      <w:r w:rsidRPr="001A7F9F">
        <w:rPr>
          <w:rFonts w:ascii="Arial" w:hAnsi="Arial" w:cs="Arial"/>
          <w:color w:val="262626" w:themeColor="text1" w:themeTint="D9"/>
          <w:sz w:val="20"/>
          <w:szCs w:val="20"/>
        </w:rPr>
        <w:t>Qualified Transportation Benefits to COBRA</w:t>
      </w:r>
      <w:r w:rsidR="00E82FCA" w:rsidRPr="001A7F9F">
        <w:rPr>
          <w:rFonts w:ascii="Arial" w:hAnsi="Arial" w:cs="Arial"/>
          <w:color w:val="262626" w:themeColor="text1" w:themeTint="D9"/>
          <w:sz w:val="20"/>
          <w:szCs w:val="20"/>
        </w:rPr>
        <w:t>,</w:t>
      </w:r>
      <w:r w:rsidR="00246A10" w:rsidRPr="001A7F9F">
        <w:rPr>
          <w:rFonts w:ascii="Arial" w:hAnsi="Arial" w:cs="Arial"/>
          <w:color w:val="262626" w:themeColor="text1" w:themeTint="D9"/>
          <w:sz w:val="20"/>
          <w:szCs w:val="20"/>
        </w:rPr>
        <w:t xml:space="preserve"> and more</w:t>
      </w:r>
      <w:r w:rsidRPr="001A7F9F">
        <w:rPr>
          <w:rFonts w:ascii="Arial" w:hAnsi="Arial" w:cs="Arial"/>
          <w:color w:val="262626" w:themeColor="text1" w:themeTint="D9"/>
          <w:sz w:val="20"/>
          <w:szCs w:val="20"/>
        </w:rPr>
        <w:t>. And of course, there is still plenty of guidance related to COVID-19</w:t>
      </w:r>
      <w:r w:rsidR="00246A10" w:rsidRPr="001A7F9F">
        <w:rPr>
          <w:rFonts w:ascii="Arial" w:hAnsi="Arial" w:cs="Arial"/>
          <w:color w:val="262626" w:themeColor="text1" w:themeTint="D9"/>
          <w:sz w:val="20"/>
          <w:szCs w:val="20"/>
        </w:rPr>
        <w:t xml:space="preserve"> and its implications for employers</w:t>
      </w:r>
      <w:r w:rsidRPr="001A7F9F">
        <w:rPr>
          <w:rFonts w:ascii="Arial" w:hAnsi="Arial" w:cs="Arial"/>
          <w:color w:val="262626" w:themeColor="text1" w:themeTint="D9"/>
          <w:sz w:val="20"/>
          <w:szCs w:val="20"/>
        </w:rPr>
        <w:t xml:space="preserve">, as </w:t>
      </w:r>
      <w:r w:rsidR="0042356B" w:rsidRPr="001A7F9F">
        <w:rPr>
          <w:rFonts w:ascii="Arial" w:hAnsi="Arial" w:cs="Arial"/>
          <w:color w:val="262626" w:themeColor="text1" w:themeTint="D9"/>
          <w:sz w:val="20"/>
          <w:szCs w:val="20"/>
        </w:rPr>
        <w:t>it becomes increasingly clear that th</w:t>
      </w:r>
      <w:r w:rsidR="00246A10" w:rsidRPr="001A7F9F">
        <w:rPr>
          <w:rFonts w:ascii="Arial" w:hAnsi="Arial" w:cs="Arial"/>
          <w:color w:val="262626" w:themeColor="text1" w:themeTint="D9"/>
          <w:sz w:val="20"/>
          <w:szCs w:val="20"/>
        </w:rPr>
        <w:t>is</w:t>
      </w:r>
      <w:r w:rsidR="0042356B" w:rsidRPr="001A7F9F">
        <w:rPr>
          <w:rFonts w:ascii="Arial" w:hAnsi="Arial" w:cs="Arial"/>
          <w:color w:val="262626" w:themeColor="text1" w:themeTint="D9"/>
          <w:sz w:val="20"/>
          <w:szCs w:val="20"/>
        </w:rPr>
        <w:t xml:space="preserve"> pandemic is far from over</w:t>
      </w:r>
      <w:r w:rsidR="00246A10" w:rsidRPr="001A7F9F">
        <w:rPr>
          <w:rFonts w:ascii="Arial" w:hAnsi="Arial" w:cs="Arial"/>
          <w:color w:val="262626" w:themeColor="text1" w:themeTint="D9"/>
          <w:sz w:val="20"/>
          <w:szCs w:val="20"/>
        </w:rPr>
        <w:t xml:space="preserve">. </w:t>
      </w:r>
      <w:r w:rsidR="001A7F9F">
        <w:rPr>
          <w:rFonts w:ascii="Arial" w:hAnsi="Arial" w:cs="Arial"/>
          <w:sz w:val="20"/>
          <w:szCs w:val="20"/>
        </w:rPr>
        <w:br/>
      </w:r>
    </w:p>
    <w:p w14:paraId="379DE1B3" w14:textId="77777777" w:rsidR="00BD6B22" w:rsidRDefault="00BD6B22" w:rsidP="00962BC0">
      <w:pPr>
        <w:rPr>
          <w:rFonts w:ascii="Arial" w:eastAsia="Times New Roman" w:hAnsi="Arial" w:cs="Arial"/>
          <w:color w:val="404040"/>
          <w:sz w:val="20"/>
          <w:szCs w:val="20"/>
          <w:lang w:eastAsia="en-US"/>
        </w:rPr>
      </w:pPr>
    </w:p>
    <w:p w14:paraId="0407E10A" w14:textId="67656343" w:rsidR="00BD6B22" w:rsidRPr="00962BC0" w:rsidRDefault="00BD6B22" w:rsidP="00962BC0">
      <w:pPr>
        <w:sectPr w:rsidR="00BD6B22" w:rsidRPr="00962BC0" w:rsidSect="002B4808">
          <w:footerReference w:type="default" r:id="rId10"/>
          <w:type w:val="continuous"/>
          <w:pgSz w:w="12240" w:h="15840" w:code="1"/>
          <w:pgMar w:top="1080" w:right="1440" w:bottom="1080" w:left="1440" w:header="720" w:footer="720" w:gutter="0"/>
          <w:cols w:space="720"/>
          <w:docGrid w:linePitch="360"/>
        </w:sectPr>
      </w:pPr>
    </w:p>
    <w:p w14:paraId="3987941C" w14:textId="35AC071F" w:rsidR="00962BC0" w:rsidRPr="000F4E7A" w:rsidRDefault="00962BC0" w:rsidP="00962BC0">
      <w:pPr>
        <w:pStyle w:val="Heading1"/>
        <w:rPr>
          <w:color w:val="0070C0"/>
          <w:sz w:val="32"/>
          <w:szCs w:val="32"/>
        </w:rPr>
        <w:sectPr w:rsidR="00962BC0" w:rsidRPr="000F4E7A" w:rsidSect="002B4808">
          <w:footerReference w:type="default" r:id="rId11"/>
          <w:type w:val="continuous"/>
          <w:pgSz w:w="12240" w:h="15840" w:code="1"/>
          <w:pgMar w:top="1080" w:right="1440" w:bottom="1080" w:left="1440" w:header="720" w:footer="720" w:gutter="0"/>
          <w:cols w:space="720"/>
          <w:docGrid w:linePitch="360"/>
        </w:sectPr>
      </w:pPr>
      <w:bookmarkStart w:id="2" w:name="_Toc44580994"/>
      <w:r>
        <w:rPr>
          <w:color w:val="0070C0"/>
          <w:sz w:val="32"/>
          <w:szCs w:val="32"/>
        </w:rPr>
        <w:t>Return to Work – Benefit Considerations</w:t>
      </w:r>
      <w:bookmarkEnd w:id="2"/>
    </w:p>
    <w:p w14:paraId="70D9EEB2" w14:textId="77777777" w:rsidR="00962BC0" w:rsidRDefault="00962BC0" w:rsidP="00962BC0">
      <w:pPr>
        <w:shd w:val="clear" w:color="auto" w:fill="FFFFFF"/>
        <w:jc w:val="both"/>
        <w:textAlignment w:val="baseline"/>
        <w:rPr>
          <w:rFonts w:ascii="Arial" w:eastAsia="Times New Roman" w:hAnsi="Arial" w:cs="Arial"/>
          <w:color w:val="000000" w:themeColor="text1"/>
          <w:sz w:val="20"/>
          <w:szCs w:val="20"/>
        </w:rPr>
      </w:pPr>
    </w:p>
    <w:p w14:paraId="681C6F1D" w14:textId="51BA3D99" w:rsidR="00177C33" w:rsidRPr="00177C33" w:rsidRDefault="00923F9B" w:rsidP="00177C33">
      <w:pPr>
        <w:shd w:val="clear" w:color="auto" w:fill="FFFFFF"/>
        <w:spacing w:after="360"/>
        <w:jc w:val="both"/>
        <w:textAlignment w:val="baseline"/>
        <w:rPr>
          <w:rFonts w:ascii="Arial" w:eastAsia="Times New Roman" w:hAnsi="Arial" w:cs="Arial"/>
          <w:color w:val="404040"/>
          <w:sz w:val="20"/>
          <w:szCs w:val="20"/>
          <w:lang w:eastAsia="en-US"/>
        </w:rPr>
      </w:pPr>
      <w:r>
        <w:rPr>
          <w:rFonts w:ascii="Arial" w:eastAsia="Times New Roman" w:hAnsi="Arial" w:cs="Arial"/>
          <w:color w:val="404040"/>
          <w:sz w:val="20"/>
          <w:szCs w:val="20"/>
          <w:lang w:eastAsia="en-US"/>
        </w:rPr>
        <w:t>As employers begin the process of bringing employees back to work, they inevitably have questions about</w:t>
      </w:r>
      <w:r w:rsidR="00177C33" w:rsidRPr="00177C33">
        <w:rPr>
          <w:rFonts w:ascii="Arial" w:eastAsia="Times New Roman" w:hAnsi="Arial" w:cs="Arial"/>
          <w:color w:val="404040"/>
          <w:sz w:val="20"/>
          <w:szCs w:val="20"/>
          <w:lang w:eastAsia="en-US"/>
        </w:rPr>
        <w:t xml:space="preserve"> how to handle benefits</w:t>
      </w:r>
      <w:r w:rsidR="00821E16">
        <w:rPr>
          <w:rFonts w:ascii="Arial" w:eastAsia="Times New Roman" w:hAnsi="Arial" w:cs="Arial"/>
          <w:color w:val="404040"/>
          <w:sz w:val="20"/>
          <w:szCs w:val="20"/>
          <w:lang w:eastAsia="en-US"/>
        </w:rPr>
        <w:t xml:space="preserve"> during a return to work</w:t>
      </w:r>
      <w:r w:rsidR="00177C33" w:rsidRPr="00177C33">
        <w:rPr>
          <w:rFonts w:ascii="Arial" w:eastAsia="Times New Roman" w:hAnsi="Arial" w:cs="Arial"/>
          <w:color w:val="404040"/>
          <w:sz w:val="20"/>
          <w:szCs w:val="20"/>
          <w:lang w:eastAsia="en-US"/>
        </w:rPr>
        <w:t xml:space="preserve"> versus </w:t>
      </w:r>
      <w:r w:rsidR="00821E16">
        <w:rPr>
          <w:rFonts w:ascii="Arial" w:eastAsia="Times New Roman" w:hAnsi="Arial" w:cs="Arial"/>
          <w:color w:val="404040"/>
          <w:sz w:val="20"/>
          <w:szCs w:val="20"/>
          <w:lang w:eastAsia="en-US"/>
        </w:rPr>
        <w:t>handling</w:t>
      </w:r>
      <w:r w:rsidR="00177C33" w:rsidRPr="00177C33">
        <w:rPr>
          <w:rFonts w:ascii="Arial" w:eastAsia="Times New Roman" w:hAnsi="Arial" w:cs="Arial"/>
          <w:color w:val="404040"/>
          <w:sz w:val="20"/>
          <w:szCs w:val="20"/>
          <w:lang w:eastAsia="en-US"/>
        </w:rPr>
        <w:t xml:space="preserve"> benefits during a furlough or layoff</w:t>
      </w:r>
      <w:r>
        <w:rPr>
          <w:rFonts w:ascii="Arial" w:eastAsia="Times New Roman" w:hAnsi="Arial" w:cs="Arial"/>
          <w:color w:val="404040"/>
          <w:sz w:val="20"/>
          <w:szCs w:val="20"/>
          <w:lang w:eastAsia="en-US"/>
        </w:rPr>
        <w:t xml:space="preserve">. </w:t>
      </w:r>
      <w:r w:rsidR="00177C33" w:rsidRPr="00177C33">
        <w:rPr>
          <w:rFonts w:ascii="Arial" w:eastAsia="Times New Roman" w:hAnsi="Arial" w:cs="Arial"/>
          <w:color w:val="404040"/>
          <w:sz w:val="20"/>
          <w:szCs w:val="20"/>
          <w:lang w:eastAsia="en-US"/>
        </w:rPr>
        <w:t>Below are several items employers may need to consider for employees returning to their previous employment status following a change in employment status arising from the public health emergency (COVID-19).</w:t>
      </w:r>
    </w:p>
    <w:p w14:paraId="25DFA4EC" w14:textId="77777777" w:rsidR="00177C33" w:rsidRPr="00177C33" w:rsidRDefault="00177C33" w:rsidP="00177C33">
      <w:pPr>
        <w:shd w:val="clear" w:color="auto" w:fill="FFFFFF"/>
        <w:jc w:val="both"/>
        <w:textAlignment w:val="baseline"/>
        <w:rPr>
          <w:rFonts w:ascii="Arial" w:eastAsia="Times New Roman" w:hAnsi="Arial" w:cs="Arial"/>
          <w:color w:val="404040"/>
          <w:sz w:val="20"/>
          <w:szCs w:val="20"/>
          <w:lang w:eastAsia="en-US"/>
        </w:rPr>
      </w:pPr>
      <w:r w:rsidRPr="00177C33">
        <w:rPr>
          <w:rFonts w:ascii="Arial" w:eastAsia="Times New Roman" w:hAnsi="Arial" w:cs="Arial"/>
          <w:b/>
          <w:bCs/>
          <w:color w:val="404040"/>
          <w:sz w:val="20"/>
          <w:szCs w:val="20"/>
          <w:bdr w:val="none" w:sz="0" w:space="0" w:color="auto" w:frame="1"/>
          <w:lang w:eastAsia="en-US"/>
        </w:rPr>
        <w:t>Eligibility Rules</w:t>
      </w:r>
    </w:p>
    <w:p w14:paraId="0FC6AF1B" w14:textId="77777777"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If employees voluntarily dropped coverage upon the change in employment status (even though eligibility was not lost) or previously waived coverage, will they have another opportunity to enroll in benefits upon returning to a full-time position? Or will such employees have to wait until the next open enrollment? And if employees lost benefit eligibility upon the change in employment status (e.g. reduced hours, leave of absence, furlough or layoff), what are the plan eligibility rules for an employee who is returning to an eligible position? Does a new waiting period apply?</w:t>
      </w:r>
    </w:p>
    <w:p w14:paraId="60B63F6B" w14:textId="602AB56F" w:rsidR="00A71C91"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For either scenario, if plan eligibility rules are unclear, or if the employer would like to alter them, the employer should confirm what the carrier (or stop-loss vendor) will permit and then implement a return-to-work policy that can be followed uniformly for all similarly situated employees. When making such determinations, consider the following rules.</w:t>
      </w:r>
    </w:p>
    <w:p w14:paraId="0E5DBBD8" w14:textId="77777777" w:rsidR="00177C33" w:rsidRPr="00177C33" w:rsidRDefault="00177C33" w:rsidP="00177C33">
      <w:pPr>
        <w:numPr>
          <w:ilvl w:val="0"/>
          <w:numId w:val="38"/>
        </w:numPr>
        <w:shd w:val="clear" w:color="auto" w:fill="FFFFFF"/>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Waiting Period Rules. Under the ACA waiting period rules, employers of all sizes are permitted to impose a new waiting period of up to 90 calendar days each time an employee becomes eligible. In other words, waiting period rules permit an employer to impose a new waiting period upon employees returning to an eligible position.</w:t>
      </w:r>
    </w:p>
    <w:p w14:paraId="3CFC006C" w14:textId="77777777" w:rsidR="00177C33" w:rsidRPr="00177C33" w:rsidRDefault="00177C33" w:rsidP="00177C33">
      <w:pPr>
        <w:numPr>
          <w:ilvl w:val="1"/>
          <w:numId w:val="38"/>
        </w:numPr>
        <w:shd w:val="clear" w:color="auto" w:fill="FFFFFF"/>
        <w:ind w:left="1080"/>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For small employers, there is flexibility to impose a new waiting period or shorten the waiting period subject to any carrier restrictions.</w:t>
      </w:r>
    </w:p>
    <w:p w14:paraId="2AA8F67E" w14:textId="617F5CA2" w:rsidR="00177C33" w:rsidRDefault="00177C33" w:rsidP="00177C33">
      <w:pPr>
        <w:numPr>
          <w:ilvl w:val="1"/>
          <w:numId w:val="38"/>
        </w:numPr>
        <w:shd w:val="clear" w:color="auto" w:fill="FFFFFF"/>
        <w:ind w:left="1080"/>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lastRenderedPageBreak/>
        <w:t>However, applicable large employers (ALEs) with 50 or more FTEs must also consider the break in service rules imposed under §4980H, which may limit the ability to impose a new waiting period.</w:t>
      </w:r>
    </w:p>
    <w:p w14:paraId="6E118F9C" w14:textId="77777777" w:rsidR="00A71C91" w:rsidRPr="00177C33" w:rsidRDefault="00A71C91" w:rsidP="00A71C91">
      <w:pPr>
        <w:shd w:val="clear" w:color="auto" w:fill="FFFFFF"/>
        <w:ind w:left="1080"/>
        <w:textAlignment w:val="baseline"/>
        <w:rPr>
          <w:rFonts w:ascii="Arial" w:eastAsia="Times New Roman" w:hAnsi="Arial" w:cs="Arial"/>
          <w:color w:val="404040"/>
          <w:sz w:val="20"/>
          <w:szCs w:val="20"/>
          <w:lang w:eastAsia="en-US"/>
        </w:rPr>
      </w:pPr>
    </w:p>
    <w:p w14:paraId="2F050FA6" w14:textId="77777777" w:rsidR="00177C33" w:rsidRPr="00177C33" w:rsidRDefault="00177C33" w:rsidP="00177C33">
      <w:pPr>
        <w:numPr>
          <w:ilvl w:val="0"/>
          <w:numId w:val="38"/>
        </w:numPr>
        <w:shd w:val="clear" w:color="auto" w:fill="FFFFFF"/>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§4980H Rules (the “Employer Mandate”). The §4980H rules, which apply to ALEs, impose rules restricting when the employer may impose a new waiting period or initial measurement period for employees returning to a full-time position following a break in service. A “break in service” is a period of time in which the employee is not receiving any pay (due to termination of employment, furlough, or leave of absence). The rules apply whether the ALE is using the monthly measurement method or the look-back measurement method, as set forth below:</w:t>
      </w:r>
    </w:p>
    <w:p w14:paraId="70361EE8" w14:textId="77777777" w:rsidR="00177C33" w:rsidRPr="00177C33" w:rsidRDefault="00177C33" w:rsidP="00177C33">
      <w:pPr>
        <w:numPr>
          <w:ilvl w:val="1"/>
          <w:numId w:val="38"/>
        </w:numPr>
        <w:shd w:val="clear" w:color="auto" w:fill="FFFFFF"/>
        <w:ind w:left="1080"/>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Following a break in service of &lt;13 weeks (26 weeks for educational organizations), employees must be treated as continuing employees. If they were covered prior to the break in service, coverage must be made available no later than the 1</w:t>
      </w:r>
      <w:r w:rsidRPr="00177C33">
        <w:rPr>
          <w:rFonts w:ascii="Arial" w:eastAsia="Times New Roman" w:hAnsi="Arial" w:cs="Arial"/>
          <w:color w:val="404040"/>
          <w:sz w:val="20"/>
          <w:szCs w:val="20"/>
          <w:bdr w:val="none" w:sz="0" w:space="0" w:color="auto" w:frame="1"/>
          <w:vertAlign w:val="superscript"/>
          <w:lang w:eastAsia="en-US"/>
        </w:rPr>
        <w:t>st</w:t>
      </w:r>
      <w:r w:rsidRPr="00177C33">
        <w:rPr>
          <w:rFonts w:ascii="Arial" w:eastAsia="Times New Roman" w:hAnsi="Arial" w:cs="Arial"/>
          <w:color w:val="404040"/>
          <w:sz w:val="20"/>
          <w:szCs w:val="20"/>
          <w:lang w:eastAsia="en-US"/>
        </w:rPr>
        <w:t> of the month following their return to an eligible position; nothing is required for those who previously waived coverage.</w:t>
      </w:r>
    </w:p>
    <w:p w14:paraId="674C8EAF" w14:textId="32BF4EEE" w:rsidR="00177C33" w:rsidRDefault="00177C33" w:rsidP="00177C33">
      <w:pPr>
        <w:numPr>
          <w:ilvl w:val="1"/>
          <w:numId w:val="38"/>
        </w:numPr>
        <w:shd w:val="clear" w:color="auto" w:fill="FFFFFF"/>
        <w:ind w:left="1080"/>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Following a break in service of 13 weeks or more (26 weeks for educational organizations), employees may be treated as new hires, allowing the employer to impose a new waiting period or initial measurement period as applicable.</w:t>
      </w:r>
    </w:p>
    <w:p w14:paraId="7043D2A8" w14:textId="77777777" w:rsidR="00A71C91" w:rsidRPr="00177C33" w:rsidRDefault="00A71C91" w:rsidP="00A71C91">
      <w:pPr>
        <w:shd w:val="clear" w:color="auto" w:fill="FFFFFF"/>
        <w:ind w:left="1080"/>
        <w:textAlignment w:val="baseline"/>
        <w:rPr>
          <w:rFonts w:ascii="Arial" w:eastAsia="Times New Roman" w:hAnsi="Arial" w:cs="Arial"/>
          <w:color w:val="404040"/>
          <w:sz w:val="20"/>
          <w:szCs w:val="20"/>
          <w:lang w:eastAsia="en-US"/>
        </w:rPr>
      </w:pPr>
    </w:p>
    <w:p w14:paraId="7F0AB8B2" w14:textId="77777777"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In addition to eligibility upon return to work, ALEs who use the look-back measurement method should consider how the change in employment status might affect eligibility in the next plan year. Although it is necessary to count all hours paid, including federally protected paid leave or employer-provided paid time off, employees with reduced hours or a period of time with no pay might average less than full-time hours over their measurement period and not be considered full-time for the employer’s next stability period. Some employers may choose to exclude such period of time from their measurement period, or impute hours equal to the employee’s regular average, to ensure that those who are normally considered full-time employees will continue to be full-time in the next stability period in spite of the temporary change in employment status.</w:t>
      </w:r>
    </w:p>
    <w:p w14:paraId="595C7ECC" w14:textId="77777777" w:rsidR="00177C33" w:rsidRPr="00177C33" w:rsidRDefault="00177C33" w:rsidP="00177C33">
      <w:pPr>
        <w:shd w:val="clear" w:color="auto" w:fill="FFFFFF"/>
        <w:jc w:val="both"/>
        <w:textAlignment w:val="baseline"/>
        <w:rPr>
          <w:rFonts w:ascii="Arial" w:eastAsia="Times New Roman" w:hAnsi="Arial" w:cs="Arial"/>
          <w:color w:val="404040"/>
          <w:sz w:val="20"/>
          <w:szCs w:val="20"/>
          <w:lang w:eastAsia="en-US"/>
        </w:rPr>
      </w:pPr>
      <w:r w:rsidRPr="00177C33">
        <w:rPr>
          <w:rFonts w:ascii="Arial" w:eastAsia="Times New Roman" w:hAnsi="Arial" w:cs="Arial"/>
          <w:b/>
          <w:bCs/>
          <w:color w:val="404040"/>
          <w:sz w:val="20"/>
          <w:szCs w:val="20"/>
          <w:bdr w:val="none" w:sz="0" w:space="0" w:color="auto" w:frame="1"/>
          <w:lang w:eastAsia="en-US"/>
        </w:rPr>
        <w:t>Employer/Employee Contributions</w:t>
      </w:r>
    </w:p>
    <w:p w14:paraId="4C7934F2" w14:textId="77777777"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If employers adjusted the employer/employee monthly contributions toward benefits to be more or less generous as needed, is there a need to make additional adjustments? Some employers only intended the contribution adjustments to be temporary. Employers should carefully communicate employee payment responsibilities for benefits.</w:t>
      </w:r>
    </w:p>
    <w:p w14:paraId="60F103C6" w14:textId="77777777"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The employer should also consider any payroll adjustments that may be required. For example, if employers agreed to pay 100% of the premium costs during the change in employment status, but employees are required to make catch-up employee contributions upon return, the employer may need to adjust salary reductions when employees first return, and then again once the employee makes all catch-up contributions. Employers should consider allowing employees to make catch-up contributions over several payrolls rather than all up front if the amount due is significant, both to help employees and to avoid violating any state wage and withholding requirements.</w:t>
      </w:r>
    </w:p>
    <w:p w14:paraId="192AB74C" w14:textId="77777777"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If employers adjusted HRA funding or employer HSA contributions, is there a need to make any further changes? Employees may want to adjust health FSA, DCAP, transportation, and/or HSA contributions through the employer’s cafeteria plan to the extent permitted by §125 rules and the employer’s cafeteria plan.</w:t>
      </w:r>
    </w:p>
    <w:p w14:paraId="16C69576" w14:textId="77777777" w:rsidR="00177C33" w:rsidRPr="00177C33" w:rsidRDefault="00177C33" w:rsidP="00177C33">
      <w:pPr>
        <w:shd w:val="clear" w:color="auto" w:fill="FFFFFF"/>
        <w:jc w:val="both"/>
        <w:textAlignment w:val="baseline"/>
        <w:rPr>
          <w:rFonts w:ascii="Arial" w:eastAsia="Times New Roman" w:hAnsi="Arial" w:cs="Arial"/>
          <w:color w:val="404040"/>
          <w:sz w:val="20"/>
          <w:szCs w:val="20"/>
          <w:lang w:eastAsia="en-US"/>
        </w:rPr>
      </w:pPr>
      <w:r w:rsidRPr="00177C33">
        <w:rPr>
          <w:rFonts w:ascii="Arial" w:eastAsia="Times New Roman" w:hAnsi="Arial" w:cs="Arial"/>
          <w:b/>
          <w:bCs/>
          <w:color w:val="404040"/>
          <w:sz w:val="20"/>
          <w:szCs w:val="20"/>
          <w:bdr w:val="none" w:sz="0" w:space="0" w:color="auto" w:frame="1"/>
          <w:lang w:eastAsia="en-US"/>
        </w:rPr>
        <w:t>§125 Election Changes</w:t>
      </w:r>
    </w:p>
    <w:p w14:paraId="5B6081D8" w14:textId="055349EB"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 xml:space="preserve">Upon changes in eligibility or changes in employment status, as well as upon changes in the cost of coverage or benefits provided, employees may want to make pre-tax election changes to correspond with an increase or decrease in coverage. Employers should be ready to address various employee requests to </w:t>
      </w:r>
      <w:r w:rsidR="000A7618">
        <w:rPr>
          <w:rFonts w:ascii="Arial" w:eastAsia="Times New Roman" w:hAnsi="Arial" w:cs="Arial"/>
          <w:color w:val="404040"/>
          <w:sz w:val="20"/>
          <w:szCs w:val="20"/>
          <w:lang w:eastAsia="en-US"/>
        </w:rPr>
        <w:t xml:space="preserve">change </w:t>
      </w:r>
      <w:r w:rsidRPr="00177C33">
        <w:rPr>
          <w:rFonts w:ascii="Arial" w:eastAsia="Times New Roman" w:hAnsi="Arial" w:cs="Arial"/>
          <w:color w:val="404040"/>
          <w:sz w:val="20"/>
          <w:szCs w:val="20"/>
          <w:lang w:eastAsia="en-US"/>
        </w:rPr>
        <w:t>pre-tax elections and should understand what §125 rules permit.</w:t>
      </w:r>
    </w:p>
    <w:p w14:paraId="20621B3B" w14:textId="1304D4E3"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 xml:space="preserve">If there is a change in employment status that affects plan eligibility, employees may make pre-tax election changes. Similarly, if the employer makes significant changes to plan coverage or adjusts employer contributions, employees are generally permitted to make pre-tax election changes (but not for the health </w:t>
      </w:r>
      <w:r w:rsidR="001A7F9F" w:rsidRPr="00593C4D">
        <w:rPr>
          <w:noProof/>
        </w:rPr>
        <w:lastRenderedPageBreak/>
        <mc:AlternateContent>
          <mc:Choice Requires="wps">
            <w:drawing>
              <wp:anchor distT="0" distB="0" distL="114300" distR="114300" simplePos="0" relativeHeight="251697152" behindDoc="0" locked="0" layoutInCell="1" allowOverlap="1" wp14:anchorId="14F2463B" wp14:editId="1965615E">
                <wp:simplePos x="0" y="0"/>
                <wp:positionH relativeFrom="column">
                  <wp:posOffset>3651738</wp:posOffset>
                </wp:positionH>
                <wp:positionV relativeFrom="paragraph">
                  <wp:posOffset>0</wp:posOffset>
                </wp:positionV>
                <wp:extent cx="3008630" cy="8496300"/>
                <wp:effectExtent l="0" t="0" r="1270" b="0"/>
                <wp:wrapSquare wrapText="bothSides"/>
                <wp:docPr id="1" name="Text Box 1"/>
                <wp:cNvGraphicFramePr/>
                <a:graphic xmlns:a="http://schemas.openxmlformats.org/drawingml/2006/main">
                  <a:graphicData uri="http://schemas.microsoft.com/office/word/2010/wordprocessingShape">
                    <wps:wsp>
                      <wps:cNvSpPr txBox="1"/>
                      <wps:spPr>
                        <a:xfrm>
                          <a:off x="0" y="0"/>
                          <a:ext cx="3008630" cy="8496300"/>
                        </a:xfrm>
                        <a:prstGeom prst="rect">
                          <a:avLst/>
                        </a:prstGeom>
                        <a:solidFill>
                          <a:schemeClr val="accent4">
                            <a:lumMod val="20000"/>
                            <a:lumOff val="80000"/>
                          </a:schemeClr>
                        </a:solidFill>
                        <a:ln w="6350">
                          <a:noFill/>
                        </a:ln>
                      </wps:spPr>
                      <wps:txbx>
                        <w:txbxContent>
                          <w:p w14:paraId="4FC6EA6A" w14:textId="5CD29AA8" w:rsidR="00005732" w:rsidRPr="006000F7" w:rsidRDefault="000929E6" w:rsidP="004120F7">
                            <w:pPr>
                              <w:spacing w:line="276" w:lineRule="auto"/>
                              <w:ind w:left="360"/>
                              <w:rPr>
                                <w:rFonts w:ascii="Arial" w:hAnsi="Arial" w:cs="Arial"/>
                                <w:b/>
                                <w:bCs/>
                                <w:color w:val="0070C0"/>
                                <w:sz w:val="26"/>
                                <w:szCs w:val="26"/>
                              </w:rPr>
                            </w:pPr>
                            <w:r>
                              <w:rPr>
                                <w:rFonts w:ascii="Arial" w:hAnsi="Arial" w:cs="Arial"/>
                                <w:b/>
                                <w:bCs/>
                                <w:color w:val="0070C0"/>
                                <w:sz w:val="26"/>
                                <w:szCs w:val="26"/>
                              </w:rPr>
                              <w:br/>
                            </w:r>
                            <w:r w:rsidR="006000F7" w:rsidRPr="006000F7">
                              <w:rPr>
                                <w:rFonts w:ascii="Arial" w:hAnsi="Arial" w:cs="Arial"/>
                                <w:b/>
                                <w:bCs/>
                                <w:color w:val="0070C0"/>
                                <w:sz w:val="26"/>
                                <w:szCs w:val="26"/>
                              </w:rPr>
                              <w:t>B</w:t>
                            </w:r>
                            <w:r w:rsidR="00005732" w:rsidRPr="006000F7">
                              <w:rPr>
                                <w:rFonts w:ascii="Arial" w:hAnsi="Arial" w:cs="Arial"/>
                                <w:b/>
                                <w:bCs/>
                                <w:color w:val="0070C0"/>
                                <w:sz w:val="26"/>
                                <w:szCs w:val="26"/>
                              </w:rPr>
                              <w:t>ENEFITS NEWS</w:t>
                            </w:r>
                            <w:r w:rsidR="00C65FEF">
                              <w:rPr>
                                <w:rFonts w:ascii="Arial" w:hAnsi="Arial" w:cs="Arial"/>
                                <w:b/>
                                <w:bCs/>
                                <w:color w:val="0070C0"/>
                                <w:sz w:val="26"/>
                                <w:szCs w:val="26"/>
                              </w:rPr>
                              <w:t xml:space="preserve"> </w:t>
                            </w:r>
                            <w:r w:rsidR="00005732" w:rsidRPr="006000F7">
                              <w:rPr>
                                <w:rFonts w:ascii="Arial" w:hAnsi="Arial" w:cs="Arial"/>
                                <w:b/>
                                <w:bCs/>
                                <w:color w:val="0070C0"/>
                                <w:sz w:val="26"/>
                                <w:szCs w:val="26"/>
                              </w:rPr>
                              <w:t>HIGHLIGHTS</w:t>
                            </w:r>
                            <w:r w:rsidR="004120F7">
                              <w:rPr>
                                <w:rFonts w:ascii="Arial" w:hAnsi="Arial" w:cs="Arial"/>
                                <w:b/>
                                <w:bCs/>
                                <w:color w:val="0070C0"/>
                                <w:sz w:val="26"/>
                                <w:szCs w:val="26"/>
                              </w:rPr>
                              <w:br/>
                            </w:r>
                          </w:p>
                          <w:p w14:paraId="1D2196E4" w14:textId="338D3375" w:rsidR="00DE61D6" w:rsidRDefault="00DE61D6" w:rsidP="00DE61D6">
                            <w:pPr>
                              <w:pStyle w:val="ListParagraph"/>
                              <w:numPr>
                                <w:ilvl w:val="0"/>
                                <w:numId w:val="33"/>
                              </w:numPr>
                              <w:rPr>
                                <w:rFonts w:ascii="Arial" w:eastAsia="Times New Roman" w:hAnsi="Arial" w:cs="Arial"/>
                                <w:color w:val="000000" w:themeColor="text1"/>
                                <w:sz w:val="18"/>
                                <w:szCs w:val="18"/>
                                <w:lang w:eastAsia="en-US"/>
                              </w:rPr>
                            </w:pPr>
                            <w:r w:rsidRPr="00DE61D6">
                              <w:rPr>
                                <w:rFonts w:ascii="Arial" w:eastAsia="Times New Roman" w:hAnsi="Arial" w:cs="Arial"/>
                                <w:color w:val="000000" w:themeColor="text1"/>
                                <w:sz w:val="18"/>
                                <w:szCs w:val="18"/>
                                <w:lang w:eastAsia="en-US"/>
                              </w:rPr>
                              <w:t xml:space="preserve">The IRS reported in </w:t>
                            </w:r>
                            <w:hyperlink r:id="rId12" w:history="1">
                              <w:r w:rsidRPr="007237C6">
                                <w:rPr>
                                  <w:rStyle w:val="Hyperlink"/>
                                  <w:rFonts w:ascii="Arial" w:eastAsia="Times New Roman" w:hAnsi="Arial" w:cs="Arial"/>
                                  <w:sz w:val="18"/>
                                  <w:szCs w:val="18"/>
                                  <w:lang w:eastAsia="en-US"/>
                                </w:rPr>
                                <w:t>Notice 2020 – 23</w:t>
                              </w:r>
                            </w:hyperlink>
                            <w:r w:rsidRPr="00DE61D6">
                              <w:rPr>
                                <w:rFonts w:ascii="Arial" w:eastAsia="Times New Roman" w:hAnsi="Arial" w:cs="Arial"/>
                                <w:color w:val="000000" w:themeColor="text1"/>
                                <w:sz w:val="18"/>
                                <w:szCs w:val="18"/>
                                <w:lang w:eastAsia="en-US"/>
                              </w:rPr>
                              <w:t xml:space="preserve"> that ERISA Plans with 5500 Filing due dates or extended due dates falling on or after April 1, 2020, and before July 15, 2020 now have until July 15, 2020, to file their information reports.</w:t>
                            </w:r>
                          </w:p>
                          <w:p w14:paraId="4AFBCFDF" w14:textId="77777777" w:rsidR="007E3DD4" w:rsidRDefault="007E3DD4" w:rsidP="007E3DD4">
                            <w:pPr>
                              <w:pStyle w:val="ListParagraph"/>
                              <w:ind w:left="360"/>
                              <w:rPr>
                                <w:rFonts w:ascii="Arial" w:eastAsia="Times New Roman" w:hAnsi="Arial" w:cs="Arial"/>
                                <w:color w:val="000000" w:themeColor="text1"/>
                                <w:sz w:val="18"/>
                                <w:szCs w:val="18"/>
                                <w:lang w:eastAsia="en-US"/>
                              </w:rPr>
                            </w:pPr>
                          </w:p>
                          <w:p w14:paraId="3AF210E7" w14:textId="2EFA17FE" w:rsidR="007E3DD4" w:rsidRDefault="007E3DD4" w:rsidP="007E3DD4">
                            <w:pPr>
                              <w:pStyle w:val="ListParagraph"/>
                              <w:numPr>
                                <w:ilvl w:val="0"/>
                                <w:numId w:val="33"/>
                              </w:numPr>
                              <w:rPr>
                                <w:rFonts w:ascii="Arial" w:eastAsia="Times New Roman" w:hAnsi="Arial" w:cs="Arial"/>
                                <w:color w:val="000000" w:themeColor="text1"/>
                                <w:sz w:val="18"/>
                                <w:szCs w:val="18"/>
                                <w:lang w:eastAsia="en-US"/>
                              </w:rPr>
                            </w:pPr>
                            <w:r w:rsidRPr="007E3DD4">
                              <w:rPr>
                                <w:rFonts w:ascii="Arial" w:eastAsia="Times New Roman" w:hAnsi="Arial" w:cs="Arial"/>
                                <w:color w:val="000000" w:themeColor="text1"/>
                                <w:sz w:val="18"/>
                                <w:szCs w:val="18"/>
                                <w:lang w:eastAsia="en-US"/>
                              </w:rPr>
                              <w:t xml:space="preserve">Because the due date for filing Federal income tax returns is now July 15, 2020, individuals may make contributions to their HSA (Health Savings Accounts) for 2019 at any time up to July 15, 2020. </w:t>
                            </w:r>
                            <w:r>
                              <w:rPr>
                                <w:rFonts w:ascii="Arial" w:eastAsia="Times New Roman" w:hAnsi="Arial" w:cs="Arial"/>
                                <w:color w:val="000000" w:themeColor="text1"/>
                                <w:sz w:val="18"/>
                                <w:szCs w:val="18"/>
                                <w:lang w:eastAsia="en-US"/>
                              </w:rPr>
                              <w:t>(</w:t>
                            </w:r>
                            <w:r w:rsidRPr="007E3DD4">
                              <w:rPr>
                                <w:rFonts w:ascii="Arial" w:eastAsia="Times New Roman" w:hAnsi="Arial" w:cs="Arial"/>
                                <w:color w:val="000000" w:themeColor="text1"/>
                                <w:sz w:val="18"/>
                                <w:szCs w:val="18"/>
                                <w:lang w:eastAsia="en-US"/>
                              </w:rPr>
                              <w:t xml:space="preserve">See </w:t>
                            </w:r>
                            <w:hyperlink r:id="rId13" w:history="1">
                              <w:r w:rsidRPr="007E3DD4">
                                <w:rPr>
                                  <w:rStyle w:val="Hyperlink"/>
                                  <w:rFonts w:ascii="Arial" w:eastAsia="Times New Roman" w:hAnsi="Arial" w:cs="Arial"/>
                                  <w:sz w:val="18"/>
                                  <w:szCs w:val="18"/>
                                  <w:lang w:eastAsia="en-US"/>
                                </w:rPr>
                                <w:t>Question and Answer #27</w:t>
                              </w:r>
                            </w:hyperlink>
                            <w:r w:rsidRPr="007E3DD4">
                              <w:rPr>
                                <w:rFonts w:ascii="Arial" w:eastAsia="Times New Roman" w:hAnsi="Arial" w:cs="Arial"/>
                                <w:color w:val="000000" w:themeColor="text1"/>
                                <w:sz w:val="18"/>
                                <w:szCs w:val="18"/>
                                <w:lang w:eastAsia="en-US"/>
                              </w:rPr>
                              <w:t>.</w:t>
                            </w:r>
                            <w:r>
                              <w:rPr>
                                <w:rFonts w:ascii="Arial" w:eastAsia="Times New Roman" w:hAnsi="Arial" w:cs="Arial"/>
                                <w:color w:val="000000" w:themeColor="text1"/>
                                <w:sz w:val="18"/>
                                <w:szCs w:val="18"/>
                                <w:lang w:eastAsia="en-US"/>
                              </w:rPr>
                              <w:t>)</w:t>
                            </w:r>
                          </w:p>
                          <w:p w14:paraId="36789FAE" w14:textId="77777777" w:rsidR="007B59C6" w:rsidRPr="007B59C6" w:rsidRDefault="007B59C6" w:rsidP="007B59C6">
                            <w:pPr>
                              <w:pStyle w:val="ListParagraph"/>
                              <w:rPr>
                                <w:rFonts w:ascii="Arial" w:eastAsia="Times New Roman" w:hAnsi="Arial" w:cs="Arial"/>
                                <w:color w:val="000000" w:themeColor="text1"/>
                                <w:sz w:val="18"/>
                                <w:szCs w:val="18"/>
                                <w:lang w:eastAsia="en-US"/>
                              </w:rPr>
                            </w:pPr>
                          </w:p>
                          <w:p w14:paraId="3B181EEF" w14:textId="0DBB3D15" w:rsidR="007B59C6" w:rsidRPr="003D299D" w:rsidRDefault="007B59C6" w:rsidP="003D299D">
                            <w:pPr>
                              <w:pStyle w:val="ListParagraph"/>
                              <w:numPr>
                                <w:ilvl w:val="0"/>
                                <w:numId w:val="33"/>
                              </w:numPr>
                              <w:rPr>
                                <w:rFonts w:ascii="Arial" w:eastAsia="Times New Roman" w:hAnsi="Arial" w:cs="Arial"/>
                                <w:color w:val="000000" w:themeColor="text1"/>
                                <w:sz w:val="18"/>
                                <w:szCs w:val="18"/>
                                <w:lang w:eastAsia="en-US"/>
                              </w:rPr>
                            </w:pPr>
                            <w:r w:rsidRPr="003D299D">
                              <w:rPr>
                                <w:rFonts w:ascii="Arial" w:eastAsia="Times New Roman" w:hAnsi="Arial" w:cs="Arial"/>
                                <w:color w:val="000000" w:themeColor="text1"/>
                                <w:sz w:val="18"/>
                                <w:szCs w:val="18"/>
                                <w:lang w:eastAsia="en-US"/>
                              </w:rPr>
                              <w:t xml:space="preserve">Click </w:t>
                            </w:r>
                            <w:hyperlink r:id="rId14" w:history="1">
                              <w:r w:rsidRPr="003D299D">
                                <w:rPr>
                                  <w:rStyle w:val="Hyperlink"/>
                                  <w:rFonts w:ascii="Arial" w:eastAsia="Times New Roman" w:hAnsi="Arial" w:cs="Arial"/>
                                  <w:sz w:val="18"/>
                                  <w:szCs w:val="18"/>
                                  <w:lang w:eastAsia="en-US"/>
                                </w:rPr>
                                <w:t>here</w:t>
                              </w:r>
                            </w:hyperlink>
                            <w:r w:rsidRPr="003D299D">
                              <w:rPr>
                                <w:rFonts w:ascii="Arial" w:eastAsia="Times New Roman" w:hAnsi="Arial" w:cs="Arial"/>
                                <w:color w:val="000000" w:themeColor="text1"/>
                                <w:sz w:val="18"/>
                                <w:szCs w:val="18"/>
                                <w:lang w:eastAsia="en-US"/>
                              </w:rPr>
                              <w:t xml:space="preserve"> for a SHRM article which provides details about several state insurance commissioners ordering “insurance companies to let employers continue covering employees under group policies, even if employees would normally lose eligibility due to layoffs or reduced hours.</w:t>
                            </w:r>
                          </w:p>
                          <w:p w14:paraId="663DB0B9" w14:textId="77777777" w:rsidR="007B59C6" w:rsidRPr="007B59C6" w:rsidRDefault="007B59C6" w:rsidP="007B59C6">
                            <w:pPr>
                              <w:pStyle w:val="ListParagraph"/>
                              <w:rPr>
                                <w:rFonts w:ascii="Arial" w:eastAsia="Times New Roman" w:hAnsi="Arial" w:cs="Arial"/>
                                <w:color w:val="000000" w:themeColor="text1"/>
                                <w:sz w:val="18"/>
                                <w:szCs w:val="18"/>
                                <w:lang w:eastAsia="en-US"/>
                              </w:rPr>
                            </w:pPr>
                          </w:p>
                          <w:p w14:paraId="0658EF15" w14:textId="6E2E018F" w:rsidR="008E47FD" w:rsidRDefault="00942436" w:rsidP="008E47FD">
                            <w:pPr>
                              <w:pStyle w:val="ListParagraph"/>
                              <w:numPr>
                                <w:ilvl w:val="0"/>
                                <w:numId w:val="33"/>
                              </w:numPr>
                              <w:rPr>
                                <w:rFonts w:ascii="Arial" w:eastAsia="Times New Roman" w:hAnsi="Arial" w:cs="Arial"/>
                                <w:color w:val="000000" w:themeColor="text1"/>
                                <w:sz w:val="18"/>
                                <w:szCs w:val="18"/>
                                <w:lang w:eastAsia="en-US"/>
                              </w:rPr>
                            </w:pPr>
                            <w:r>
                              <w:rPr>
                                <w:rFonts w:ascii="Arial" w:eastAsia="Times New Roman" w:hAnsi="Arial" w:cs="Arial"/>
                                <w:color w:val="000000" w:themeColor="text1"/>
                                <w:sz w:val="18"/>
                                <w:szCs w:val="18"/>
                                <w:lang w:eastAsia="en-US"/>
                              </w:rPr>
                              <w:t xml:space="preserve">Last </w:t>
                            </w:r>
                            <w:r>
                              <w:rPr>
                                <w:rFonts w:ascii="Arial" w:eastAsia="Times New Roman" w:hAnsi="Arial" w:cs="Arial"/>
                                <w:color w:val="000000" w:themeColor="text1"/>
                                <w:sz w:val="18"/>
                                <w:szCs w:val="18"/>
                                <w:lang w:eastAsia="en-US"/>
                              </w:rPr>
                              <w:t>year</w:t>
                            </w:r>
                            <w:r w:rsidR="0082709E" w:rsidRPr="0082709E">
                              <w:rPr>
                                <w:rFonts w:ascii="Arial" w:eastAsia="Times New Roman" w:hAnsi="Arial" w:cs="Arial"/>
                                <w:color w:val="000000" w:themeColor="text1"/>
                                <w:sz w:val="18"/>
                                <w:szCs w:val="18"/>
                                <w:lang w:eastAsia="en-US"/>
                              </w:rPr>
                              <w:t>,</w:t>
                            </w:r>
                            <w:r>
                              <w:rPr>
                                <w:rFonts w:ascii="Arial" w:eastAsia="Times New Roman" w:hAnsi="Arial" w:cs="Arial"/>
                                <w:color w:val="000000" w:themeColor="text1"/>
                                <w:sz w:val="18"/>
                                <w:szCs w:val="18"/>
                                <w:lang w:eastAsia="en-US"/>
                              </w:rPr>
                              <w:t xml:space="preserve"> </w:t>
                            </w:r>
                            <w:r w:rsidR="0082709E" w:rsidRPr="0082709E">
                              <w:rPr>
                                <w:rFonts w:ascii="Arial" w:eastAsia="Times New Roman" w:hAnsi="Arial" w:cs="Arial"/>
                                <w:color w:val="000000" w:themeColor="text1"/>
                                <w:sz w:val="18"/>
                                <w:szCs w:val="18"/>
                                <w:lang w:eastAsia="en-US"/>
                              </w:rPr>
                              <w:t xml:space="preserve">the Supreme Court agreed to hear Maine Community Health Options v. United States, a </w:t>
                            </w:r>
                            <w:hyperlink r:id="rId15" w:history="1">
                              <w:r w:rsidR="0082709E" w:rsidRPr="00251315">
                                <w:rPr>
                                  <w:rStyle w:val="Hyperlink"/>
                                  <w:rFonts w:ascii="Arial" w:eastAsia="Times New Roman" w:hAnsi="Arial" w:cs="Arial"/>
                                  <w:sz w:val="18"/>
                                  <w:szCs w:val="18"/>
                                  <w:lang w:eastAsia="en-US"/>
                                </w:rPr>
                                <w:t>case</w:t>
                              </w:r>
                            </w:hyperlink>
                            <w:r w:rsidR="0082709E" w:rsidRPr="0082709E">
                              <w:rPr>
                                <w:rFonts w:ascii="Arial" w:eastAsia="Times New Roman" w:hAnsi="Arial" w:cs="Arial"/>
                                <w:color w:val="000000" w:themeColor="text1"/>
                                <w:sz w:val="18"/>
                                <w:szCs w:val="18"/>
                                <w:lang w:eastAsia="en-US"/>
                              </w:rPr>
                              <w:t xml:space="preserve"> to decide whether health insurance companies that offered plans on the exchange are entitled to compensation for losses they suffered as a result of the federal government’s declining to make “risk-corridor payments,” as was originally intended when the ACA was enacted.  On April 27, 2020, the Court </w:t>
                            </w:r>
                            <w:hyperlink r:id="rId16" w:history="1">
                              <w:r w:rsidR="0082709E" w:rsidRPr="00251315">
                                <w:rPr>
                                  <w:rStyle w:val="Hyperlink"/>
                                  <w:rFonts w:ascii="Arial" w:eastAsia="Times New Roman" w:hAnsi="Arial" w:cs="Arial"/>
                                  <w:sz w:val="18"/>
                                  <w:szCs w:val="18"/>
                                  <w:lang w:eastAsia="en-US"/>
                                </w:rPr>
                                <w:t>decided</w:t>
                              </w:r>
                            </w:hyperlink>
                            <w:r w:rsidR="0082709E" w:rsidRPr="0082709E">
                              <w:rPr>
                                <w:rFonts w:ascii="Arial" w:eastAsia="Times New Roman" w:hAnsi="Arial" w:cs="Arial"/>
                                <w:color w:val="000000" w:themeColor="text1"/>
                                <w:sz w:val="18"/>
                                <w:szCs w:val="18"/>
                                <w:lang w:eastAsia="en-US"/>
                              </w:rPr>
                              <w:t xml:space="preserve"> in favor of the insurers, concluding that by “establishing the temporary Risk Corridors program, Congress created a rare money-mandating obligation requiring the Federal Government to make payments…” Further, the Court found that Congress “neither repealed nor discharged” this obligation, and therefore “petitioners may seek to collect payment through a damages action in the Court of Federal Claims.”</w:t>
                            </w:r>
                          </w:p>
                          <w:p w14:paraId="33BE7FF0" w14:textId="77777777" w:rsidR="008E47FD" w:rsidRPr="008E47FD" w:rsidRDefault="008E47FD" w:rsidP="008E47FD">
                            <w:pPr>
                              <w:pStyle w:val="ListParagraph"/>
                              <w:rPr>
                                <w:rFonts w:ascii="Arial" w:eastAsia="Times New Roman" w:hAnsi="Arial" w:cs="Arial"/>
                                <w:color w:val="000000" w:themeColor="text1"/>
                                <w:sz w:val="18"/>
                                <w:szCs w:val="18"/>
                                <w:lang w:eastAsia="en-US"/>
                              </w:rPr>
                            </w:pPr>
                          </w:p>
                          <w:p w14:paraId="3194C7B7" w14:textId="21B606CF" w:rsidR="008E47FD" w:rsidRDefault="007B0C57" w:rsidP="008E47FD">
                            <w:pPr>
                              <w:pStyle w:val="ListParagraph"/>
                              <w:numPr>
                                <w:ilvl w:val="0"/>
                                <w:numId w:val="33"/>
                              </w:numPr>
                              <w:rPr>
                                <w:rFonts w:ascii="Arial" w:eastAsia="Times New Roman" w:hAnsi="Arial" w:cs="Arial"/>
                                <w:color w:val="000000" w:themeColor="text1"/>
                                <w:sz w:val="18"/>
                                <w:szCs w:val="18"/>
                                <w:lang w:eastAsia="en-US"/>
                              </w:rPr>
                            </w:pPr>
                            <w:r w:rsidRPr="007B0C57">
                              <w:rPr>
                                <w:rFonts w:ascii="Arial" w:eastAsia="Times New Roman" w:hAnsi="Arial" w:cs="Arial"/>
                                <w:color w:val="000000" w:themeColor="text1"/>
                                <w:sz w:val="18"/>
                                <w:szCs w:val="18"/>
                                <w:lang w:eastAsia="en-US"/>
                              </w:rPr>
                              <w:t xml:space="preserve">Groom Law Firm </w:t>
                            </w:r>
                            <w:hyperlink r:id="rId17" w:history="1">
                              <w:r w:rsidRPr="00B138FD">
                                <w:rPr>
                                  <w:rStyle w:val="Hyperlink"/>
                                  <w:rFonts w:ascii="Arial" w:eastAsia="Times New Roman" w:hAnsi="Arial" w:cs="Arial"/>
                                  <w:sz w:val="18"/>
                                  <w:szCs w:val="18"/>
                                  <w:lang w:eastAsia="en-US"/>
                                </w:rPr>
                                <w:t>reports</w:t>
                              </w:r>
                            </w:hyperlink>
                            <w:r w:rsidRPr="007B0C57">
                              <w:rPr>
                                <w:rFonts w:ascii="Arial" w:eastAsia="Times New Roman" w:hAnsi="Arial" w:cs="Arial"/>
                                <w:color w:val="000000" w:themeColor="text1"/>
                                <w:sz w:val="18"/>
                                <w:szCs w:val="18"/>
                                <w:lang w:eastAsia="en-US"/>
                              </w:rPr>
                              <w:t xml:space="preserve"> on recent ERISA litigation activity regarding violations of COBRA’s election notice requirements. The lawsuits allege deficiencies, even in notices based on the Department of Labor’s (DOL’s) Model Election Notice, that caused former employees to not elect COBRA when they could have.</w:t>
                            </w:r>
                          </w:p>
                          <w:p w14:paraId="7E2FA2EF" w14:textId="77777777" w:rsidR="007B0C57" w:rsidRPr="007B0C57" w:rsidRDefault="007B0C57" w:rsidP="007B0C57">
                            <w:pPr>
                              <w:pStyle w:val="ListParagraph"/>
                              <w:rPr>
                                <w:rFonts w:ascii="Arial" w:eastAsia="Times New Roman" w:hAnsi="Arial" w:cs="Arial"/>
                                <w:color w:val="000000" w:themeColor="text1"/>
                                <w:sz w:val="18"/>
                                <w:szCs w:val="18"/>
                                <w:lang w:eastAsia="en-US"/>
                              </w:rPr>
                            </w:pPr>
                          </w:p>
                          <w:p w14:paraId="202673A7" w14:textId="77777777" w:rsidR="007B0C57" w:rsidRPr="007B0C57" w:rsidRDefault="007B0C57" w:rsidP="007B0C57">
                            <w:pPr>
                              <w:rPr>
                                <w:rFonts w:ascii="Arial" w:eastAsia="Times New Roman" w:hAnsi="Arial" w:cs="Arial"/>
                                <w:color w:val="000000" w:themeColor="text1"/>
                                <w:sz w:val="18"/>
                                <w:szCs w:val="18"/>
                                <w:lang w:eastAsia="en-US"/>
                              </w:rPr>
                            </w:pPr>
                          </w:p>
                          <w:p w14:paraId="03A57FFA" w14:textId="77777777" w:rsidR="0008151C" w:rsidRPr="00DE61D6" w:rsidRDefault="0008151C" w:rsidP="00DE61D6">
                            <w:pPr>
                              <w:pStyle w:val="ListParagraph"/>
                              <w:numPr>
                                <w:ilvl w:val="0"/>
                                <w:numId w:val="33"/>
                              </w:numPr>
                              <w:rPr>
                                <w:rFonts w:ascii="Arial" w:eastAsia="Times New Roman" w:hAnsi="Arial" w:cs="Arial"/>
                                <w:color w:val="000000" w:themeColor="text1"/>
                                <w:sz w:val="18"/>
                                <w:szCs w:val="18"/>
                                <w:lang w:eastAsia="en-US"/>
                              </w:rPr>
                            </w:pPr>
                          </w:p>
                          <w:p w14:paraId="6F56F329" w14:textId="77777777" w:rsidR="00DE49AD" w:rsidRPr="005C7A6D" w:rsidRDefault="00DE49AD" w:rsidP="00DE61D6">
                            <w:pPr>
                              <w:pStyle w:val="ListParagraph"/>
                              <w:spacing w:line="360" w:lineRule="auto"/>
                              <w:ind w:left="360"/>
                              <w:rPr>
                                <w:rFonts w:ascii="Arial" w:eastAsia="Times New Roman" w:hAnsi="Arial" w:cs="Arial"/>
                                <w:color w:val="000000" w:themeColor="text1"/>
                                <w:sz w:val="18"/>
                                <w:szCs w:val="18"/>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2463B" id="_x0000_t202" coordsize="21600,21600" o:spt="202" path="m,l,21600r21600,l21600,xe">
                <v:stroke joinstyle="miter"/>
                <v:path gradientshapeok="t" o:connecttype="rect"/>
              </v:shapetype>
              <v:shape id="Text Box 1" o:spid="_x0000_s1028" type="#_x0000_t202" style="position:absolute;left:0;text-align:left;margin-left:287.55pt;margin-top:0;width:236.9pt;height:6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" fillcolor="#dfeef2 [663]" stroked="f" strokeweight=".5pt">
                <v:textbox>
                  <w:txbxContent>
                    <w:p w14:paraId="4FC6EA6A" w14:textId="5CD29AA8" w:rsidR="00005732" w:rsidRPr="006000F7" w:rsidRDefault="000929E6" w:rsidP="004120F7">
                      <w:pPr>
                        <w:spacing w:line="276" w:lineRule="auto"/>
                        <w:ind w:left="360"/>
                        <w:rPr>
                          <w:rFonts w:ascii="Arial" w:hAnsi="Arial" w:cs="Arial"/>
                          <w:b/>
                          <w:bCs/>
                          <w:color w:val="0070C0"/>
                          <w:sz w:val="26"/>
                          <w:szCs w:val="26"/>
                        </w:rPr>
                      </w:pPr>
                      <w:r>
                        <w:rPr>
                          <w:rFonts w:ascii="Arial" w:hAnsi="Arial" w:cs="Arial"/>
                          <w:b/>
                          <w:bCs/>
                          <w:color w:val="0070C0"/>
                          <w:sz w:val="26"/>
                          <w:szCs w:val="26"/>
                        </w:rPr>
                        <w:br/>
                      </w:r>
                      <w:r w:rsidR="006000F7" w:rsidRPr="006000F7">
                        <w:rPr>
                          <w:rFonts w:ascii="Arial" w:hAnsi="Arial" w:cs="Arial"/>
                          <w:b/>
                          <w:bCs/>
                          <w:color w:val="0070C0"/>
                          <w:sz w:val="26"/>
                          <w:szCs w:val="26"/>
                        </w:rPr>
                        <w:t>B</w:t>
                      </w:r>
                      <w:r w:rsidR="00005732" w:rsidRPr="006000F7">
                        <w:rPr>
                          <w:rFonts w:ascii="Arial" w:hAnsi="Arial" w:cs="Arial"/>
                          <w:b/>
                          <w:bCs/>
                          <w:color w:val="0070C0"/>
                          <w:sz w:val="26"/>
                          <w:szCs w:val="26"/>
                        </w:rPr>
                        <w:t>ENEFITS NEWS</w:t>
                      </w:r>
                      <w:r w:rsidR="00C65FEF">
                        <w:rPr>
                          <w:rFonts w:ascii="Arial" w:hAnsi="Arial" w:cs="Arial"/>
                          <w:b/>
                          <w:bCs/>
                          <w:color w:val="0070C0"/>
                          <w:sz w:val="26"/>
                          <w:szCs w:val="26"/>
                        </w:rPr>
                        <w:t xml:space="preserve"> </w:t>
                      </w:r>
                      <w:r w:rsidR="00005732" w:rsidRPr="006000F7">
                        <w:rPr>
                          <w:rFonts w:ascii="Arial" w:hAnsi="Arial" w:cs="Arial"/>
                          <w:b/>
                          <w:bCs/>
                          <w:color w:val="0070C0"/>
                          <w:sz w:val="26"/>
                          <w:szCs w:val="26"/>
                        </w:rPr>
                        <w:t>HIGHLIGHTS</w:t>
                      </w:r>
                      <w:r w:rsidR="004120F7">
                        <w:rPr>
                          <w:rFonts w:ascii="Arial" w:hAnsi="Arial" w:cs="Arial"/>
                          <w:b/>
                          <w:bCs/>
                          <w:color w:val="0070C0"/>
                          <w:sz w:val="26"/>
                          <w:szCs w:val="26"/>
                        </w:rPr>
                        <w:br/>
                      </w:r>
                    </w:p>
                    <w:p w14:paraId="1D2196E4" w14:textId="338D3375" w:rsidR="00DE61D6" w:rsidRDefault="00DE61D6" w:rsidP="00DE61D6">
                      <w:pPr>
                        <w:pStyle w:val="ListParagraph"/>
                        <w:numPr>
                          <w:ilvl w:val="0"/>
                          <w:numId w:val="33"/>
                        </w:numPr>
                        <w:rPr>
                          <w:rFonts w:ascii="Arial" w:eastAsia="Times New Roman" w:hAnsi="Arial" w:cs="Arial"/>
                          <w:color w:val="000000" w:themeColor="text1"/>
                          <w:sz w:val="18"/>
                          <w:szCs w:val="18"/>
                          <w:lang w:eastAsia="en-US"/>
                        </w:rPr>
                      </w:pPr>
                      <w:r w:rsidRPr="00DE61D6">
                        <w:rPr>
                          <w:rFonts w:ascii="Arial" w:eastAsia="Times New Roman" w:hAnsi="Arial" w:cs="Arial"/>
                          <w:color w:val="000000" w:themeColor="text1"/>
                          <w:sz w:val="18"/>
                          <w:szCs w:val="18"/>
                          <w:lang w:eastAsia="en-US"/>
                        </w:rPr>
                        <w:t xml:space="preserve">The IRS reported in </w:t>
                      </w:r>
                      <w:hyperlink r:id="rId18" w:history="1">
                        <w:r w:rsidRPr="007237C6">
                          <w:rPr>
                            <w:rStyle w:val="Hyperlink"/>
                            <w:rFonts w:ascii="Arial" w:eastAsia="Times New Roman" w:hAnsi="Arial" w:cs="Arial"/>
                            <w:sz w:val="18"/>
                            <w:szCs w:val="18"/>
                            <w:lang w:eastAsia="en-US"/>
                          </w:rPr>
                          <w:t>Notice 2020 – 23</w:t>
                        </w:r>
                      </w:hyperlink>
                      <w:r w:rsidRPr="00DE61D6">
                        <w:rPr>
                          <w:rFonts w:ascii="Arial" w:eastAsia="Times New Roman" w:hAnsi="Arial" w:cs="Arial"/>
                          <w:color w:val="000000" w:themeColor="text1"/>
                          <w:sz w:val="18"/>
                          <w:szCs w:val="18"/>
                          <w:lang w:eastAsia="en-US"/>
                        </w:rPr>
                        <w:t xml:space="preserve"> that ERISA Plans with 5500 Filing due dates or extended due dates falling on or after April 1, 2020, and before July 15, 2020 now have until July 15, 2020, to file their information reports.</w:t>
                      </w:r>
                    </w:p>
                    <w:p w14:paraId="4AFBCFDF" w14:textId="77777777" w:rsidR="007E3DD4" w:rsidRDefault="007E3DD4" w:rsidP="007E3DD4">
                      <w:pPr>
                        <w:pStyle w:val="ListParagraph"/>
                        <w:ind w:left="360"/>
                        <w:rPr>
                          <w:rFonts w:ascii="Arial" w:eastAsia="Times New Roman" w:hAnsi="Arial" w:cs="Arial"/>
                          <w:color w:val="000000" w:themeColor="text1"/>
                          <w:sz w:val="18"/>
                          <w:szCs w:val="18"/>
                          <w:lang w:eastAsia="en-US"/>
                        </w:rPr>
                      </w:pPr>
                    </w:p>
                    <w:p w14:paraId="3AF210E7" w14:textId="2EFA17FE" w:rsidR="007E3DD4" w:rsidRDefault="007E3DD4" w:rsidP="007E3DD4">
                      <w:pPr>
                        <w:pStyle w:val="ListParagraph"/>
                        <w:numPr>
                          <w:ilvl w:val="0"/>
                          <w:numId w:val="33"/>
                        </w:numPr>
                        <w:rPr>
                          <w:rFonts w:ascii="Arial" w:eastAsia="Times New Roman" w:hAnsi="Arial" w:cs="Arial"/>
                          <w:color w:val="000000" w:themeColor="text1"/>
                          <w:sz w:val="18"/>
                          <w:szCs w:val="18"/>
                          <w:lang w:eastAsia="en-US"/>
                        </w:rPr>
                      </w:pPr>
                      <w:r w:rsidRPr="007E3DD4">
                        <w:rPr>
                          <w:rFonts w:ascii="Arial" w:eastAsia="Times New Roman" w:hAnsi="Arial" w:cs="Arial"/>
                          <w:color w:val="000000" w:themeColor="text1"/>
                          <w:sz w:val="18"/>
                          <w:szCs w:val="18"/>
                          <w:lang w:eastAsia="en-US"/>
                        </w:rPr>
                        <w:t xml:space="preserve">Because the due date for filing Federal income tax returns is now July 15, 2020, individuals may make contributions to their HSA (Health Savings Accounts) for 2019 at any time up to July 15, 2020. </w:t>
                      </w:r>
                      <w:r>
                        <w:rPr>
                          <w:rFonts w:ascii="Arial" w:eastAsia="Times New Roman" w:hAnsi="Arial" w:cs="Arial"/>
                          <w:color w:val="000000" w:themeColor="text1"/>
                          <w:sz w:val="18"/>
                          <w:szCs w:val="18"/>
                          <w:lang w:eastAsia="en-US"/>
                        </w:rPr>
                        <w:t>(</w:t>
                      </w:r>
                      <w:r w:rsidRPr="007E3DD4">
                        <w:rPr>
                          <w:rFonts w:ascii="Arial" w:eastAsia="Times New Roman" w:hAnsi="Arial" w:cs="Arial"/>
                          <w:color w:val="000000" w:themeColor="text1"/>
                          <w:sz w:val="18"/>
                          <w:szCs w:val="18"/>
                          <w:lang w:eastAsia="en-US"/>
                        </w:rPr>
                        <w:t xml:space="preserve">See </w:t>
                      </w:r>
                      <w:hyperlink r:id="rId19" w:history="1">
                        <w:r w:rsidRPr="007E3DD4">
                          <w:rPr>
                            <w:rStyle w:val="Hyperlink"/>
                            <w:rFonts w:ascii="Arial" w:eastAsia="Times New Roman" w:hAnsi="Arial" w:cs="Arial"/>
                            <w:sz w:val="18"/>
                            <w:szCs w:val="18"/>
                            <w:lang w:eastAsia="en-US"/>
                          </w:rPr>
                          <w:t>Question and Answer #27</w:t>
                        </w:r>
                      </w:hyperlink>
                      <w:r w:rsidRPr="007E3DD4">
                        <w:rPr>
                          <w:rFonts w:ascii="Arial" w:eastAsia="Times New Roman" w:hAnsi="Arial" w:cs="Arial"/>
                          <w:color w:val="000000" w:themeColor="text1"/>
                          <w:sz w:val="18"/>
                          <w:szCs w:val="18"/>
                          <w:lang w:eastAsia="en-US"/>
                        </w:rPr>
                        <w:t>.</w:t>
                      </w:r>
                      <w:r>
                        <w:rPr>
                          <w:rFonts w:ascii="Arial" w:eastAsia="Times New Roman" w:hAnsi="Arial" w:cs="Arial"/>
                          <w:color w:val="000000" w:themeColor="text1"/>
                          <w:sz w:val="18"/>
                          <w:szCs w:val="18"/>
                          <w:lang w:eastAsia="en-US"/>
                        </w:rPr>
                        <w:t>)</w:t>
                      </w:r>
                    </w:p>
                    <w:p w14:paraId="36789FAE" w14:textId="77777777" w:rsidR="007B59C6" w:rsidRPr="007B59C6" w:rsidRDefault="007B59C6" w:rsidP="007B59C6">
                      <w:pPr>
                        <w:pStyle w:val="ListParagraph"/>
                        <w:rPr>
                          <w:rFonts w:ascii="Arial" w:eastAsia="Times New Roman" w:hAnsi="Arial" w:cs="Arial"/>
                          <w:color w:val="000000" w:themeColor="text1"/>
                          <w:sz w:val="18"/>
                          <w:szCs w:val="18"/>
                          <w:lang w:eastAsia="en-US"/>
                        </w:rPr>
                      </w:pPr>
                    </w:p>
                    <w:p w14:paraId="3B181EEF" w14:textId="0DBB3D15" w:rsidR="007B59C6" w:rsidRPr="003D299D" w:rsidRDefault="007B59C6" w:rsidP="003D299D">
                      <w:pPr>
                        <w:pStyle w:val="ListParagraph"/>
                        <w:numPr>
                          <w:ilvl w:val="0"/>
                          <w:numId w:val="33"/>
                        </w:numPr>
                        <w:rPr>
                          <w:rFonts w:ascii="Arial" w:eastAsia="Times New Roman" w:hAnsi="Arial" w:cs="Arial"/>
                          <w:color w:val="000000" w:themeColor="text1"/>
                          <w:sz w:val="18"/>
                          <w:szCs w:val="18"/>
                          <w:lang w:eastAsia="en-US"/>
                        </w:rPr>
                      </w:pPr>
                      <w:r w:rsidRPr="003D299D">
                        <w:rPr>
                          <w:rFonts w:ascii="Arial" w:eastAsia="Times New Roman" w:hAnsi="Arial" w:cs="Arial"/>
                          <w:color w:val="000000" w:themeColor="text1"/>
                          <w:sz w:val="18"/>
                          <w:szCs w:val="18"/>
                          <w:lang w:eastAsia="en-US"/>
                        </w:rPr>
                        <w:t xml:space="preserve">Click </w:t>
                      </w:r>
                      <w:hyperlink r:id="rId20" w:history="1">
                        <w:r w:rsidRPr="003D299D">
                          <w:rPr>
                            <w:rStyle w:val="Hyperlink"/>
                            <w:rFonts w:ascii="Arial" w:eastAsia="Times New Roman" w:hAnsi="Arial" w:cs="Arial"/>
                            <w:sz w:val="18"/>
                            <w:szCs w:val="18"/>
                            <w:lang w:eastAsia="en-US"/>
                          </w:rPr>
                          <w:t>here</w:t>
                        </w:r>
                      </w:hyperlink>
                      <w:r w:rsidRPr="003D299D">
                        <w:rPr>
                          <w:rFonts w:ascii="Arial" w:eastAsia="Times New Roman" w:hAnsi="Arial" w:cs="Arial"/>
                          <w:color w:val="000000" w:themeColor="text1"/>
                          <w:sz w:val="18"/>
                          <w:szCs w:val="18"/>
                          <w:lang w:eastAsia="en-US"/>
                        </w:rPr>
                        <w:t xml:space="preserve"> for a SHRM article which provides details about several state insurance commissioners ordering “insurance companies to let employers continue covering employees under group policies, even if employees would normally lose eligibility due to layoffs or reduced hours.</w:t>
                      </w:r>
                    </w:p>
                    <w:p w14:paraId="663DB0B9" w14:textId="77777777" w:rsidR="007B59C6" w:rsidRPr="007B59C6" w:rsidRDefault="007B59C6" w:rsidP="007B59C6">
                      <w:pPr>
                        <w:pStyle w:val="ListParagraph"/>
                        <w:rPr>
                          <w:rFonts w:ascii="Arial" w:eastAsia="Times New Roman" w:hAnsi="Arial" w:cs="Arial"/>
                          <w:color w:val="000000" w:themeColor="text1"/>
                          <w:sz w:val="18"/>
                          <w:szCs w:val="18"/>
                          <w:lang w:eastAsia="en-US"/>
                        </w:rPr>
                      </w:pPr>
                    </w:p>
                    <w:p w14:paraId="0658EF15" w14:textId="6E2E018F" w:rsidR="008E47FD" w:rsidRDefault="00942436" w:rsidP="008E47FD">
                      <w:pPr>
                        <w:pStyle w:val="ListParagraph"/>
                        <w:numPr>
                          <w:ilvl w:val="0"/>
                          <w:numId w:val="33"/>
                        </w:numPr>
                        <w:rPr>
                          <w:rFonts w:ascii="Arial" w:eastAsia="Times New Roman" w:hAnsi="Arial" w:cs="Arial"/>
                          <w:color w:val="000000" w:themeColor="text1"/>
                          <w:sz w:val="18"/>
                          <w:szCs w:val="18"/>
                          <w:lang w:eastAsia="en-US"/>
                        </w:rPr>
                      </w:pPr>
                      <w:r>
                        <w:rPr>
                          <w:rFonts w:ascii="Arial" w:eastAsia="Times New Roman" w:hAnsi="Arial" w:cs="Arial"/>
                          <w:color w:val="000000" w:themeColor="text1"/>
                          <w:sz w:val="18"/>
                          <w:szCs w:val="18"/>
                          <w:lang w:eastAsia="en-US"/>
                        </w:rPr>
                        <w:t xml:space="preserve">Last </w:t>
                      </w:r>
                      <w:r>
                        <w:rPr>
                          <w:rFonts w:ascii="Arial" w:eastAsia="Times New Roman" w:hAnsi="Arial" w:cs="Arial"/>
                          <w:color w:val="000000" w:themeColor="text1"/>
                          <w:sz w:val="18"/>
                          <w:szCs w:val="18"/>
                          <w:lang w:eastAsia="en-US"/>
                        </w:rPr>
                        <w:t>year</w:t>
                      </w:r>
                      <w:r w:rsidR="0082709E" w:rsidRPr="0082709E">
                        <w:rPr>
                          <w:rFonts w:ascii="Arial" w:eastAsia="Times New Roman" w:hAnsi="Arial" w:cs="Arial"/>
                          <w:color w:val="000000" w:themeColor="text1"/>
                          <w:sz w:val="18"/>
                          <w:szCs w:val="18"/>
                          <w:lang w:eastAsia="en-US"/>
                        </w:rPr>
                        <w:t>,</w:t>
                      </w:r>
                      <w:r>
                        <w:rPr>
                          <w:rFonts w:ascii="Arial" w:eastAsia="Times New Roman" w:hAnsi="Arial" w:cs="Arial"/>
                          <w:color w:val="000000" w:themeColor="text1"/>
                          <w:sz w:val="18"/>
                          <w:szCs w:val="18"/>
                          <w:lang w:eastAsia="en-US"/>
                        </w:rPr>
                        <w:t xml:space="preserve"> </w:t>
                      </w:r>
                      <w:r w:rsidR="0082709E" w:rsidRPr="0082709E">
                        <w:rPr>
                          <w:rFonts w:ascii="Arial" w:eastAsia="Times New Roman" w:hAnsi="Arial" w:cs="Arial"/>
                          <w:color w:val="000000" w:themeColor="text1"/>
                          <w:sz w:val="18"/>
                          <w:szCs w:val="18"/>
                          <w:lang w:eastAsia="en-US"/>
                        </w:rPr>
                        <w:t xml:space="preserve">the Supreme Court agreed to hear Maine Community Health Options v. United States, a </w:t>
                      </w:r>
                      <w:hyperlink r:id="rId21" w:history="1">
                        <w:r w:rsidR="0082709E" w:rsidRPr="00251315">
                          <w:rPr>
                            <w:rStyle w:val="Hyperlink"/>
                            <w:rFonts w:ascii="Arial" w:eastAsia="Times New Roman" w:hAnsi="Arial" w:cs="Arial"/>
                            <w:sz w:val="18"/>
                            <w:szCs w:val="18"/>
                            <w:lang w:eastAsia="en-US"/>
                          </w:rPr>
                          <w:t>case</w:t>
                        </w:r>
                      </w:hyperlink>
                      <w:r w:rsidR="0082709E" w:rsidRPr="0082709E">
                        <w:rPr>
                          <w:rFonts w:ascii="Arial" w:eastAsia="Times New Roman" w:hAnsi="Arial" w:cs="Arial"/>
                          <w:color w:val="000000" w:themeColor="text1"/>
                          <w:sz w:val="18"/>
                          <w:szCs w:val="18"/>
                          <w:lang w:eastAsia="en-US"/>
                        </w:rPr>
                        <w:t xml:space="preserve"> to decide whether health insurance companies that offered plans on the exchange are entitled to compensation for losses they suffered as a result of the federal government’s declining to make “risk-corridor payments,” as was originally intended when the ACA was enacted.  On April 27, 2020, the Court </w:t>
                      </w:r>
                      <w:hyperlink r:id="rId22" w:history="1">
                        <w:r w:rsidR="0082709E" w:rsidRPr="00251315">
                          <w:rPr>
                            <w:rStyle w:val="Hyperlink"/>
                            <w:rFonts w:ascii="Arial" w:eastAsia="Times New Roman" w:hAnsi="Arial" w:cs="Arial"/>
                            <w:sz w:val="18"/>
                            <w:szCs w:val="18"/>
                            <w:lang w:eastAsia="en-US"/>
                          </w:rPr>
                          <w:t>decided</w:t>
                        </w:r>
                      </w:hyperlink>
                      <w:r w:rsidR="0082709E" w:rsidRPr="0082709E">
                        <w:rPr>
                          <w:rFonts w:ascii="Arial" w:eastAsia="Times New Roman" w:hAnsi="Arial" w:cs="Arial"/>
                          <w:color w:val="000000" w:themeColor="text1"/>
                          <w:sz w:val="18"/>
                          <w:szCs w:val="18"/>
                          <w:lang w:eastAsia="en-US"/>
                        </w:rPr>
                        <w:t xml:space="preserve"> in favor of the insurers, concluding that by “establishing the temporary Risk Corridors program, Congress created a rare money-mandating obligation requiring the Federal Government to make payments…” Further, the Court found that Congress “neither repealed nor discharged” this obligation, and therefore “petitioners may seek to collect payment through a damages action in the Court of Federal Claims.”</w:t>
                      </w:r>
                    </w:p>
                    <w:p w14:paraId="33BE7FF0" w14:textId="77777777" w:rsidR="008E47FD" w:rsidRPr="008E47FD" w:rsidRDefault="008E47FD" w:rsidP="008E47FD">
                      <w:pPr>
                        <w:pStyle w:val="ListParagraph"/>
                        <w:rPr>
                          <w:rFonts w:ascii="Arial" w:eastAsia="Times New Roman" w:hAnsi="Arial" w:cs="Arial"/>
                          <w:color w:val="000000" w:themeColor="text1"/>
                          <w:sz w:val="18"/>
                          <w:szCs w:val="18"/>
                          <w:lang w:eastAsia="en-US"/>
                        </w:rPr>
                      </w:pPr>
                    </w:p>
                    <w:p w14:paraId="3194C7B7" w14:textId="21B606CF" w:rsidR="008E47FD" w:rsidRDefault="007B0C57" w:rsidP="008E47FD">
                      <w:pPr>
                        <w:pStyle w:val="ListParagraph"/>
                        <w:numPr>
                          <w:ilvl w:val="0"/>
                          <w:numId w:val="33"/>
                        </w:numPr>
                        <w:rPr>
                          <w:rFonts w:ascii="Arial" w:eastAsia="Times New Roman" w:hAnsi="Arial" w:cs="Arial"/>
                          <w:color w:val="000000" w:themeColor="text1"/>
                          <w:sz w:val="18"/>
                          <w:szCs w:val="18"/>
                          <w:lang w:eastAsia="en-US"/>
                        </w:rPr>
                      </w:pPr>
                      <w:r w:rsidRPr="007B0C57">
                        <w:rPr>
                          <w:rFonts w:ascii="Arial" w:eastAsia="Times New Roman" w:hAnsi="Arial" w:cs="Arial"/>
                          <w:color w:val="000000" w:themeColor="text1"/>
                          <w:sz w:val="18"/>
                          <w:szCs w:val="18"/>
                          <w:lang w:eastAsia="en-US"/>
                        </w:rPr>
                        <w:t xml:space="preserve">Groom Law Firm </w:t>
                      </w:r>
                      <w:hyperlink r:id="rId23" w:history="1">
                        <w:r w:rsidRPr="00B138FD">
                          <w:rPr>
                            <w:rStyle w:val="Hyperlink"/>
                            <w:rFonts w:ascii="Arial" w:eastAsia="Times New Roman" w:hAnsi="Arial" w:cs="Arial"/>
                            <w:sz w:val="18"/>
                            <w:szCs w:val="18"/>
                            <w:lang w:eastAsia="en-US"/>
                          </w:rPr>
                          <w:t>reports</w:t>
                        </w:r>
                      </w:hyperlink>
                      <w:r w:rsidRPr="007B0C57">
                        <w:rPr>
                          <w:rFonts w:ascii="Arial" w:eastAsia="Times New Roman" w:hAnsi="Arial" w:cs="Arial"/>
                          <w:color w:val="000000" w:themeColor="text1"/>
                          <w:sz w:val="18"/>
                          <w:szCs w:val="18"/>
                          <w:lang w:eastAsia="en-US"/>
                        </w:rPr>
                        <w:t xml:space="preserve"> on recent ERISA litigation activity regarding violations of COBRA’s election notice requirements. The lawsuits allege deficiencies, even in notices based on the Department of Labor’s (DOL’s) Model Election Notice, that caused former employees to not elect COBRA when they could have.</w:t>
                      </w:r>
                    </w:p>
                    <w:p w14:paraId="7E2FA2EF" w14:textId="77777777" w:rsidR="007B0C57" w:rsidRPr="007B0C57" w:rsidRDefault="007B0C57" w:rsidP="007B0C57">
                      <w:pPr>
                        <w:pStyle w:val="ListParagraph"/>
                        <w:rPr>
                          <w:rFonts w:ascii="Arial" w:eastAsia="Times New Roman" w:hAnsi="Arial" w:cs="Arial"/>
                          <w:color w:val="000000" w:themeColor="text1"/>
                          <w:sz w:val="18"/>
                          <w:szCs w:val="18"/>
                          <w:lang w:eastAsia="en-US"/>
                        </w:rPr>
                      </w:pPr>
                    </w:p>
                    <w:p w14:paraId="202673A7" w14:textId="77777777" w:rsidR="007B0C57" w:rsidRPr="007B0C57" w:rsidRDefault="007B0C57" w:rsidP="007B0C57">
                      <w:pPr>
                        <w:rPr>
                          <w:rFonts w:ascii="Arial" w:eastAsia="Times New Roman" w:hAnsi="Arial" w:cs="Arial"/>
                          <w:color w:val="000000" w:themeColor="text1"/>
                          <w:sz w:val="18"/>
                          <w:szCs w:val="18"/>
                          <w:lang w:eastAsia="en-US"/>
                        </w:rPr>
                      </w:pPr>
                    </w:p>
                    <w:p w14:paraId="03A57FFA" w14:textId="77777777" w:rsidR="0008151C" w:rsidRPr="00DE61D6" w:rsidRDefault="0008151C" w:rsidP="00DE61D6">
                      <w:pPr>
                        <w:pStyle w:val="ListParagraph"/>
                        <w:numPr>
                          <w:ilvl w:val="0"/>
                          <w:numId w:val="33"/>
                        </w:numPr>
                        <w:rPr>
                          <w:rFonts w:ascii="Arial" w:eastAsia="Times New Roman" w:hAnsi="Arial" w:cs="Arial"/>
                          <w:color w:val="000000" w:themeColor="text1"/>
                          <w:sz w:val="18"/>
                          <w:szCs w:val="18"/>
                          <w:lang w:eastAsia="en-US"/>
                        </w:rPr>
                      </w:pPr>
                    </w:p>
                    <w:p w14:paraId="6F56F329" w14:textId="77777777" w:rsidR="00DE49AD" w:rsidRPr="005C7A6D" w:rsidRDefault="00DE49AD" w:rsidP="00DE61D6">
                      <w:pPr>
                        <w:pStyle w:val="ListParagraph"/>
                        <w:spacing w:line="360" w:lineRule="auto"/>
                        <w:ind w:left="360"/>
                        <w:rPr>
                          <w:rFonts w:ascii="Arial" w:eastAsia="Times New Roman" w:hAnsi="Arial" w:cs="Arial"/>
                          <w:color w:val="000000" w:themeColor="text1"/>
                          <w:sz w:val="18"/>
                          <w:szCs w:val="18"/>
                          <w:lang w:eastAsia="en-US"/>
                        </w:rPr>
                      </w:pPr>
                    </w:p>
                  </w:txbxContent>
                </v:textbox>
                <w10:wrap type="square"/>
              </v:shape>
            </w:pict>
          </mc:Fallback>
        </mc:AlternateContent>
      </w:r>
      <w:r w:rsidRPr="00177C33">
        <w:rPr>
          <w:rFonts w:ascii="Arial" w:eastAsia="Times New Roman" w:hAnsi="Arial" w:cs="Arial"/>
          <w:color w:val="404040"/>
          <w:sz w:val="20"/>
          <w:szCs w:val="20"/>
          <w:lang w:eastAsia="en-US"/>
        </w:rPr>
        <w:t>FSA). However, if the change in employment status does not affect plan eligibility, the rules do not clearly permit a pre-tax election change. A change in pay or hours without a corresponding change in eligibility does not permit a pre-tax election change either.</w:t>
      </w:r>
    </w:p>
    <w:p w14:paraId="6EBB5F27" w14:textId="77777777" w:rsidR="00177C33" w:rsidRPr="00177C33" w:rsidRDefault="00177C33" w:rsidP="00177C33">
      <w:pPr>
        <w:shd w:val="clear" w:color="auto" w:fill="FFFFFF"/>
        <w:spacing w:after="360"/>
        <w:jc w:val="both"/>
        <w:textAlignment w:val="baseline"/>
        <w:rPr>
          <w:rFonts w:ascii="Arial" w:eastAsia="Times New Roman" w:hAnsi="Arial" w:cs="Arial"/>
          <w:color w:val="404040"/>
          <w:sz w:val="20"/>
          <w:szCs w:val="20"/>
          <w:lang w:eastAsia="en-US"/>
        </w:rPr>
      </w:pPr>
      <w:r w:rsidRPr="00177C33">
        <w:rPr>
          <w:rFonts w:ascii="Arial" w:eastAsia="Times New Roman" w:hAnsi="Arial" w:cs="Arial"/>
          <w:color w:val="404040"/>
          <w:sz w:val="20"/>
          <w:szCs w:val="20"/>
          <w:lang w:eastAsia="en-US"/>
        </w:rPr>
        <w:t>For DCAPs, a change in eligibility due to a change in employment status permits a pre-tax election change. In addition, a change in provider or change in cost of care will also permit a pre-tax election change.</w:t>
      </w:r>
    </w:p>
    <w:p w14:paraId="40858879" w14:textId="77777777" w:rsidR="0020660C" w:rsidRPr="00326A75" w:rsidRDefault="0020660C" w:rsidP="00AD44D9">
      <w:pPr>
        <w:pStyle w:val="Heading1"/>
        <w:rPr>
          <w:sz w:val="20"/>
          <w:szCs w:val="20"/>
        </w:rPr>
      </w:pPr>
    </w:p>
    <w:p w14:paraId="495B0E12" w14:textId="72EDAA78" w:rsidR="004120F7" w:rsidRPr="000F4E7A" w:rsidRDefault="00D65FCB" w:rsidP="00593C4D">
      <w:pPr>
        <w:pStyle w:val="Heading1"/>
        <w:spacing w:line="276" w:lineRule="auto"/>
        <w:rPr>
          <w:color w:val="0070C0"/>
          <w:sz w:val="32"/>
          <w:szCs w:val="32"/>
        </w:rPr>
      </w:pPr>
      <w:bookmarkStart w:id="3" w:name="_Toc44580995"/>
      <w:r>
        <w:rPr>
          <w:color w:val="0070C0"/>
          <w:sz w:val="32"/>
          <w:szCs w:val="32"/>
        </w:rPr>
        <w:t>In Other News…</w:t>
      </w:r>
      <w:bookmarkEnd w:id="3"/>
    </w:p>
    <w:p w14:paraId="0D2107E5" w14:textId="3F39447A" w:rsidR="000F4E7A" w:rsidRDefault="00C65FEF" w:rsidP="0082150F">
      <w:pPr>
        <w:pStyle w:val="Heading2"/>
        <w:numPr>
          <w:ilvl w:val="0"/>
          <w:numId w:val="0"/>
        </w:numPr>
        <w:spacing w:line="276" w:lineRule="auto"/>
        <w:rPr>
          <w:i/>
          <w:iCs/>
        </w:rPr>
      </w:pPr>
      <w:bookmarkStart w:id="4" w:name="_Toc27560137"/>
      <w:bookmarkStart w:id="5" w:name="_Toc44580996"/>
      <w:r w:rsidRPr="00593C4D">
        <w:rPr>
          <w:i/>
          <w:iCs/>
        </w:rPr>
        <w:br/>
      </w:r>
      <w:r w:rsidR="005C01C7" w:rsidRPr="00593C4D">
        <w:rPr>
          <w:i/>
          <w:iCs/>
        </w:rPr>
        <w:t>Recap of</w:t>
      </w:r>
      <w:r w:rsidR="00AE4C42" w:rsidRPr="00593C4D">
        <w:rPr>
          <w:i/>
          <w:iCs/>
        </w:rPr>
        <w:t xml:space="preserve"> </w:t>
      </w:r>
      <w:r w:rsidR="00103408">
        <w:rPr>
          <w:i/>
          <w:iCs/>
        </w:rPr>
        <w:t>2nd</w:t>
      </w:r>
      <w:r w:rsidR="005C01C7" w:rsidRPr="00593C4D">
        <w:rPr>
          <w:i/>
          <w:iCs/>
        </w:rPr>
        <w:t xml:space="preserve"> Quarter Issue Briefs and Alerts</w:t>
      </w:r>
      <w:bookmarkEnd w:id="4"/>
      <w:bookmarkEnd w:id="5"/>
    </w:p>
    <w:p w14:paraId="1417387D" w14:textId="77777777" w:rsidR="0082150F" w:rsidRPr="0082150F" w:rsidRDefault="0082150F" w:rsidP="0082150F">
      <w:pPr>
        <w:rPr>
          <w:lang w:eastAsia="en-US"/>
        </w:rPr>
      </w:pPr>
    </w:p>
    <w:p w14:paraId="005BD291" w14:textId="41D9161B" w:rsidR="00D77C5D" w:rsidRDefault="00B70C8A" w:rsidP="007252DA">
      <w:pPr>
        <w:rPr>
          <w:rStyle w:val="Strong"/>
          <w:rFonts w:ascii="Arial" w:hAnsi="Arial" w:cs="Arial"/>
          <w:b/>
          <w:bCs/>
          <w:color w:val="333333"/>
          <w:sz w:val="20"/>
          <w:szCs w:val="20"/>
        </w:rPr>
      </w:pPr>
      <w:r w:rsidRPr="007252DA">
        <w:rPr>
          <w:rStyle w:val="Strong"/>
          <w:rFonts w:ascii="Arial" w:hAnsi="Arial" w:cs="Arial"/>
          <w:b/>
          <w:bCs/>
          <w:color w:val="333333"/>
          <w:sz w:val="20"/>
          <w:szCs w:val="20"/>
        </w:rPr>
        <w:t>Families First Coronavirus Response Act (FFCRA)—DOL Temporary Rules</w:t>
      </w:r>
    </w:p>
    <w:p w14:paraId="4031CF44" w14:textId="77777777" w:rsidR="007252DA" w:rsidRPr="007252DA" w:rsidRDefault="007252DA" w:rsidP="007252DA">
      <w:pPr>
        <w:rPr>
          <w:rStyle w:val="Strong"/>
          <w:rFonts w:ascii="Arial" w:hAnsi="Arial" w:cs="Arial"/>
          <w:b/>
          <w:bCs/>
          <w:color w:val="333333"/>
          <w:sz w:val="20"/>
          <w:szCs w:val="20"/>
        </w:rPr>
      </w:pPr>
    </w:p>
    <w:p w14:paraId="6C0E1FB1" w14:textId="77777777" w:rsidR="00C3686A" w:rsidRDefault="007C5CDF" w:rsidP="00CC6110">
      <w:pPr>
        <w:spacing w:line="276" w:lineRule="auto"/>
        <w:rPr>
          <w:rFonts w:ascii="Arial" w:hAnsi="Arial" w:cs="Arial"/>
          <w:color w:val="3D3D3D"/>
          <w:sz w:val="20"/>
          <w:szCs w:val="20"/>
          <w:shd w:val="clear" w:color="auto" w:fill="FFFFFF"/>
        </w:rPr>
      </w:pPr>
      <w:r w:rsidRPr="007252DA">
        <w:rPr>
          <w:rFonts w:ascii="Arial" w:hAnsi="Arial" w:cs="Arial"/>
          <w:color w:val="3D3D3D"/>
          <w:sz w:val="20"/>
          <w:szCs w:val="20"/>
          <w:shd w:val="clear" w:color="auto" w:fill="FFFFFF"/>
        </w:rPr>
        <w:t xml:space="preserve">On April 1st, the Wage and Hour Division of the Department of Labor (DOL) released a temporary rule that is effective April 1, 2020 – December 31, 2020. The temporary rule focuses on the Emergency Paid Sick Leave Act (Paid Sick Leave) and the Emergency Family and Medical Leave Expansion Act (Expanded FMLA). For the most part, the temporary rule simply summarizes in one place the legislative language set forth in the Families First Coronavirus Response Act (FFCRA) and the DOL’s subsequent guidance provided via FAQs. </w:t>
      </w:r>
    </w:p>
    <w:p w14:paraId="3A61F6BC" w14:textId="77777777" w:rsidR="00C3686A" w:rsidRDefault="00C3686A" w:rsidP="00CC6110">
      <w:pPr>
        <w:spacing w:line="276" w:lineRule="auto"/>
        <w:rPr>
          <w:rFonts w:ascii="Arial" w:hAnsi="Arial" w:cs="Arial"/>
          <w:color w:val="3D3D3D"/>
          <w:sz w:val="20"/>
          <w:szCs w:val="20"/>
          <w:shd w:val="clear" w:color="auto" w:fill="FFFFFF"/>
        </w:rPr>
      </w:pPr>
    </w:p>
    <w:p w14:paraId="3037F064" w14:textId="74E2C30E" w:rsidR="00CC6110" w:rsidRDefault="00CC6110" w:rsidP="00CC6110">
      <w:pPr>
        <w:spacing w:line="276" w:lineRule="auto"/>
        <w:rPr>
          <w:rFonts w:ascii="Arial" w:hAnsi="Arial" w:cs="Arial"/>
          <w:color w:val="3D3D3D"/>
          <w:sz w:val="20"/>
          <w:szCs w:val="20"/>
          <w:shd w:val="clear" w:color="auto" w:fill="FFFFFF"/>
        </w:rPr>
      </w:pPr>
      <w:proofErr w:type="gramStart"/>
      <w:r>
        <w:rPr>
          <w:rFonts w:ascii="Arial" w:hAnsi="Arial" w:cs="Arial"/>
          <w:color w:val="3D3D3D"/>
          <w:sz w:val="20"/>
          <w:szCs w:val="20"/>
          <w:shd w:val="clear" w:color="auto" w:fill="FFFFFF"/>
        </w:rPr>
        <w:t>The  temporary</w:t>
      </w:r>
      <w:proofErr w:type="gramEnd"/>
      <w:r>
        <w:rPr>
          <w:rFonts w:ascii="Arial" w:hAnsi="Arial" w:cs="Arial"/>
          <w:color w:val="3D3D3D"/>
          <w:sz w:val="20"/>
          <w:szCs w:val="20"/>
          <w:shd w:val="clear" w:color="auto" w:fill="FFFFFF"/>
        </w:rPr>
        <w:t xml:space="preserve"> rule does not introduce any new concepts, but it does provide further clarification for some requirements. </w:t>
      </w:r>
    </w:p>
    <w:p w14:paraId="4E546E30" w14:textId="77777777" w:rsidR="00CC6110" w:rsidRDefault="00CC6110" w:rsidP="00CC6110">
      <w:pPr>
        <w:spacing w:line="276" w:lineRule="auto"/>
        <w:rPr>
          <w:rFonts w:ascii="Arial" w:hAnsi="Arial" w:cs="Arial"/>
          <w:color w:val="3D3D3D"/>
          <w:sz w:val="20"/>
          <w:szCs w:val="20"/>
          <w:shd w:val="clear" w:color="auto" w:fill="FFFFFF"/>
        </w:rPr>
      </w:pPr>
    </w:p>
    <w:p w14:paraId="08041047" w14:textId="6D0E07F7" w:rsidR="00CC6110" w:rsidRPr="00CC6110" w:rsidRDefault="00CC6110" w:rsidP="00CC6110">
      <w:pPr>
        <w:spacing w:line="276" w:lineRule="auto"/>
        <w:rPr>
          <w:rFonts w:ascii="Arial" w:hAnsi="Arial" w:cs="Arial"/>
          <w:color w:val="3D3D3D"/>
          <w:sz w:val="20"/>
          <w:szCs w:val="20"/>
          <w:shd w:val="clear" w:color="auto" w:fill="FFFFFF"/>
        </w:rPr>
      </w:pPr>
      <w:r>
        <w:rPr>
          <w:rFonts w:ascii="Arial" w:hAnsi="Arial" w:cs="Arial"/>
          <w:color w:val="3D3D3D"/>
          <w:sz w:val="20"/>
          <w:szCs w:val="20"/>
          <w:shd w:val="clear" w:color="auto" w:fill="FFFFFF"/>
        </w:rPr>
        <w:t xml:space="preserve">More here: </w:t>
      </w:r>
      <w:hyperlink r:id="rId24" w:history="1">
        <w:r w:rsidRPr="00CC6110">
          <w:rPr>
            <w:rStyle w:val="Hyperlink"/>
            <w:rFonts w:ascii="Arial" w:hAnsi="Arial" w:cs="Arial"/>
            <w:sz w:val="20"/>
            <w:szCs w:val="20"/>
            <w:shd w:val="clear" w:color="auto" w:fill="FFFFFF"/>
          </w:rPr>
          <w:t>https://benefitcomply.com/compliance-alert-families-first-coronavirus-response-act-ffcra-dol-temporary-rule/</w:t>
        </w:r>
      </w:hyperlink>
    </w:p>
    <w:p w14:paraId="722A8663" w14:textId="1EF11F8E" w:rsidR="00CC6110" w:rsidRDefault="00CC6110" w:rsidP="00CC6110">
      <w:pPr>
        <w:spacing w:line="276" w:lineRule="auto"/>
        <w:rPr>
          <w:rFonts w:ascii="Arial" w:hAnsi="Arial" w:cs="Arial"/>
          <w:color w:val="3D3D3D"/>
          <w:sz w:val="20"/>
          <w:szCs w:val="20"/>
          <w:shd w:val="clear" w:color="auto" w:fill="FFFFFF"/>
        </w:rPr>
      </w:pPr>
      <w:r>
        <w:rPr>
          <w:rFonts w:ascii="Arial" w:hAnsi="Arial" w:cs="Arial"/>
          <w:color w:val="3D3D3D"/>
          <w:sz w:val="20"/>
          <w:szCs w:val="20"/>
          <w:shd w:val="clear" w:color="auto" w:fill="FFFFFF"/>
        </w:rPr>
        <w:t xml:space="preserve"> </w:t>
      </w:r>
    </w:p>
    <w:p w14:paraId="34E6F814" w14:textId="4EB91E20" w:rsidR="007633AE" w:rsidRPr="00BD6B22" w:rsidRDefault="007633AE" w:rsidP="00CC6110">
      <w:pPr>
        <w:spacing w:line="276" w:lineRule="auto"/>
        <w:rPr>
          <w:rFonts w:ascii="Arial" w:hAnsi="Arial" w:cs="Arial"/>
          <w:color w:val="3D3D3D"/>
          <w:sz w:val="20"/>
          <w:szCs w:val="20"/>
          <w:shd w:val="clear" w:color="auto" w:fill="FFFFFF"/>
        </w:rPr>
      </w:pPr>
    </w:p>
    <w:p w14:paraId="07C29505" w14:textId="4DF3311A" w:rsidR="007D25F4" w:rsidRDefault="00AD2FD5" w:rsidP="00593C4D">
      <w:pPr>
        <w:spacing w:line="276" w:lineRule="auto"/>
        <w:rPr>
          <w:rFonts w:ascii="Arial" w:hAnsi="Arial" w:cs="Arial"/>
          <w:b/>
          <w:bCs/>
          <w:color w:val="000000"/>
          <w:sz w:val="20"/>
          <w:szCs w:val="20"/>
          <w:shd w:val="clear" w:color="auto" w:fill="FFFFFF"/>
        </w:rPr>
      </w:pPr>
      <w:r w:rsidRPr="00AD2FD5">
        <w:rPr>
          <w:rFonts w:ascii="Arial" w:hAnsi="Arial" w:cs="Arial"/>
          <w:b/>
          <w:bCs/>
          <w:color w:val="000000"/>
          <w:sz w:val="20"/>
          <w:szCs w:val="20"/>
          <w:shd w:val="clear" w:color="auto" w:fill="FFFFFF"/>
        </w:rPr>
        <w:t>IRS Releases Guidance on FFCRA Tax Credit</w:t>
      </w:r>
    </w:p>
    <w:p w14:paraId="6DF12116" w14:textId="568F2D8B" w:rsidR="007D25F4" w:rsidRDefault="007D25F4" w:rsidP="00593C4D">
      <w:pPr>
        <w:spacing w:line="276" w:lineRule="auto"/>
        <w:rPr>
          <w:rFonts w:ascii="Arial" w:hAnsi="Arial" w:cs="Arial"/>
          <w:b/>
          <w:bCs/>
          <w:color w:val="000000"/>
          <w:sz w:val="20"/>
          <w:szCs w:val="20"/>
          <w:shd w:val="clear" w:color="auto" w:fill="FFFFFF"/>
        </w:rPr>
      </w:pPr>
    </w:p>
    <w:p w14:paraId="628D168D" w14:textId="7606515D" w:rsidR="007D25F4" w:rsidRPr="00D36A32" w:rsidRDefault="007D25F4" w:rsidP="007D25F4">
      <w:pPr>
        <w:spacing w:line="276" w:lineRule="auto"/>
        <w:rPr>
          <w:rFonts w:ascii="Arial" w:hAnsi="Arial" w:cs="Arial"/>
          <w:b/>
          <w:bCs/>
          <w:color w:val="000000"/>
          <w:sz w:val="20"/>
          <w:szCs w:val="20"/>
          <w:shd w:val="clear" w:color="auto" w:fill="FFFFFF"/>
        </w:rPr>
        <w:sectPr w:rsidR="007D25F4" w:rsidRPr="00D36A32" w:rsidSect="002B4808">
          <w:type w:val="continuous"/>
          <w:pgSz w:w="12240" w:h="15840" w:code="1"/>
          <w:pgMar w:top="1080" w:right="1440" w:bottom="1080" w:left="1440" w:header="720" w:footer="720" w:gutter="0"/>
          <w:cols w:space="720"/>
          <w:docGrid w:linePitch="360"/>
        </w:sectPr>
      </w:pPr>
      <w:r w:rsidRPr="00D36A32">
        <w:rPr>
          <w:rFonts w:ascii="Arial" w:hAnsi="Arial" w:cs="Arial"/>
          <w:color w:val="000000"/>
          <w:sz w:val="20"/>
          <w:szCs w:val="20"/>
          <w:shd w:val="clear" w:color="auto" w:fill="FFFFFF"/>
        </w:rPr>
        <w:t>In early April, the IRS released guidance and sample forms related to the tax credit available to private employers with fewer than 500 employees who are required to provide Paid Sick Leave and Expanded FMLA leave as required by the Families First Coronavirus Response Act (FFCRA)</w:t>
      </w:r>
      <w:r w:rsidRPr="00D36A32">
        <w:rPr>
          <w:rFonts w:ascii="Arial" w:hAnsi="Arial" w:cs="Arial"/>
          <w:b/>
          <w:bCs/>
          <w:color w:val="000000"/>
          <w:sz w:val="20"/>
          <w:szCs w:val="20"/>
          <w:shd w:val="clear" w:color="auto" w:fill="FFFFFF"/>
        </w:rPr>
        <w:t>.</w:t>
      </w:r>
    </w:p>
    <w:p w14:paraId="0F61BE26" w14:textId="212244EC" w:rsidR="00326A75" w:rsidRPr="00593C4D" w:rsidRDefault="00326A75" w:rsidP="00593C4D">
      <w:pPr>
        <w:spacing w:line="276" w:lineRule="auto"/>
        <w:rPr>
          <w:rFonts w:ascii="Arial" w:hAnsi="Arial" w:cs="Arial"/>
          <w:color w:val="000000" w:themeColor="text1"/>
          <w:sz w:val="20"/>
          <w:szCs w:val="20"/>
          <w:shd w:val="clear" w:color="auto" w:fill="FFFFFF"/>
        </w:rPr>
      </w:pPr>
    </w:p>
    <w:p w14:paraId="1C75CD5F" w14:textId="085BD1AE" w:rsidR="002D4C25" w:rsidRPr="00DA7B28" w:rsidRDefault="002D4C25" w:rsidP="00593C4D">
      <w:pPr>
        <w:spacing w:line="276" w:lineRule="auto"/>
        <w:rPr>
          <w:rFonts w:ascii="Arial" w:hAnsi="Arial" w:cs="Arial"/>
          <w:sz w:val="20"/>
          <w:szCs w:val="20"/>
        </w:rPr>
      </w:pPr>
      <w:r w:rsidRPr="00D36A32">
        <w:rPr>
          <w:rFonts w:ascii="Arial" w:hAnsi="Arial" w:cs="Arial"/>
          <w:color w:val="000000" w:themeColor="text1"/>
          <w:sz w:val="20"/>
          <w:szCs w:val="20"/>
          <w:shd w:val="clear" w:color="auto" w:fill="FFFFFF"/>
        </w:rPr>
        <w:t xml:space="preserve">More here: </w:t>
      </w:r>
      <w:hyperlink r:id="rId25" w:history="1">
        <w:r w:rsidR="00DA7B28" w:rsidRPr="00DA7B28">
          <w:rPr>
            <w:rStyle w:val="Hyperlink"/>
            <w:rFonts w:ascii="Arial" w:hAnsi="Arial" w:cs="Arial"/>
            <w:sz w:val="20"/>
            <w:szCs w:val="20"/>
          </w:rPr>
          <w:t>https://benefitcomply.com/compliance-alert-irs-releases-guidance-on-ffcra-tax-credit/</w:t>
        </w:r>
      </w:hyperlink>
    </w:p>
    <w:p w14:paraId="1DE31B32" w14:textId="77777777" w:rsidR="00392D38" w:rsidRPr="00630EB6" w:rsidRDefault="00392D38" w:rsidP="00392D38">
      <w:pPr>
        <w:spacing w:line="276" w:lineRule="auto"/>
        <w:rPr>
          <w:rFonts w:ascii="Arial" w:hAnsi="Arial" w:cs="Arial"/>
          <w:b/>
          <w:bCs/>
          <w:sz w:val="20"/>
          <w:szCs w:val="20"/>
        </w:rPr>
      </w:pPr>
    </w:p>
    <w:p w14:paraId="608CA7B0" w14:textId="77777777" w:rsidR="00C3686A" w:rsidRDefault="00C3686A" w:rsidP="00392D38">
      <w:pPr>
        <w:rPr>
          <w:rFonts w:ascii="Arial" w:eastAsia="Times New Roman" w:hAnsi="Arial" w:cs="Arial"/>
          <w:b/>
          <w:bCs/>
          <w:color w:val="595959"/>
          <w:sz w:val="20"/>
          <w:szCs w:val="20"/>
          <w:lang w:eastAsia="en-US"/>
        </w:rPr>
      </w:pPr>
    </w:p>
    <w:p w14:paraId="0E3502F2" w14:textId="77777777" w:rsidR="00C3686A" w:rsidRDefault="00C3686A" w:rsidP="00392D38">
      <w:pPr>
        <w:rPr>
          <w:rFonts w:ascii="Arial" w:eastAsia="Times New Roman" w:hAnsi="Arial" w:cs="Arial"/>
          <w:b/>
          <w:bCs/>
          <w:color w:val="595959"/>
          <w:sz w:val="20"/>
          <w:szCs w:val="20"/>
          <w:lang w:eastAsia="en-US"/>
        </w:rPr>
      </w:pPr>
    </w:p>
    <w:p w14:paraId="08579EA0" w14:textId="77777777" w:rsidR="00C3686A" w:rsidRDefault="00C3686A" w:rsidP="00392D38">
      <w:pPr>
        <w:rPr>
          <w:rFonts w:ascii="Arial" w:eastAsia="Times New Roman" w:hAnsi="Arial" w:cs="Arial"/>
          <w:b/>
          <w:bCs/>
          <w:color w:val="595959"/>
          <w:sz w:val="20"/>
          <w:szCs w:val="20"/>
          <w:lang w:eastAsia="en-US"/>
        </w:rPr>
      </w:pPr>
    </w:p>
    <w:p w14:paraId="1D660A07" w14:textId="18FE7EDC" w:rsidR="00392D38" w:rsidRDefault="00C3686A" w:rsidP="00392D38">
      <w:pPr>
        <w:rPr>
          <w:rFonts w:ascii="Arial" w:eastAsia="Times New Roman" w:hAnsi="Arial" w:cs="Arial"/>
          <w:b/>
          <w:bCs/>
          <w:color w:val="595959"/>
          <w:sz w:val="20"/>
          <w:szCs w:val="20"/>
          <w:lang w:eastAsia="en-US"/>
        </w:rPr>
      </w:pPr>
      <w:r w:rsidRPr="00A53ABC">
        <w:rPr>
          <w:rFonts w:ascii="Arial" w:hAnsi="Arial" w:cs="Arial"/>
          <w:noProof/>
          <w:sz w:val="20"/>
          <w:szCs w:val="20"/>
        </w:rPr>
        <w:lastRenderedPageBreak/>
        <mc:AlternateContent>
          <mc:Choice Requires="wps">
            <w:drawing>
              <wp:anchor distT="0" distB="0" distL="114300" distR="114300" simplePos="0" relativeHeight="251707392" behindDoc="0" locked="0" layoutInCell="1" allowOverlap="1" wp14:anchorId="25374D19" wp14:editId="7F52B662">
                <wp:simplePos x="0" y="0"/>
                <wp:positionH relativeFrom="column">
                  <wp:posOffset>3660740</wp:posOffset>
                </wp:positionH>
                <wp:positionV relativeFrom="paragraph">
                  <wp:posOffset>349</wp:posOffset>
                </wp:positionV>
                <wp:extent cx="3025140" cy="7289800"/>
                <wp:effectExtent l="0" t="0" r="3810" b="6350"/>
                <wp:wrapSquare wrapText="bothSides"/>
                <wp:docPr id="3" name="Text Box 3"/>
                <wp:cNvGraphicFramePr/>
                <a:graphic xmlns:a="http://schemas.openxmlformats.org/drawingml/2006/main">
                  <a:graphicData uri="http://schemas.microsoft.com/office/word/2010/wordprocessingShape">
                    <wps:wsp>
                      <wps:cNvSpPr txBox="1"/>
                      <wps:spPr>
                        <a:xfrm>
                          <a:off x="0" y="0"/>
                          <a:ext cx="3025140" cy="7289800"/>
                        </a:xfrm>
                        <a:prstGeom prst="rect">
                          <a:avLst/>
                        </a:prstGeom>
                        <a:solidFill>
                          <a:schemeClr val="accent4">
                            <a:lumMod val="20000"/>
                            <a:lumOff val="80000"/>
                          </a:schemeClr>
                        </a:solidFill>
                        <a:ln w="6350">
                          <a:noFill/>
                        </a:ln>
                      </wps:spPr>
                      <wps:txbx>
                        <w:txbxContent>
                          <w:p w14:paraId="3ABAD086" w14:textId="77777777" w:rsidR="00C3686A" w:rsidRPr="00356AB6" w:rsidRDefault="00C3686A" w:rsidP="00C3686A">
                            <w:pPr>
                              <w:spacing w:line="276" w:lineRule="auto"/>
                              <w:rPr>
                                <w:rFonts w:ascii="Arial" w:hAnsi="Arial" w:cs="Arial"/>
                                <w:sz w:val="18"/>
                                <w:szCs w:val="18"/>
                              </w:rPr>
                            </w:pPr>
                            <w:r w:rsidRPr="003C6AE1">
                              <w:rPr>
                                <w:rFonts w:ascii="Arial" w:hAnsi="Arial" w:cs="Arial"/>
                                <w:b/>
                                <w:bCs/>
                                <w:color w:val="0070C0"/>
                                <w:sz w:val="26"/>
                                <w:szCs w:val="26"/>
                              </w:rPr>
                              <w:br/>
                            </w: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r>
                              <w:rPr>
                                <w:rFonts w:ascii="Arial" w:hAnsi="Arial" w:cs="Arial"/>
                                <w:b/>
                                <w:bCs/>
                                <w:color w:val="0070C0"/>
                                <w:sz w:val="26"/>
                                <w:szCs w:val="26"/>
                              </w:rPr>
                              <w:t xml:space="preserve"> (Cont.)</w:t>
                            </w:r>
                            <w:r w:rsidRPr="00F1367B">
                              <w:rPr>
                                <w:rFonts w:ascii="Arial" w:hAnsi="Arial" w:cs="Arial"/>
                                <w:b/>
                                <w:bCs/>
                                <w:color w:val="0070C0"/>
                                <w:sz w:val="18"/>
                                <w:szCs w:val="18"/>
                              </w:rPr>
                              <w:br/>
                            </w:r>
                          </w:p>
                          <w:p w14:paraId="2BDE86C3" w14:textId="77777777" w:rsidR="00C3686A" w:rsidRDefault="00C3686A" w:rsidP="00C3686A">
                            <w:pPr>
                              <w:pStyle w:val="ListParagraph"/>
                              <w:numPr>
                                <w:ilvl w:val="0"/>
                                <w:numId w:val="41"/>
                              </w:numPr>
                              <w:spacing w:line="360" w:lineRule="auto"/>
                              <w:rPr>
                                <w:rFonts w:ascii="Arial" w:eastAsia="Times New Roman" w:hAnsi="Arial" w:cs="Arial"/>
                                <w:color w:val="000000" w:themeColor="text1"/>
                                <w:sz w:val="18"/>
                                <w:szCs w:val="18"/>
                              </w:rPr>
                            </w:pPr>
                            <w:r w:rsidRPr="00356AB6">
                              <w:rPr>
                                <w:rFonts w:ascii="Arial" w:eastAsia="Times New Roman" w:hAnsi="Arial" w:cs="Arial"/>
                                <w:color w:val="000000" w:themeColor="text1"/>
                                <w:sz w:val="18"/>
                                <w:szCs w:val="18"/>
                              </w:rPr>
                              <w:t xml:space="preserve">On June 2nd, the American Benefits Council </w:t>
                            </w:r>
                            <w:hyperlink r:id="rId26" w:history="1">
                              <w:r w:rsidRPr="009B4166">
                                <w:rPr>
                                  <w:rStyle w:val="Hyperlink"/>
                                  <w:rFonts w:ascii="Arial" w:eastAsia="Times New Roman" w:hAnsi="Arial" w:cs="Arial"/>
                                  <w:sz w:val="18"/>
                                  <w:szCs w:val="18"/>
                                </w:rPr>
                                <w:t>released a list</w:t>
                              </w:r>
                            </w:hyperlink>
                            <w:r w:rsidRPr="00356AB6">
                              <w:rPr>
                                <w:rFonts w:ascii="Arial" w:eastAsia="Times New Roman" w:hAnsi="Arial" w:cs="Arial"/>
                                <w:color w:val="000000" w:themeColor="text1"/>
                                <w:sz w:val="18"/>
                                <w:szCs w:val="18"/>
                              </w:rPr>
                              <w:t xml:space="preserve"> of its legislative and regulatory priorities related to stabilizing employee benefits for employers to help make re-opening easier during the Covid-19 pandemic. Among other things, the proposal included recommendations for the federal government to subsidize COBRA premiums; increase affordability of individual market insurance; implement risk adjustment and risk corridors to stabilize premiums; and encourage the use of on-site clinics and telehealth programs.</w:t>
                            </w:r>
                          </w:p>
                          <w:p w14:paraId="12E4B7C4" w14:textId="77777777" w:rsidR="00C3686A" w:rsidRDefault="00C3686A" w:rsidP="00C3686A">
                            <w:pPr>
                              <w:pStyle w:val="ListParagraph"/>
                              <w:spacing w:line="360" w:lineRule="auto"/>
                              <w:ind w:left="360"/>
                              <w:rPr>
                                <w:rFonts w:ascii="Arial" w:eastAsia="Times New Roman" w:hAnsi="Arial" w:cs="Arial"/>
                                <w:color w:val="000000" w:themeColor="text1"/>
                                <w:sz w:val="18"/>
                                <w:szCs w:val="18"/>
                              </w:rPr>
                            </w:pPr>
                          </w:p>
                          <w:p w14:paraId="6B6A9445" w14:textId="77777777" w:rsidR="00C3686A" w:rsidRDefault="00C3686A" w:rsidP="00C3686A">
                            <w:pPr>
                              <w:pStyle w:val="ListParagraph"/>
                              <w:numPr>
                                <w:ilvl w:val="0"/>
                                <w:numId w:val="41"/>
                              </w:numPr>
                              <w:spacing w:before="240" w:after="0" w:line="360" w:lineRule="auto"/>
                              <w:rPr>
                                <w:rFonts w:ascii="Arial" w:eastAsia="Times New Roman" w:hAnsi="Arial" w:cs="Arial"/>
                                <w:color w:val="000000" w:themeColor="text1"/>
                                <w:sz w:val="18"/>
                                <w:szCs w:val="18"/>
                              </w:rPr>
                            </w:pPr>
                            <w:r w:rsidRPr="002A4B74">
                              <w:rPr>
                                <w:rFonts w:ascii="Arial" w:eastAsia="Times New Roman" w:hAnsi="Arial" w:cs="Arial"/>
                                <w:color w:val="000000" w:themeColor="text1"/>
                                <w:sz w:val="18"/>
                                <w:szCs w:val="18"/>
                              </w:rPr>
                              <w:t xml:space="preserve">On June 10th, the Treasury Inspector General for Tax Administration (TIGTA) </w:t>
                            </w:r>
                            <w:hyperlink r:id="rId27" w:history="1">
                              <w:r w:rsidRPr="0073704E">
                                <w:rPr>
                                  <w:rStyle w:val="Hyperlink"/>
                                  <w:rFonts w:ascii="Arial" w:eastAsia="Times New Roman" w:hAnsi="Arial" w:cs="Arial"/>
                                  <w:sz w:val="18"/>
                                  <w:szCs w:val="18"/>
                                </w:rPr>
                                <w:t>released a report</w:t>
                              </w:r>
                            </w:hyperlink>
                            <w:r w:rsidRPr="002A4B74">
                              <w:rPr>
                                <w:rFonts w:ascii="Arial" w:eastAsia="Times New Roman" w:hAnsi="Arial" w:cs="Arial"/>
                                <w:color w:val="000000" w:themeColor="text1"/>
                                <w:sz w:val="18"/>
                                <w:szCs w:val="18"/>
                              </w:rPr>
                              <w:t xml:space="preserve"> finding that IRS collection of employer shared responsibility payments under Section 4980H fell far short of original projections. Originally, the IRS expected to collect $17 billion in penalties for 2015–2016 and $167 billion between 2016 and 2026. However, only $749 million was collected for 2015–2016, and now the projection through 2026 is just $8 billion.</w:t>
                            </w:r>
                          </w:p>
                          <w:p w14:paraId="72C71280" w14:textId="77777777" w:rsidR="00C3686A" w:rsidRPr="00002CDA" w:rsidRDefault="00C3686A" w:rsidP="00C3686A">
                            <w:pPr>
                              <w:pStyle w:val="ListParagraph"/>
                              <w:spacing w:before="240" w:after="0" w:line="360" w:lineRule="auto"/>
                              <w:ind w:left="360"/>
                              <w:rPr>
                                <w:rFonts w:ascii="Arial" w:eastAsia="Times New Roman" w:hAnsi="Arial" w:cs="Arial"/>
                                <w:color w:val="000000" w:themeColor="text1"/>
                                <w:sz w:val="18"/>
                                <w:szCs w:val="18"/>
                              </w:rPr>
                            </w:pPr>
                          </w:p>
                          <w:p w14:paraId="5A1DA705" w14:textId="77777777" w:rsidR="00C3686A" w:rsidRPr="00F96924" w:rsidRDefault="00C3686A" w:rsidP="00C3686A">
                            <w:pPr>
                              <w:pStyle w:val="ListParagraph"/>
                              <w:numPr>
                                <w:ilvl w:val="0"/>
                                <w:numId w:val="41"/>
                              </w:numPr>
                              <w:spacing w:before="240" w:after="0" w:line="36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On</w:t>
                            </w:r>
                            <w:r w:rsidRPr="00F96924">
                              <w:rPr>
                                <w:rFonts w:ascii="Arial" w:eastAsia="Times New Roman" w:hAnsi="Arial" w:cs="Arial"/>
                                <w:color w:val="000000" w:themeColor="text1"/>
                                <w:sz w:val="18"/>
                                <w:szCs w:val="18"/>
                              </w:rPr>
                              <w:t xml:space="preserve"> June 19th, the DOL's Employee Benefits Security Administration (EBSA) issued </w:t>
                            </w:r>
                            <w:hyperlink r:id="rId28" w:history="1">
                              <w:r w:rsidRPr="00990AFB">
                                <w:rPr>
                                  <w:rStyle w:val="Hyperlink"/>
                                  <w:rFonts w:ascii="Arial" w:eastAsia="Times New Roman" w:hAnsi="Arial" w:cs="Arial"/>
                                  <w:sz w:val="18"/>
                                  <w:szCs w:val="18"/>
                                </w:rPr>
                                <w:t>proposed updates</w:t>
                              </w:r>
                            </w:hyperlink>
                            <w:r w:rsidRPr="00F96924">
                              <w:rPr>
                                <w:rFonts w:ascii="Arial" w:eastAsia="Times New Roman" w:hAnsi="Arial" w:cs="Arial"/>
                                <w:color w:val="000000" w:themeColor="text1"/>
                                <w:sz w:val="18"/>
                                <w:szCs w:val="18"/>
                              </w:rPr>
                              <w:t xml:space="preserve"> for 2020, including additional guidance and examples, to the existing mental health parity self-compliance tool. The tool is designed to help plans and issuers gauge compliance with mental health and substance use disorder coverage requirements. Public comments on the proposed 2020 version are due by July 24, 2020.</w:t>
                            </w:r>
                          </w:p>
                          <w:p w14:paraId="3E9D41A9" w14:textId="77777777" w:rsidR="00C3686A" w:rsidRPr="002A4B74" w:rsidRDefault="00C3686A" w:rsidP="00C3686A">
                            <w:pPr>
                              <w:spacing w:line="360" w:lineRule="auto"/>
                              <w:rPr>
                                <w:rFonts w:ascii="Arial" w:eastAsia="Times New Roman" w:hAnsi="Arial" w:cs="Arial"/>
                                <w:color w:val="000000" w:themeColor="text1"/>
                                <w:sz w:val="18"/>
                                <w:szCs w:val="18"/>
                              </w:rPr>
                            </w:pPr>
                          </w:p>
                          <w:p w14:paraId="31ECB7E1" w14:textId="77777777" w:rsidR="00C3686A" w:rsidRDefault="00C3686A" w:rsidP="00C3686A">
                            <w:pPr>
                              <w:pStyle w:val="ListParagraph"/>
                              <w:spacing w:line="360" w:lineRule="auto"/>
                              <w:jc w:val="both"/>
                              <w:rPr>
                                <w:rFonts w:ascii="Times New Roman" w:eastAsia="Times New Roman" w:hAnsi="Times New Roman" w:cs="Times New Roman"/>
                                <w:color w:val="000000" w:themeColor="text1"/>
                              </w:rPr>
                            </w:pPr>
                          </w:p>
                          <w:p w14:paraId="6156F127" w14:textId="77777777" w:rsidR="00C3686A" w:rsidRPr="003C6AE1" w:rsidRDefault="00C3686A" w:rsidP="00C3686A">
                            <w:pPr>
                              <w:spacing w:line="360" w:lineRule="auto"/>
                              <w:ind w:left="720"/>
                              <w:rPr>
                                <w:rFonts w:ascii="Times New Roman" w:eastAsia="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74D19" id="Text Box 3" o:spid="_x0000_s1029" type="#_x0000_t202" style="position:absolute;margin-left:288.25pt;margin-top:.05pt;width:238.2pt;height:5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" fillcolor="#dfeef2 [663]" stroked="f" strokeweight=".5pt">
                <v:textbox>
                  <w:txbxContent>
                    <w:p w14:paraId="3ABAD086" w14:textId="77777777" w:rsidR="00C3686A" w:rsidRPr="00356AB6" w:rsidRDefault="00C3686A" w:rsidP="00C3686A">
                      <w:pPr>
                        <w:spacing w:line="276" w:lineRule="auto"/>
                        <w:rPr>
                          <w:rFonts w:ascii="Arial" w:hAnsi="Arial" w:cs="Arial"/>
                          <w:sz w:val="18"/>
                          <w:szCs w:val="18"/>
                        </w:rPr>
                      </w:pPr>
                      <w:r w:rsidRPr="003C6AE1">
                        <w:rPr>
                          <w:rFonts w:ascii="Arial" w:hAnsi="Arial" w:cs="Arial"/>
                          <w:b/>
                          <w:bCs/>
                          <w:color w:val="0070C0"/>
                          <w:sz w:val="26"/>
                          <w:szCs w:val="26"/>
                        </w:rPr>
                        <w:br/>
                      </w: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r>
                        <w:rPr>
                          <w:rFonts w:ascii="Arial" w:hAnsi="Arial" w:cs="Arial"/>
                          <w:b/>
                          <w:bCs/>
                          <w:color w:val="0070C0"/>
                          <w:sz w:val="26"/>
                          <w:szCs w:val="26"/>
                        </w:rPr>
                        <w:t xml:space="preserve"> (Cont.)</w:t>
                      </w:r>
                      <w:r w:rsidRPr="00F1367B">
                        <w:rPr>
                          <w:rFonts w:ascii="Arial" w:hAnsi="Arial" w:cs="Arial"/>
                          <w:b/>
                          <w:bCs/>
                          <w:color w:val="0070C0"/>
                          <w:sz w:val="18"/>
                          <w:szCs w:val="18"/>
                        </w:rPr>
                        <w:br/>
                      </w:r>
                    </w:p>
                    <w:p w14:paraId="2BDE86C3" w14:textId="77777777" w:rsidR="00C3686A" w:rsidRDefault="00C3686A" w:rsidP="00C3686A">
                      <w:pPr>
                        <w:pStyle w:val="ListParagraph"/>
                        <w:numPr>
                          <w:ilvl w:val="0"/>
                          <w:numId w:val="41"/>
                        </w:numPr>
                        <w:spacing w:line="360" w:lineRule="auto"/>
                        <w:rPr>
                          <w:rFonts w:ascii="Arial" w:eastAsia="Times New Roman" w:hAnsi="Arial" w:cs="Arial"/>
                          <w:color w:val="000000" w:themeColor="text1"/>
                          <w:sz w:val="18"/>
                          <w:szCs w:val="18"/>
                        </w:rPr>
                      </w:pPr>
                      <w:r w:rsidRPr="00356AB6">
                        <w:rPr>
                          <w:rFonts w:ascii="Arial" w:eastAsia="Times New Roman" w:hAnsi="Arial" w:cs="Arial"/>
                          <w:color w:val="000000" w:themeColor="text1"/>
                          <w:sz w:val="18"/>
                          <w:szCs w:val="18"/>
                        </w:rPr>
                        <w:t xml:space="preserve">On June 2nd, the American Benefits Council </w:t>
                      </w:r>
                      <w:hyperlink r:id="rId31" w:history="1">
                        <w:r w:rsidRPr="009B4166">
                          <w:rPr>
                            <w:rStyle w:val="Hyperlink"/>
                            <w:rFonts w:ascii="Arial" w:eastAsia="Times New Roman" w:hAnsi="Arial" w:cs="Arial"/>
                            <w:sz w:val="18"/>
                            <w:szCs w:val="18"/>
                          </w:rPr>
                          <w:t>released a list</w:t>
                        </w:r>
                      </w:hyperlink>
                      <w:r w:rsidRPr="00356AB6">
                        <w:rPr>
                          <w:rFonts w:ascii="Arial" w:eastAsia="Times New Roman" w:hAnsi="Arial" w:cs="Arial"/>
                          <w:color w:val="000000" w:themeColor="text1"/>
                          <w:sz w:val="18"/>
                          <w:szCs w:val="18"/>
                        </w:rPr>
                        <w:t xml:space="preserve"> of its legislative and regulatory priorities related to stabilizing employee benefits for employers to help make re-opening easier during the Covid-19 pandemic. Among other things, the proposal included recommendations for the federal government to subsidize COBRA premiums; increase affordability of individual market insurance; implement risk adjustment and risk corridors to stabilize premiums; and encourage the use of on-site clinics and telehealth programs.</w:t>
                      </w:r>
                    </w:p>
                    <w:p w14:paraId="12E4B7C4" w14:textId="77777777" w:rsidR="00C3686A" w:rsidRDefault="00C3686A" w:rsidP="00C3686A">
                      <w:pPr>
                        <w:pStyle w:val="ListParagraph"/>
                        <w:spacing w:line="360" w:lineRule="auto"/>
                        <w:ind w:left="360"/>
                        <w:rPr>
                          <w:rFonts w:ascii="Arial" w:eastAsia="Times New Roman" w:hAnsi="Arial" w:cs="Arial"/>
                          <w:color w:val="000000" w:themeColor="text1"/>
                          <w:sz w:val="18"/>
                          <w:szCs w:val="18"/>
                        </w:rPr>
                      </w:pPr>
                    </w:p>
                    <w:p w14:paraId="6B6A9445" w14:textId="77777777" w:rsidR="00C3686A" w:rsidRDefault="00C3686A" w:rsidP="00C3686A">
                      <w:pPr>
                        <w:pStyle w:val="ListParagraph"/>
                        <w:numPr>
                          <w:ilvl w:val="0"/>
                          <w:numId w:val="41"/>
                        </w:numPr>
                        <w:spacing w:before="240" w:after="0" w:line="360" w:lineRule="auto"/>
                        <w:rPr>
                          <w:rFonts w:ascii="Arial" w:eastAsia="Times New Roman" w:hAnsi="Arial" w:cs="Arial"/>
                          <w:color w:val="000000" w:themeColor="text1"/>
                          <w:sz w:val="18"/>
                          <w:szCs w:val="18"/>
                        </w:rPr>
                      </w:pPr>
                      <w:r w:rsidRPr="002A4B74">
                        <w:rPr>
                          <w:rFonts w:ascii="Arial" w:eastAsia="Times New Roman" w:hAnsi="Arial" w:cs="Arial"/>
                          <w:color w:val="000000" w:themeColor="text1"/>
                          <w:sz w:val="18"/>
                          <w:szCs w:val="18"/>
                        </w:rPr>
                        <w:t xml:space="preserve">On June 10th, the Treasury Inspector General for Tax Administration (TIGTA) </w:t>
                      </w:r>
                      <w:hyperlink r:id="rId32" w:history="1">
                        <w:r w:rsidRPr="0073704E">
                          <w:rPr>
                            <w:rStyle w:val="Hyperlink"/>
                            <w:rFonts w:ascii="Arial" w:eastAsia="Times New Roman" w:hAnsi="Arial" w:cs="Arial"/>
                            <w:sz w:val="18"/>
                            <w:szCs w:val="18"/>
                          </w:rPr>
                          <w:t>released a report</w:t>
                        </w:r>
                      </w:hyperlink>
                      <w:r w:rsidRPr="002A4B74">
                        <w:rPr>
                          <w:rFonts w:ascii="Arial" w:eastAsia="Times New Roman" w:hAnsi="Arial" w:cs="Arial"/>
                          <w:color w:val="000000" w:themeColor="text1"/>
                          <w:sz w:val="18"/>
                          <w:szCs w:val="18"/>
                        </w:rPr>
                        <w:t xml:space="preserve"> finding that IRS collection of employer shared responsibility payments under Section 4980H fell far short of original projections. Originally, the IRS expected to collect $17 billion in penalties for 2015–2016 and $167 billion between 2016 and 2026. However, only $749 million was collected for 2015–2016, and now the projection through 2026 is just $8 billion.</w:t>
                      </w:r>
                    </w:p>
                    <w:p w14:paraId="72C71280" w14:textId="77777777" w:rsidR="00C3686A" w:rsidRPr="00002CDA" w:rsidRDefault="00C3686A" w:rsidP="00C3686A">
                      <w:pPr>
                        <w:pStyle w:val="ListParagraph"/>
                        <w:spacing w:before="240" w:after="0" w:line="360" w:lineRule="auto"/>
                        <w:ind w:left="360"/>
                        <w:rPr>
                          <w:rFonts w:ascii="Arial" w:eastAsia="Times New Roman" w:hAnsi="Arial" w:cs="Arial"/>
                          <w:color w:val="000000" w:themeColor="text1"/>
                          <w:sz w:val="18"/>
                          <w:szCs w:val="18"/>
                        </w:rPr>
                      </w:pPr>
                    </w:p>
                    <w:p w14:paraId="5A1DA705" w14:textId="77777777" w:rsidR="00C3686A" w:rsidRPr="00F96924" w:rsidRDefault="00C3686A" w:rsidP="00C3686A">
                      <w:pPr>
                        <w:pStyle w:val="ListParagraph"/>
                        <w:numPr>
                          <w:ilvl w:val="0"/>
                          <w:numId w:val="41"/>
                        </w:numPr>
                        <w:spacing w:before="240" w:after="0" w:line="36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On</w:t>
                      </w:r>
                      <w:r w:rsidRPr="00F96924">
                        <w:rPr>
                          <w:rFonts w:ascii="Arial" w:eastAsia="Times New Roman" w:hAnsi="Arial" w:cs="Arial"/>
                          <w:color w:val="000000" w:themeColor="text1"/>
                          <w:sz w:val="18"/>
                          <w:szCs w:val="18"/>
                        </w:rPr>
                        <w:t xml:space="preserve"> June 19th, the DOL's Employee Benefits Security Administration (EBSA) issued </w:t>
                      </w:r>
                      <w:hyperlink r:id="rId33" w:history="1">
                        <w:r w:rsidRPr="00990AFB">
                          <w:rPr>
                            <w:rStyle w:val="Hyperlink"/>
                            <w:rFonts w:ascii="Arial" w:eastAsia="Times New Roman" w:hAnsi="Arial" w:cs="Arial"/>
                            <w:sz w:val="18"/>
                            <w:szCs w:val="18"/>
                          </w:rPr>
                          <w:t>proposed updates</w:t>
                        </w:r>
                      </w:hyperlink>
                      <w:r w:rsidRPr="00F96924">
                        <w:rPr>
                          <w:rFonts w:ascii="Arial" w:eastAsia="Times New Roman" w:hAnsi="Arial" w:cs="Arial"/>
                          <w:color w:val="000000" w:themeColor="text1"/>
                          <w:sz w:val="18"/>
                          <w:szCs w:val="18"/>
                        </w:rPr>
                        <w:t xml:space="preserve"> for 2020, including additional guidance and examples, to the existing mental health parity self-compliance tool. The tool is designed to help plans and issuers gauge compliance with mental health and substance use disorder coverage requirements. Public comments on the proposed 2020 version are due by July 24, 2020.</w:t>
                      </w:r>
                    </w:p>
                    <w:p w14:paraId="3E9D41A9" w14:textId="77777777" w:rsidR="00C3686A" w:rsidRPr="002A4B74" w:rsidRDefault="00C3686A" w:rsidP="00C3686A">
                      <w:pPr>
                        <w:spacing w:line="360" w:lineRule="auto"/>
                        <w:rPr>
                          <w:rFonts w:ascii="Arial" w:eastAsia="Times New Roman" w:hAnsi="Arial" w:cs="Arial"/>
                          <w:color w:val="000000" w:themeColor="text1"/>
                          <w:sz w:val="18"/>
                          <w:szCs w:val="18"/>
                        </w:rPr>
                      </w:pPr>
                    </w:p>
                    <w:p w14:paraId="31ECB7E1" w14:textId="77777777" w:rsidR="00C3686A" w:rsidRDefault="00C3686A" w:rsidP="00C3686A">
                      <w:pPr>
                        <w:pStyle w:val="ListParagraph"/>
                        <w:spacing w:line="360" w:lineRule="auto"/>
                        <w:jc w:val="both"/>
                        <w:rPr>
                          <w:rFonts w:ascii="Times New Roman" w:eastAsia="Times New Roman" w:hAnsi="Times New Roman" w:cs="Times New Roman"/>
                          <w:color w:val="000000" w:themeColor="text1"/>
                        </w:rPr>
                      </w:pPr>
                    </w:p>
                    <w:p w14:paraId="6156F127" w14:textId="77777777" w:rsidR="00C3686A" w:rsidRPr="003C6AE1" w:rsidRDefault="00C3686A" w:rsidP="00C3686A">
                      <w:pPr>
                        <w:spacing w:line="360" w:lineRule="auto"/>
                        <w:ind w:left="720"/>
                        <w:rPr>
                          <w:rFonts w:ascii="Times New Roman" w:eastAsia="Times New Roman" w:hAnsi="Times New Roman" w:cs="Times New Roman"/>
                          <w:color w:val="000000" w:themeColor="text1"/>
                          <w:sz w:val="20"/>
                          <w:szCs w:val="20"/>
                        </w:rPr>
                      </w:pPr>
                    </w:p>
                  </w:txbxContent>
                </v:textbox>
                <w10:wrap type="square"/>
              </v:shape>
            </w:pict>
          </mc:Fallback>
        </mc:AlternateContent>
      </w:r>
      <w:r w:rsidR="00392D38" w:rsidRPr="00630EB6">
        <w:rPr>
          <w:rFonts w:ascii="Arial" w:eastAsia="Times New Roman" w:hAnsi="Arial" w:cs="Arial"/>
          <w:b/>
          <w:bCs/>
          <w:color w:val="595959"/>
          <w:sz w:val="20"/>
          <w:szCs w:val="20"/>
          <w:lang w:eastAsia="en-US"/>
        </w:rPr>
        <w:t>COVID-19 – Look-Back Measurement Method</w:t>
      </w:r>
    </w:p>
    <w:p w14:paraId="3E74F2D8" w14:textId="227CECA4" w:rsidR="00392D38" w:rsidRDefault="00392D38" w:rsidP="00392D38">
      <w:pPr>
        <w:rPr>
          <w:rFonts w:ascii="Arial" w:eastAsia="Times New Roman" w:hAnsi="Arial" w:cs="Arial"/>
          <w:b/>
          <w:bCs/>
          <w:color w:val="595959"/>
          <w:sz w:val="20"/>
          <w:szCs w:val="20"/>
          <w:lang w:eastAsia="en-US"/>
        </w:rPr>
      </w:pPr>
    </w:p>
    <w:p w14:paraId="785955FF" w14:textId="04B46E77" w:rsidR="00392D38" w:rsidRPr="00392D38" w:rsidRDefault="00392D38" w:rsidP="00392D38">
      <w:pPr>
        <w:spacing w:line="276" w:lineRule="auto"/>
        <w:rPr>
          <w:rFonts w:ascii="Arial" w:eastAsia="Times New Roman" w:hAnsi="Arial" w:cs="Arial"/>
          <w:b/>
          <w:bCs/>
          <w:color w:val="595959"/>
          <w:sz w:val="20"/>
          <w:szCs w:val="20"/>
          <w:lang w:eastAsia="en-US"/>
        </w:rPr>
      </w:pPr>
      <w:r w:rsidRPr="00630EB6">
        <w:rPr>
          <w:rFonts w:ascii="Arial" w:hAnsi="Arial" w:cs="Arial"/>
          <w:color w:val="3D3D3D"/>
          <w:sz w:val="20"/>
          <w:szCs w:val="20"/>
          <w:shd w:val="clear" w:color="auto" w:fill="FFFFFF"/>
        </w:rPr>
        <w:t xml:space="preserve">Applicable large employers (ALEs), those employers with 50 or more full-time equivalents (FTEs), are required to offer medical coverage to full-time employees to avoid potential penalties under §4980H. Full-time status for this purpose is determined using either the monthly measurement method or the look-back measurement method. For ALEs using the look-back measurement method, there may be some unexpected implications for employees who request leave or whose hours are temporarily reduced </w:t>
      </w:r>
      <w:r w:rsidRPr="00196381">
        <w:rPr>
          <w:rFonts w:ascii="Arial" w:hAnsi="Arial" w:cs="Arial"/>
          <w:color w:val="3D3D3D"/>
          <w:sz w:val="20"/>
          <w:szCs w:val="20"/>
          <w:shd w:val="clear" w:color="auto" w:fill="FFFFFF"/>
        </w:rPr>
        <w:t>related to COVID-19. It may also affect employees who are terminated from employment and later rehired.</w:t>
      </w:r>
    </w:p>
    <w:p w14:paraId="3C47901E" w14:textId="77777777" w:rsidR="00392D38" w:rsidRDefault="00392D38" w:rsidP="003A2DA0">
      <w:pPr>
        <w:rPr>
          <w:rFonts w:ascii="Arial" w:hAnsi="Arial" w:cs="Arial"/>
          <w:color w:val="3D3D3D"/>
          <w:sz w:val="20"/>
          <w:szCs w:val="20"/>
          <w:shd w:val="clear" w:color="auto" w:fill="FFFFFF"/>
        </w:rPr>
      </w:pPr>
    </w:p>
    <w:p w14:paraId="25157FDF" w14:textId="61845BE8" w:rsidR="00A81A7D" w:rsidRDefault="00392D38" w:rsidP="003A2DA0">
      <w:pPr>
        <w:spacing w:line="276" w:lineRule="auto"/>
        <w:rPr>
          <w:rFonts w:ascii="Arial" w:hAnsi="Arial" w:cs="Arial"/>
          <w:sz w:val="20"/>
          <w:szCs w:val="20"/>
        </w:rPr>
      </w:pPr>
      <w:r w:rsidRPr="00196381">
        <w:rPr>
          <w:rFonts w:ascii="Arial" w:hAnsi="Arial" w:cs="Arial"/>
          <w:color w:val="3D3D3D"/>
          <w:sz w:val="20"/>
          <w:szCs w:val="20"/>
          <w:shd w:val="clear" w:color="auto" w:fill="FFFFFF"/>
        </w:rPr>
        <w:t xml:space="preserve">More here: </w:t>
      </w:r>
      <w:hyperlink r:id="rId34" w:history="1">
        <w:r w:rsidRPr="00196381">
          <w:rPr>
            <w:rStyle w:val="Hyperlink"/>
            <w:rFonts w:ascii="Arial" w:hAnsi="Arial" w:cs="Arial"/>
            <w:sz w:val="20"/>
            <w:szCs w:val="20"/>
          </w:rPr>
          <w:t>https://benefitcomply.com/issue-brief-covid-19-look-back-measurement-method-implications/</w:t>
        </w:r>
      </w:hyperlink>
    </w:p>
    <w:p w14:paraId="2DC6C613" w14:textId="77777777" w:rsidR="00BD6B22" w:rsidRPr="00A81A7D" w:rsidRDefault="00BD6B22" w:rsidP="003A2DA0">
      <w:pPr>
        <w:spacing w:line="276" w:lineRule="auto"/>
        <w:rPr>
          <w:rFonts w:ascii="Arial" w:hAnsi="Arial" w:cs="Arial"/>
          <w:sz w:val="20"/>
          <w:szCs w:val="20"/>
        </w:rPr>
      </w:pPr>
    </w:p>
    <w:p w14:paraId="69267DF4" w14:textId="1D07C875" w:rsidR="004B5C8F" w:rsidRPr="00BA3DE1" w:rsidRDefault="00BA3DE1" w:rsidP="004B5C8F">
      <w:pPr>
        <w:rPr>
          <w:rFonts w:ascii="Arial" w:hAnsi="Arial" w:cs="Arial"/>
          <w:b/>
          <w:bCs/>
          <w:sz w:val="20"/>
          <w:szCs w:val="20"/>
        </w:rPr>
      </w:pPr>
      <w:r w:rsidRPr="00BA3DE1">
        <w:rPr>
          <w:rFonts w:ascii="Arial" w:hAnsi="Arial" w:cs="Arial"/>
          <w:b/>
          <w:bCs/>
          <w:color w:val="000000"/>
          <w:sz w:val="20"/>
          <w:szCs w:val="20"/>
          <w:shd w:val="clear" w:color="auto" w:fill="FFFFFF"/>
        </w:rPr>
        <w:t>Health Savings Accounts (HSAs) - Common Questions</w:t>
      </w:r>
    </w:p>
    <w:p w14:paraId="1146C537" w14:textId="63089A95" w:rsidR="004B5C8F" w:rsidRPr="004B5C8F" w:rsidRDefault="004B5C8F" w:rsidP="004B5C8F">
      <w:pPr>
        <w:rPr>
          <w:rFonts w:ascii="Arial" w:hAnsi="Arial" w:cs="Arial"/>
          <w:sz w:val="20"/>
          <w:szCs w:val="20"/>
        </w:rPr>
      </w:pPr>
    </w:p>
    <w:p w14:paraId="3E95312B" w14:textId="58D04CC8" w:rsidR="00BA3DE1" w:rsidRPr="00BA3DE1" w:rsidRDefault="00BA3DE1" w:rsidP="00BA3DE1">
      <w:pPr>
        <w:shd w:val="clear" w:color="auto" w:fill="FFFFFF"/>
        <w:rPr>
          <w:rFonts w:ascii="Arial" w:eastAsia="Times New Roman" w:hAnsi="Arial" w:cs="Arial"/>
          <w:color w:val="000000"/>
          <w:sz w:val="20"/>
          <w:szCs w:val="20"/>
          <w:lang w:eastAsia="en-US"/>
        </w:rPr>
      </w:pPr>
      <w:r w:rsidRPr="00BA3DE1">
        <w:rPr>
          <w:rFonts w:ascii="Arial" w:eastAsia="Times New Roman" w:hAnsi="Arial" w:cs="Arial"/>
          <w:color w:val="000000"/>
          <w:sz w:val="20"/>
          <w:szCs w:val="20"/>
          <w:lang w:eastAsia="en-US"/>
        </w:rPr>
        <w:t xml:space="preserve">As we see more and more employers offering high-deductible health plans (HDHPs), there is an increased need for employers and employees to understand HSA eligibility rules, contribution requirements, and which expenses are reimbursable on a tax-favored basis. </w:t>
      </w:r>
      <w:r>
        <w:rPr>
          <w:rFonts w:ascii="Arial" w:eastAsia="Times New Roman" w:hAnsi="Arial" w:cs="Arial"/>
          <w:color w:val="000000"/>
          <w:sz w:val="20"/>
          <w:szCs w:val="20"/>
          <w:lang w:eastAsia="en-US"/>
        </w:rPr>
        <w:t>This issue brief</w:t>
      </w:r>
      <w:r w:rsidR="00C574FB">
        <w:rPr>
          <w:rFonts w:ascii="Arial" w:eastAsia="Times New Roman" w:hAnsi="Arial" w:cs="Arial"/>
          <w:color w:val="000000"/>
          <w:sz w:val="20"/>
          <w:szCs w:val="20"/>
          <w:lang w:eastAsia="en-US"/>
        </w:rPr>
        <w:t xml:space="preserve"> contains a</w:t>
      </w:r>
      <w:r w:rsidRPr="00BA3DE1">
        <w:rPr>
          <w:rFonts w:ascii="Arial" w:eastAsia="Times New Roman" w:hAnsi="Arial" w:cs="Arial"/>
          <w:color w:val="000000"/>
          <w:sz w:val="20"/>
          <w:szCs w:val="20"/>
          <w:lang w:eastAsia="en-US"/>
        </w:rPr>
        <w:t xml:space="preserve"> summary of HSA eligibility and contribution rules,</w:t>
      </w:r>
      <w:r w:rsidR="00C574FB">
        <w:rPr>
          <w:rFonts w:ascii="Arial" w:eastAsia="Times New Roman" w:hAnsi="Arial" w:cs="Arial"/>
          <w:color w:val="000000"/>
          <w:sz w:val="20"/>
          <w:szCs w:val="20"/>
          <w:lang w:eastAsia="en-US"/>
        </w:rPr>
        <w:t xml:space="preserve"> along with a</w:t>
      </w:r>
      <w:r w:rsidRPr="00BA3DE1">
        <w:rPr>
          <w:rFonts w:ascii="Arial" w:eastAsia="Times New Roman" w:hAnsi="Arial" w:cs="Arial"/>
          <w:color w:val="000000"/>
          <w:sz w:val="20"/>
          <w:szCs w:val="20"/>
          <w:lang w:eastAsia="en-US"/>
        </w:rPr>
        <w:t xml:space="preserve"> series of frequently asked questions and responses.</w:t>
      </w:r>
    </w:p>
    <w:p w14:paraId="5C1F2A88" w14:textId="34CB9FE0" w:rsidR="004B5C8F" w:rsidRPr="004B5C8F" w:rsidRDefault="004B5C8F" w:rsidP="004B5C8F">
      <w:pPr>
        <w:rPr>
          <w:rFonts w:ascii="Arial" w:hAnsi="Arial" w:cs="Arial"/>
          <w:sz w:val="20"/>
          <w:szCs w:val="20"/>
        </w:rPr>
      </w:pPr>
    </w:p>
    <w:p w14:paraId="13AF112E" w14:textId="1EC19E3C" w:rsidR="004B5C8F" w:rsidRPr="00C574FB" w:rsidRDefault="00C574FB" w:rsidP="003A2DA0">
      <w:pPr>
        <w:spacing w:line="276" w:lineRule="auto"/>
        <w:rPr>
          <w:rFonts w:ascii="Arial" w:hAnsi="Arial" w:cs="Arial"/>
          <w:sz w:val="20"/>
          <w:szCs w:val="20"/>
        </w:rPr>
      </w:pPr>
      <w:r w:rsidRPr="00C574FB">
        <w:rPr>
          <w:rFonts w:ascii="Arial" w:hAnsi="Arial" w:cs="Arial"/>
          <w:sz w:val="20"/>
          <w:szCs w:val="20"/>
        </w:rPr>
        <w:t xml:space="preserve">More here: </w:t>
      </w:r>
      <w:hyperlink r:id="rId35" w:history="1">
        <w:r w:rsidRPr="00C574FB">
          <w:rPr>
            <w:rStyle w:val="Hyperlink"/>
            <w:rFonts w:ascii="Arial" w:hAnsi="Arial" w:cs="Arial"/>
            <w:sz w:val="20"/>
            <w:szCs w:val="20"/>
          </w:rPr>
          <w:t>https://benefitcomply.com/compliance-alert-health-savings-accounts-hsas-common-questions/</w:t>
        </w:r>
      </w:hyperlink>
    </w:p>
    <w:p w14:paraId="3D30CF32" w14:textId="33D270C4" w:rsidR="004B5C8F" w:rsidRDefault="004B5C8F" w:rsidP="004B5C8F">
      <w:pPr>
        <w:rPr>
          <w:rFonts w:ascii="Arial" w:hAnsi="Arial" w:cs="Arial"/>
          <w:sz w:val="20"/>
          <w:szCs w:val="20"/>
        </w:rPr>
      </w:pPr>
    </w:p>
    <w:p w14:paraId="2EBD8DEB" w14:textId="77777777" w:rsidR="00BD6B22" w:rsidRPr="004B5C8F" w:rsidRDefault="00BD6B22" w:rsidP="004B5C8F">
      <w:pPr>
        <w:rPr>
          <w:rFonts w:ascii="Arial" w:hAnsi="Arial" w:cs="Arial"/>
          <w:sz w:val="20"/>
          <w:szCs w:val="20"/>
        </w:rPr>
      </w:pPr>
    </w:p>
    <w:p w14:paraId="05ACB70C" w14:textId="43B14C62" w:rsidR="004B5C8F" w:rsidRPr="00A56A02" w:rsidRDefault="00A56A02" w:rsidP="004B5C8F">
      <w:pPr>
        <w:rPr>
          <w:rFonts w:ascii="Arial" w:hAnsi="Arial" w:cs="Arial"/>
          <w:b/>
          <w:bCs/>
          <w:color w:val="333333"/>
          <w:sz w:val="20"/>
          <w:szCs w:val="20"/>
        </w:rPr>
      </w:pPr>
      <w:r w:rsidRPr="00A56A02">
        <w:rPr>
          <w:rFonts w:ascii="Arial" w:hAnsi="Arial" w:cs="Arial"/>
          <w:b/>
          <w:bCs/>
          <w:color w:val="000000"/>
          <w:sz w:val="20"/>
          <w:szCs w:val="20"/>
          <w:shd w:val="clear" w:color="auto" w:fill="FFFFFF"/>
        </w:rPr>
        <w:t>Agency Guidance - National Emergency Extended Time Frames</w:t>
      </w:r>
    </w:p>
    <w:p w14:paraId="1558488F" w14:textId="77777777" w:rsidR="004B5C8F" w:rsidRPr="004B5C8F" w:rsidRDefault="004B5C8F" w:rsidP="004B5C8F">
      <w:pPr>
        <w:rPr>
          <w:rFonts w:ascii="Arial" w:hAnsi="Arial" w:cs="Arial"/>
          <w:sz w:val="20"/>
          <w:szCs w:val="20"/>
        </w:rPr>
      </w:pPr>
    </w:p>
    <w:p w14:paraId="5199BCA8" w14:textId="0A1BE39B" w:rsidR="001D3A41" w:rsidRPr="00A53ABC" w:rsidRDefault="008E2A0E" w:rsidP="00593C4D">
      <w:pPr>
        <w:spacing w:line="276" w:lineRule="auto"/>
        <w:rPr>
          <w:rFonts w:ascii="Arial" w:hAnsi="Arial" w:cs="Arial"/>
          <w:color w:val="3D3D3D"/>
          <w:sz w:val="20"/>
          <w:szCs w:val="20"/>
          <w:shd w:val="clear" w:color="auto" w:fill="FFFFFF"/>
        </w:rPr>
      </w:pPr>
      <w:r>
        <w:rPr>
          <w:rFonts w:ascii="Arial" w:hAnsi="Arial" w:cs="Arial"/>
          <w:color w:val="000000"/>
          <w:sz w:val="20"/>
          <w:szCs w:val="20"/>
          <w:shd w:val="clear" w:color="auto" w:fill="FFFFFF"/>
        </w:rPr>
        <w:t>On April 28</w:t>
      </w:r>
      <w:r w:rsidRPr="008E2A0E">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t</w:t>
      </w:r>
      <w:r w:rsidR="00DF75C1" w:rsidRPr="00A53ABC">
        <w:rPr>
          <w:rFonts w:ascii="Arial" w:hAnsi="Arial" w:cs="Arial"/>
          <w:color w:val="000000"/>
          <w:sz w:val="20"/>
          <w:szCs w:val="20"/>
          <w:shd w:val="clear" w:color="auto" w:fill="FFFFFF"/>
        </w:rPr>
        <w:t xml:space="preserve">he Department of Labor (DOL) and the Department of Treasury (IRS) jointly issued a final rule extending several specific notice time frames applicable under HIPAA, COBRA, and ERISA. The rule extends the time frames for </w:t>
      </w:r>
      <w:r w:rsidR="000A7618">
        <w:rPr>
          <w:rFonts w:ascii="Arial" w:hAnsi="Arial" w:cs="Arial"/>
          <w:color w:val="000000"/>
          <w:sz w:val="20"/>
          <w:szCs w:val="20"/>
          <w:shd w:val="clear" w:color="auto" w:fill="FFFFFF"/>
        </w:rPr>
        <w:t xml:space="preserve">ERISA claims processes, </w:t>
      </w:r>
      <w:r w:rsidR="00DF75C1" w:rsidRPr="00A53ABC">
        <w:rPr>
          <w:rFonts w:ascii="Arial" w:hAnsi="Arial" w:cs="Arial"/>
          <w:color w:val="000000"/>
          <w:sz w:val="20"/>
          <w:szCs w:val="20"/>
          <w:shd w:val="clear" w:color="auto" w:fill="FFFFFF"/>
        </w:rPr>
        <w:t>COBRA elections, COBRA payments, and HIPAA special enrollments. In addition to the final rule, the DOL issued Disaster Relief Notice 2020-01, indicating there will be leniency regarding enforcement of the timing and delivery method for all disclosures required under ERISA and confirming the extended filing deadline of July 15, 2020, for Form 5500 and Form M-1 filings due between April 1st and July 15th, 2020.</w:t>
      </w:r>
    </w:p>
    <w:p w14:paraId="11E76408" w14:textId="77777777" w:rsidR="001D3A41" w:rsidRPr="00593C4D" w:rsidRDefault="001D3A41" w:rsidP="00593C4D">
      <w:pPr>
        <w:spacing w:line="276" w:lineRule="auto"/>
        <w:rPr>
          <w:rFonts w:ascii="Arial" w:hAnsi="Arial" w:cs="Arial"/>
          <w:color w:val="3D3D3D"/>
          <w:sz w:val="20"/>
          <w:szCs w:val="20"/>
          <w:shd w:val="clear" w:color="auto" w:fill="FFFFFF"/>
        </w:rPr>
      </w:pPr>
    </w:p>
    <w:p w14:paraId="32AFFA74" w14:textId="7609D554" w:rsidR="003C6AE1" w:rsidRPr="009B3EEA" w:rsidRDefault="001D3A41" w:rsidP="003A2DA0">
      <w:pPr>
        <w:spacing w:line="276" w:lineRule="auto"/>
        <w:rPr>
          <w:rFonts w:ascii="Arial" w:hAnsi="Arial" w:cs="Arial"/>
          <w:sz w:val="20"/>
          <w:szCs w:val="20"/>
        </w:rPr>
      </w:pPr>
      <w:r w:rsidRPr="009B3EEA">
        <w:rPr>
          <w:rFonts w:ascii="Arial" w:hAnsi="Arial" w:cs="Arial"/>
          <w:color w:val="000000" w:themeColor="text1"/>
          <w:sz w:val="20"/>
          <w:szCs w:val="20"/>
        </w:rPr>
        <w:t xml:space="preserve">More here: </w:t>
      </w:r>
      <w:hyperlink r:id="rId36" w:history="1">
        <w:r w:rsidR="009B3EEA" w:rsidRPr="009B3EEA">
          <w:rPr>
            <w:rStyle w:val="Hyperlink"/>
            <w:rFonts w:ascii="Arial" w:hAnsi="Arial" w:cs="Arial"/>
            <w:sz w:val="20"/>
            <w:szCs w:val="20"/>
          </w:rPr>
          <w:t>https://benefitcomply.com/compliance-alert-agency-guidance-national-emergency-extended-time-frames/</w:t>
        </w:r>
      </w:hyperlink>
    </w:p>
    <w:p w14:paraId="7249FEFC" w14:textId="77777777" w:rsidR="009B3EEA" w:rsidRPr="00593C4D" w:rsidRDefault="009B3EEA" w:rsidP="00593C4D">
      <w:pPr>
        <w:spacing w:line="276" w:lineRule="auto"/>
        <w:rPr>
          <w:rStyle w:val="Hyperlink"/>
          <w:rFonts w:ascii="Arial" w:hAnsi="Arial" w:cs="Arial"/>
          <w:color w:val="000000" w:themeColor="text1"/>
          <w:sz w:val="20"/>
          <w:szCs w:val="20"/>
        </w:rPr>
      </w:pPr>
    </w:p>
    <w:p w14:paraId="47C97DC5" w14:textId="77777777" w:rsidR="00C3686A" w:rsidRDefault="00C3686A" w:rsidP="00593C4D">
      <w:pPr>
        <w:shd w:val="clear" w:color="auto" w:fill="FFFFFF"/>
        <w:spacing w:before="100" w:beforeAutospacing="1" w:after="100" w:afterAutospacing="1" w:line="276" w:lineRule="auto"/>
        <w:rPr>
          <w:rFonts w:ascii="Arial" w:hAnsi="Arial" w:cs="Arial"/>
          <w:b/>
          <w:bCs/>
          <w:color w:val="000000"/>
          <w:sz w:val="20"/>
          <w:szCs w:val="20"/>
          <w:shd w:val="clear" w:color="auto" w:fill="FFFFFF"/>
        </w:rPr>
      </w:pPr>
    </w:p>
    <w:p w14:paraId="13C9C9BB" w14:textId="7655772A" w:rsidR="00E63E92" w:rsidRDefault="00E63E92" w:rsidP="00593C4D">
      <w:pPr>
        <w:shd w:val="clear" w:color="auto" w:fill="FFFFFF"/>
        <w:spacing w:before="100" w:beforeAutospacing="1" w:after="100" w:afterAutospacing="1" w:line="276" w:lineRule="auto"/>
        <w:rPr>
          <w:rFonts w:ascii="Arial" w:hAnsi="Arial" w:cs="Arial"/>
          <w:b/>
          <w:bCs/>
          <w:color w:val="000000"/>
          <w:sz w:val="20"/>
          <w:szCs w:val="20"/>
          <w:shd w:val="clear" w:color="auto" w:fill="FFFFFF"/>
        </w:rPr>
      </w:pPr>
      <w:r w:rsidRPr="00E63E92">
        <w:rPr>
          <w:rFonts w:ascii="Arial" w:hAnsi="Arial" w:cs="Arial"/>
          <w:b/>
          <w:bCs/>
          <w:color w:val="000000"/>
          <w:sz w:val="20"/>
          <w:szCs w:val="20"/>
          <w:shd w:val="clear" w:color="auto" w:fill="FFFFFF"/>
        </w:rPr>
        <w:lastRenderedPageBreak/>
        <w:t>New COBRA Model Notices</w:t>
      </w:r>
    </w:p>
    <w:p w14:paraId="03AF69C6" w14:textId="6FA334B7" w:rsidR="00EC7556" w:rsidRPr="00BB7EDB" w:rsidRDefault="00EC7556" w:rsidP="00593C4D">
      <w:pPr>
        <w:shd w:val="clear" w:color="auto" w:fill="FFFFFF"/>
        <w:spacing w:before="100" w:beforeAutospacing="1" w:after="100" w:afterAutospacing="1" w:line="276" w:lineRule="auto"/>
        <w:rPr>
          <w:rFonts w:ascii="Arial" w:hAnsi="Arial" w:cs="Arial"/>
          <w:b/>
          <w:bCs/>
          <w:color w:val="000000"/>
          <w:sz w:val="20"/>
          <w:szCs w:val="20"/>
          <w:shd w:val="clear" w:color="auto" w:fill="FFFFFF"/>
        </w:rPr>
      </w:pPr>
      <w:r w:rsidRPr="00BB7EDB">
        <w:rPr>
          <w:rFonts w:ascii="Arial" w:hAnsi="Arial" w:cs="Arial"/>
          <w:color w:val="000000"/>
          <w:sz w:val="20"/>
          <w:szCs w:val="20"/>
          <w:shd w:val="clear" w:color="auto" w:fill="FFFFFF"/>
        </w:rPr>
        <w:t xml:space="preserve">On May 1st, the Department of Labor (DOL) issued new COBRA model notices and corresponding </w:t>
      </w:r>
      <w:r w:rsidR="00C3686A" w:rsidRPr="00A53ABC">
        <w:rPr>
          <w:rFonts w:ascii="Arial" w:hAnsi="Arial" w:cs="Arial"/>
          <w:noProof/>
          <w:sz w:val="20"/>
          <w:szCs w:val="20"/>
        </w:rPr>
        <mc:AlternateContent>
          <mc:Choice Requires="wps">
            <w:drawing>
              <wp:anchor distT="0" distB="0" distL="114300" distR="114300" simplePos="0" relativeHeight="251705344" behindDoc="0" locked="0" layoutInCell="1" allowOverlap="1" wp14:anchorId="632A334F" wp14:editId="64FF4E04">
                <wp:simplePos x="0" y="0"/>
                <wp:positionH relativeFrom="column">
                  <wp:posOffset>3632200</wp:posOffset>
                </wp:positionH>
                <wp:positionV relativeFrom="paragraph">
                  <wp:posOffset>-691515</wp:posOffset>
                </wp:positionV>
                <wp:extent cx="3025140" cy="5727700"/>
                <wp:effectExtent l="0" t="0" r="3810" b="6350"/>
                <wp:wrapSquare wrapText="bothSides"/>
                <wp:docPr id="4" name="Text Box 4"/>
                <wp:cNvGraphicFramePr/>
                <a:graphic xmlns:a="http://schemas.openxmlformats.org/drawingml/2006/main">
                  <a:graphicData uri="http://schemas.microsoft.com/office/word/2010/wordprocessingShape">
                    <wps:wsp>
                      <wps:cNvSpPr txBox="1"/>
                      <wps:spPr>
                        <a:xfrm>
                          <a:off x="0" y="0"/>
                          <a:ext cx="3025140" cy="5727700"/>
                        </a:xfrm>
                        <a:prstGeom prst="rect">
                          <a:avLst/>
                        </a:prstGeom>
                        <a:solidFill>
                          <a:schemeClr val="accent4">
                            <a:lumMod val="20000"/>
                            <a:lumOff val="80000"/>
                          </a:schemeClr>
                        </a:solidFill>
                        <a:ln w="6350">
                          <a:noFill/>
                        </a:ln>
                      </wps:spPr>
                      <wps:txbx>
                        <w:txbxContent>
                          <w:p w14:paraId="03CC24C5" w14:textId="77777777" w:rsidR="00C3686A" w:rsidRPr="00356AB6" w:rsidRDefault="00C3686A" w:rsidP="00C3686A">
                            <w:pPr>
                              <w:spacing w:line="276" w:lineRule="auto"/>
                              <w:rPr>
                                <w:rFonts w:ascii="Arial" w:hAnsi="Arial" w:cs="Arial"/>
                                <w:sz w:val="18"/>
                                <w:szCs w:val="18"/>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r>
                              <w:rPr>
                                <w:rFonts w:ascii="Arial" w:hAnsi="Arial" w:cs="Arial"/>
                                <w:b/>
                                <w:bCs/>
                                <w:color w:val="0070C0"/>
                                <w:sz w:val="26"/>
                                <w:szCs w:val="26"/>
                              </w:rPr>
                              <w:t xml:space="preserve"> (Cont.)</w:t>
                            </w:r>
                            <w:r w:rsidRPr="00F1367B">
                              <w:rPr>
                                <w:rFonts w:ascii="Arial" w:hAnsi="Arial" w:cs="Arial"/>
                                <w:b/>
                                <w:bCs/>
                                <w:color w:val="0070C0"/>
                                <w:sz w:val="18"/>
                                <w:szCs w:val="18"/>
                              </w:rPr>
                              <w:br/>
                            </w:r>
                          </w:p>
                          <w:p w14:paraId="49AB52E3" w14:textId="77777777" w:rsidR="00C3686A" w:rsidRDefault="00C3686A" w:rsidP="00C3686A">
                            <w:pPr>
                              <w:pStyle w:val="ListParagraph"/>
                              <w:numPr>
                                <w:ilvl w:val="0"/>
                                <w:numId w:val="42"/>
                              </w:numPr>
                              <w:spacing w:line="360" w:lineRule="auto"/>
                              <w:rPr>
                                <w:rFonts w:ascii="Arial" w:eastAsia="Times New Roman" w:hAnsi="Arial" w:cs="Arial"/>
                                <w:color w:val="000000" w:themeColor="text1"/>
                                <w:sz w:val="18"/>
                                <w:szCs w:val="18"/>
                              </w:rPr>
                            </w:pPr>
                            <w:r w:rsidRPr="001F3227">
                              <w:rPr>
                                <w:rFonts w:ascii="Arial" w:eastAsia="Times New Roman" w:hAnsi="Arial" w:cs="Arial"/>
                                <w:color w:val="000000" w:themeColor="text1"/>
                                <w:sz w:val="18"/>
                                <w:szCs w:val="18"/>
                              </w:rPr>
                              <w:t xml:space="preserve">The 2017 Tax Cut and Jobs Act amended section 274 of the Internal Revenue Code effective for taxable years beginning after December 31, 2017, to eliminate the employer deduction for expenses related to qualified transportation and commuting fringe benefits. Our original compliance alert on these changes can be viewed </w:t>
                            </w:r>
                            <w:hyperlink r:id="rId37" w:history="1">
                              <w:r w:rsidRPr="002B223B">
                                <w:rPr>
                                  <w:rStyle w:val="Hyperlink"/>
                                  <w:rFonts w:ascii="Arial" w:eastAsia="Times New Roman" w:hAnsi="Arial" w:cs="Arial"/>
                                  <w:sz w:val="18"/>
                                  <w:szCs w:val="18"/>
                                </w:rPr>
                                <w:t>here</w:t>
                              </w:r>
                            </w:hyperlink>
                            <w:r w:rsidRPr="001F3227">
                              <w:rPr>
                                <w:rFonts w:ascii="Arial" w:eastAsia="Times New Roman" w:hAnsi="Arial" w:cs="Arial"/>
                                <w:color w:val="000000" w:themeColor="text1"/>
                                <w:sz w:val="18"/>
                                <w:szCs w:val="18"/>
                              </w:rPr>
                              <w:t xml:space="preserve">. On June 20th, the IRS and the Treasury Department released </w:t>
                            </w:r>
                            <w:hyperlink r:id="rId38" w:history="1">
                              <w:r w:rsidRPr="0014471F">
                                <w:rPr>
                                  <w:rStyle w:val="Hyperlink"/>
                                  <w:rFonts w:ascii="Arial" w:eastAsia="Times New Roman" w:hAnsi="Arial" w:cs="Arial"/>
                                  <w:sz w:val="18"/>
                                  <w:szCs w:val="18"/>
                                </w:rPr>
                                <w:t>proposed regulations</w:t>
                              </w:r>
                            </w:hyperlink>
                            <w:r w:rsidRPr="001F3227">
                              <w:rPr>
                                <w:rFonts w:ascii="Arial" w:eastAsia="Times New Roman" w:hAnsi="Arial" w:cs="Arial"/>
                                <w:color w:val="000000" w:themeColor="text1"/>
                                <w:sz w:val="18"/>
                                <w:szCs w:val="18"/>
                              </w:rPr>
                              <w:t xml:space="preserve"> that clarify the requirements and provide simplified methods for calculating the cost of such disallowed benefits.</w:t>
                            </w:r>
                          </w:p>
                          <w:p w14:paraId="4C97A694" w14:textId="77777777" w:rsidR="00C3686A" w:rsidRDefault="00C3686A" w:rsidP="00C3686A">
                            <w:pPr>
                              <w:pStyle w:val="ListParagraph"/>
                              <w:spacing w:line="360" w:lineRule="auto"/>
                              <w:ind w:left="360"/>
                              <w:rPr>
                                <w:rFonts w:ascii="Arial" w:eastAsia="Times New Roman" w:hAnsi="Arial" w:cs="Arial"/>
                                <w:color w:val="000000" w:themeColor="text1"/>
                                <w:sz w:val="18"/>
                                <w:szCs w:val="18"/>
                              </w:rPr>
                            </w:pPr>
                          </w:p>
                          <w:p w14:paraId="70DE6CFB" w14:textId="77777777" w:rsidR="00C3686A" w:rsidRDefault="00C3686A" w:rsidP="00C3686A">
                            <w:pPr>
                              <w:pStyle w:val="ListParagraph"/>
                              <w:numPr>
                                <w:ilvl w:val="0"/>
                                <w:numId w:val="42"/>
                              </w:numPr>
                              <w:spacing w:line="360" w:lineRule="auto"/>
                              <w:rPr>
                                <w:rFonts w:ascii="Arial" w:eastAsia="Times New Roman" w:hAnsi="Arial" w:cs="Arial"/>
                                <w:color w:val="000000" w:themeColor="text1"/>
                                <w:sz w:val="18"/>
                                <w:szCs w:val="18"/>
                              </w:rPr>
                            </w:pPr>
                            <w:r w:rsidRPr="001F3227">
                              <w:rPr>
                                <w:rFonts w:ascii="Arial" w:eastAsia="Times New Roman" w:hAnsi="Arial" w:cs="Arial"/>
                                <w:color w:val="000000" w:themeColor="text1"/>
                                <w:sz w:val="18"/>
                                <w:szCs w:val="18"/>
                              </w:rPr>
                              <w:t xml:space="preserve">On June 23rd, the IRS, the Treasury Department, and the DOL </w:t>
                            </w:r>
                            <w:hyperlink r:id="rId39" w:history="1">
                              <w:r w:rsidRPr="00D405F6">
                                <w:rPr>
                                  <w:rStyle w:val="Hyperlink"/>
                                  <w:rFonts w:ascii="Arial" w:eastAsia="Times New Roman" w:hAnsi="Arial" w:cs="Arial"/>
                                  <w:sz w:val="18"/>
                                  <w:szCs w:val="18"/>
                                </w:rPr>
                                <w:t>released a joint FAQ</w:t>
                              </w:r>
                            </w:hyperlink>
                            <w:r w:rsidRPr="001F3227">
                              <w:rPr>
                                <w:rFonts w:ascii="Arial" w:eastAsia="Times New Roman" w:hAnsi="Arial" w:cs="Arial"/>
                                <w:color w:val="000000" w:themeColor="text1"/>
                                <w:sz w:val="18"/>
                                <w:szCs w:val="18"/>
                              </w:rPr>
                              <w:t>. It addressed some common questions related to coverage for COVID-19 testing and diagnosis, along with other issues related to provision of these services and compliance with the ACA.</w:t>
                            </w:r>
                          </w:p>
                          <w:p w14:paraId="2007C4A2" w14:textId="77777777" w:rsidR="00C3686A" w:rsidRPr="001F3227" w:rsidRDefault="00C3686A" w:rsidP="00C3686A">
                            <w:pPr>
                              <w:pStyle w:val="ListParagraph"/>
                              <w:rPr>
                                <w:rFonts w:ascii="Arial" w:eastAsia="Times New Roman" w:hAnsi="Arial" w:cs="Arial"/>
                                <w:color w:val="000000" w:themeColor="text1"/>
                                <w:sz w:val="18"/>
                                <w:szCs w:val="18"/>
                              </w:rPr>
                            </w:pPr>
                          </w:p>
                          <w:p w14:paraId="650F409C" w14:textId="77777777" w:rsidR="00C3686A" w:rsidRPr="001F3227" w:rsidRDefault="00C3686A" w:rsidP="00C3686A">
                            <w:pPr>
                              <w:pStyle w:val="ListParagraph"/>
                              <w:numPr>
                                <w:ilvl w:val="0"/>
                                <w:numId w:val="42"/>
                              </w:numPr>
                              <w:spacing w:line="360" w:lineRule="auto"/>
                              <w:rPr>
                                <w:rFonts w:ascii="Arial" w:eastAsia="Times New Roman" w:hAnsi="Arial" w:cs="Arial"/>
                                <w:color w:val="000000" w:themeColor="text1"/>
                                <w:sz w:val="18"/>
                                <w:szCs w:val="18"/>
                              </w:rPr>
                            </w:pPr>
                            <w:r w:rsidRPr="001F3227">
                              <w:rPr>
                                <w:rFonts w:ascii="Arial" w:eastAsia="Times New Roman" w:hAnsi="Arial" w:cs="Arial"/>
                                <w:color w:val="000000" w:themeColor="text1"/>
                                <w:sz w:val="18"/>
                                <w:szCs w:val="18"/>
                              </w:rPr>
                              <w:t xml:space="preserve">Also on June 23rd, the Commonwealth Fund </w:t>
                            </w:r>
                            <w:hyperlink r:id="rId40" w:history="1">
                              <w:r w:rsidRPr="000D2BC5">
                                <w:rPr>
                                  <w:rStyle w:val="Hyperlink"/>
                                  <w:rFonts w:ascii="Arial" w:eastAsia="Times New Roman" w:hAnsi="Arial" w:cs="Arial"/>
                                  <w:sz w:val="18"/>
                                  <w:szCs w:val="18"/>
                                </w:rPr>
                                <w:t>released survey findings</w:t>
                              </w:r>
                            </w:hyperlink>
                            <w:r w:rsidRPr="001F3227">
                              <w:rPr>
                                <w:rFonts w:ascii="Arial" w:eastAsia="Times New Roman" w:hAnsi="Arial" w:cs="Arial"/>
                                <w:color w:val="000000" w:themeColor="text1"/>
                                <w:sz w:val="18"/>
                                <w:szCs w:val="18"/>
                              </w:rPr>
                              <w:t xml:space="preserve"> highlighting the effects of the COVID-19 pandemic on health insurance coverage, including implications for employer-sponsored insurance.</w:t>
                            </w:r>
                          </w:p>
                          <w:p w14:paraId="152E7EA3" w14:textId="77777777" w:rsidR="00C3686A" w:rsidRDefault="00C3686A" w:rsidP="00C3686A">
                            <w:pPr>
                              <w:pStyle w:val="ListParagraph"/>
                              <w:spacing w:line="360" w:lineRule="auto"/>
                              <w:jc w:val="both"/>
                              <w:rPr>
                                <w:rFonts w:ascii="Times New Roman" w:eastAsia="Times New Roman" w:hAnsi="Times New Roman" w:cs="Times New Roman"/>
                                <w:color w:val="000000" w:themeColor="text1"/>
                              </w:rPr>
                            </w:pPr>
                          </w:p>
                          <w:p w14:paraId="33BCDE26" w14:textId="77777777" w:rsidR="00C3686A" w:rsidRPr="003C6AE1" w:rsidRDefault="00C3686A" w:rsidP="00C3686A">
                            <w:pPr>
                              <w:spacing w:line="360" w:lineRule="auto"/>
                              <w:ind w:left="720"/>
                              <w:rPr>
                                <w:rFonts w:ascii="Times New Roman" w:eastAsia="Times New Roman" w:hAnsi="Times New Roman" w:cs="Times New Roman"/>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A334F" id="Text Box 4" o:spid="_x0000_s1030" type="#_x0000_t202" style="position:absolute;margin-left:286pt;margin-top:-54.45pt;width:238.2pt;height:4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" fillcolor="#dfeef2 [663]" stroked="f" strokeweight=".5pt">
                <v:textbox>
                  <w:txbxContent>
                    <w:p w14:paraId="03CC24C5" w14:textId="77777777" w:rsidR="00C3686A" w:rsidRPr="00356AB6" w:rsidRDefault="00C3686A" w:rsidP="00C3686A">
                      <w:pPr>
                        <w:spacing w:line="276" w:lineRule="auto"/>
                        <w:rPr>
                          <w:rFonts w:ascii="Arial" w:hAnsi="Arial" w:cs="Arial"/>
                          <w:sz w:val="18"/>
                          <w:szCs w:val="18"/>
                        </w:rPr>
                      </w:pPr>
                      <w:r w:rsidRPr="006000F7">
                        <w:rPr>
                          <w:rFonts w:ascii="Arial" w:hAnsi="Arial" w:cs="Arial"/>
                          <w:b/>
                          <w:bCs/>
                          <w:color w:val="0070C0"/>
                          <w:sz w:val="26"/>
                          <w:szCs w:val="26"/>
                        </w:rPr>
                        <w:t>BENEFITS NEWS</w:t>
                      </w:r>
                      <w:r>
                        <w:rPr>
                          <w:rFonts w:ascii="Arial" w:hAnsi="Arial" w:cs="Arial"/>
                          <w:b/>
                          <w:bCs/>
                          <w:color w:val="0070C0"/>
                          <w:sz w:val="26"/>
                          <w:szCs w:val="26"/>
                        </w:rPr>
                        <w:t xml:space="preserve"> </w:t>
                      </w:r>
                      <w:r w:rsidRPr="006000F7">
                        <w:rPr>
                          <w:rFonts w:ascii="Arial" w:hAnsi="Arial" w:cs="Arial"/>
                          <w:b/>
                          <w:bCs/>
                          <w:color w:val="0070C0"/>
                          <w:sz w:val="26"/>
                          <w:szCs w:val="26"/>
                        </w:rPr>
                        <w:t>HIGHLIGHTS</w:t>
                      </w:r>
                      <w:r>
                        <w:rPr>
                          <w:rFonts w:ascii="Arial" w:hAnsi="Arial" w:cs="Arial"/>
                          <w:b/>
                          <w:bCs/>
                          <w:color w:val="0070C0"/>
                          <w:sz w:val="26"/>
                          <w:szCs w:val="26"/>
                        </w:rPr>
                        <w:t xml:space="preserve"> (Cont.)</w:t>
                      </w:r>
                      <w:r w:rsidRPr="00F1367B">
                        <w:rPr>
                          <w:rFonts w:ascii="Arial" w:hAnsi="Arial" w:cs="Arial"/>
                          <w:b/>
                          <w:bCs/>
                          <w:color w:val="0070C0"/>
                          <w:sz w:val="18"/>
                          <w:szCs w:val="18"/>
                        </w:rPr>
                        <w:br/>
                      </w:r>
                    </w:p>
                    <w:p w14:paraId="49AB52E3" w14:textId="77777777" w:rsidR="00C3686A" w:rsidRDefault="00C3686A" w:rsidP="00C3686A">
                      <w:pPr>
                        <w:pStyle w:val="ListParagraph"/>
                        <w:numPr>
                          <w:ilvl w:val="0"/>
                          <w:numId w:val="42"/>
                        </w:numPr>
                        <w:spacing w:line="360" w:lineRule="auto"/>
                        <w:rPr>
                          <w:rFonts w:ascii="Arial" w:eastAsia="Times New Roman" w:hAnsi="Arial" w:cs="Arial"/>
                          <w:color w:val="000000" w:themeColor="text1"/>
                          <w:sz w:val="18"/>
                          <w:szCs w:val="18"/>
                        </w:rPr>
                      </w:pPr>
                      <w:r w:rsidRPr="001F3227">
                        <w:rPr>
                          <w:rFonts w:ascii="Arial" w:eastAsia="Times New Roman" w:hAnsi="Arial" w:cs="Arial"/>
                          <w:color w:val="000000" w:themeColor="text1"/>
                          <w:sz w:val="18"/>
                          <w:szCs w:val="18"/>
                        </w:rPr>
                        <w:t xml:space="preserve">The 2017 Tax Cut and Jobs Act amended section 274 of the Internal Revenue Code effective for taxable years beginning after December 31, 2017, to eliminate the employer deduction for expenses related to qualified transportation and commuting fringe benefits. Our original compliance alert on these changes can be viewed </w:t>
                      </w:r>
                      <w:hyperlink r:id="rId41" w:history="1">
                        <w:r w:rsidRPr="002B223B">
                          <w:rPr>
                            <w:rStyle w:val="Hyperlink"/>
                            <w:rFonts w:ascii="Arial" w:eastAsia="Times New Roman" w:hAnsi="Arial" w:cs="Arial"/>
                            <w:sz w:val="18"/>
                            <w:szCs w:val="18"/>
                          </w:rPr>
                          <w:t>here</w:t>
                        </w:r>
                      </w:hyperlink>
                      <w:r w:rsidRPr="001F3227">
                        <w:rPr>
                          <w:rFonts w:ascii="Arial" w:eastAsia="Times New Roman" w:hAnsi="Arial" w:cs="Arial"/>
                          <w:color w:val="000000" w:themeColor="text1"/>
                          <w:sz w:val="18"/>
                          <w:szCs w:val="18"/>
                        </w:rPr>
                        <w:t xml:space="preserve">. On June 20th, the IRS and the Treasury Department released </w:t>
                      </w:r>
                      <w:hyperlink r:id="rId42" w:history="1">
                        <w:r w:rsidRPr="0014471F">
                          <w:rPr>
                            <w:rStyle w:val="Hyperlink"/>
                            <w:rFonts w:ascii="Arial" w:eastAsia="Times New Roman" w:hAnsi="Arial" w:cs="Arial"/>
                            <w:sz w:val="18"/>
                            <w:szCs w:val="18"/>
                          </w:rPr>
                          <w:t>proposed regulations</w:t>
                        </w:r>
                      </w:hyperlink>
                      <w:r w:rsidRPr="001F3227">
                        <w:rPr>
                          <w:rFonts w:ascii="Arial" w:eastAsia="Times New Roman" w:hAnsi="Arial" w:cs="Arial"/>
                          <w:color w:val="000000" w:themeColor="text1"/>
                          <w:sz w:val="18"/>
                          <w:szCs w:val="18"/>
                        </w:rPr>
                        <w:t xml:space="preserve"> that clarify the requirements and provide simplified methods for calculating the cost of such disallowed benefits.</w:t>
                      </w:r>
                    </w:p>
                    <w:p w14:paraId="4C97A694" w14:textId="77777777" w:rsidR="00C3686A" w:rsidRDefault="00C3686A" w:rsidP="00C3686A">
                      <w:pPr>
                        <w:pStyle w:val="ListParagraph"/>
                        <w:spacing w:line="360" w:lineRule="auto"/>
                        <w:ind w:left="360"/>
                        <w:rPr>
                          <w:rFonts w:ascii="Arial" w:eastAsia="Times New Roman" w:hAnsi="Arial" w:cs="Arial"/>
                          <w:color w:val="000000" w:themeColor="text1"/>
                          <w:sz w:val="18"/>
                          <w:szCs w:val="18"/>
                        </w:rPr>
                      </w:pPr>
                    </w:p>
                    <w:p w14:paraId="70DE6CFB" w14:textId="77777777" w:rsidR="00C3686A" w:rsidRDefault="00C3686A" w:rsidP="00C3686A">
                      <w:pPr>
                        <w:pStyle w:val="ListParagraph"/>
                        <w:numPr>
                          <w:ilvl w:val="0"/>
                          <w:numId w:val="42"/>
                        </w:numPr>
                        <w:spacing w:line="360" w:lineRule="auto"/>
                        <w:rPr>
                          <w:rFonts w:ascii="Arial" w:eastAsia="Times New Roman" w:hAnsi="Arial" w:cs="Arial"/>
                          <w:color w:val="000000" w:themeColor="text1"/>
                          <w:sz w:val="18"/>
                          <w:szCs w:val="18"/>
                        </w:rPr>
                      </w:pPr>
                      <w:r w:rsidRPr="001F3227">
                        <w:rPr>
                          <w:rFonts w:ascii="Arial" w:eastAsia="Times New Roman" w:hAnsi="Arial" w:cs="Arial"/>
                          <w:color w:val="000000" w:themeColor="text1"/>
                          <w:sz w:val="18"/>
                          <w:szCs w:val="18"/>
                        </w:rPr>
                        <w:t xml:space="preserve">On June 23rd, the IRS, the Treasury Department, and the DOL </w:t>
                      </w:r>
                      <w:hyperlink r:id="rId43" w:history="1">
                        <w:r w:rsidRPr="00D405F6">
                          <w:rPr>
                            <w:rStyle w:val="Hyperlink"/>
                            <w:rFonts w:ascii="Arial" w:eastAsia="Times New Roman" w:hAnsi="Arial" w:cs="Arial"/>
                            <w:sz w:val="18"/>
                            <w:szCs w:val="18"/>
                          </w:rPr>
                          <w:t>released a joint FAQ</w:t>
                        </w:r>
                      </w:hyperlink>
                      <w:r w:rsidRPr="001F3227">
                        <w:rPr>
                          <w:rFonts w:ascii="Arial" w:eastAsia="Times New Roman" w:hAnsi="Arial" w:cs="Arial"/>
                          <w:color w:val="000000" w:themeColor="text1"/>
                          <w:sz w:val="18"/>
                          <w:szCs w:val="18"/>
                        </w:rPr>
                        <w:t>. It addressed some common questions related to coverage for COVID-19 testing and diagnosis, along with other issues related to provision of these services and compliance with the ACA.</w:t>
                      </w:r>
                    </w:p>
                    <w:p w14:paraId="2007C4A2" w14:textId="77777777" w:rsidR="00C3686A" w:rsidRPr="001F3227" w:rsidRDefault="00C3686A" w:rsidP="00C3686A">
                      <w:pPr>
                        <w:pStyle w:val="ListParagraph"/>
                        <w:rPr>
                          <w:rFonts w:ascii="Arial" w:eastAsia="Times New Roman" w:hAnsi="Arial" w:cs="Arial"/>
                          <w:color w:val="000000" w:themeColor="text1"/>
                          <w:sz w:val="18"/>
                          <w:szCs w:val="18"/>
                        </w:rPr>
                      </w:pPr>
                    </w:p>
                    <w:p w14:paraId="650F409C" w14:textId="77777777" w:rsidR="00C3686A" w:rsidRPr="001F3227" w:rsidRDefault="00C3686A" w:rsidP="00C3686A">
                      <w:pPr>
                        <w:pStyle w:val="ListParagraph"/>
                        <w:numPr>
                          <w:ilvl w:val="0"/>
                          <w:numId w:val="42"/>
                        </w:numPr>
                        <w:spacing w:line="360" w:lineRule="auto"/>
                        <w:rPr>
                          <w:rFonts w:ascii="Arial" w:eastAsia="Times New Roman" w:hAnsi="Arial" w:cs="Arial"/>
                          <w:color w:val="000000" w:themeColor="text1"/>
                          <w:sz w:val="18"/>
                          <w:szCs w:val="18"/>
                        </w:rPr>
                      </w:pPr>
                      <w:r w:rsidRPr="001F3227">
                        <w:rPr>
                          <w:rFonts w:ascii="Arial" w:eastAsia="Times New Roman" w:hAnsi="Arial" w:cs="Arial"/>
                          <w:color w:val="000000" w:themeColor="text1"/>
                          <w:sz w:val="18"/>
                          <w:szCs w:val="18"/>
                        </w:rPr>
                        <w:t xml:space="preserve">Also on June 23rd, the Commonwealth Fund </w:t>
                      </w:r>
                      <w:hyperlink r:id="rId44" w:history="1">
                        <w:r w:rsidRPr="000D2BC5">
                          <w:rPr>
                            <w:rStyle w:val="Hyperlink"/>
                            <w:rFonts w:ascii="Arial" w:eastAsia="Times New Roman" w:hAnsi="Arial" w:cs="Arial"/>
                            <w:sz w:val="18"/>
                            <w:szCs w:val="18"/>
                          </w:rPr>
                          <w:t>released survey findings</w:t>
                        </w:r>
                      </w:hyperlink>
                      <w:r w:rsidRPr="001F3227">
                        <w:rPr>
                          <w:rFonts w:ascii="Arial" w:eastAsia="Times New Roman" w:hAnsi="Arial" w:cs="Arial"/>
                          <w:color w:val="000000" w:themeColor="text1"/>
                          <w:sz w:val="18"/>
                          <w:szCs w:val="18"/>
                        </w:rPr>
                        <w:t xml:space="preserve"> highlighting the effects of the COVID-19 pandemic on health insurance coverage, including implications for employer-sponsored insurance.</w:t>
                      </w:r>
                    </w:p>
                    <w:p w14:paraId="152E7EA3" w14:textId="77777777" w:rsidR="00C3686A" w:rsidRDefault="00C3686A" w:rsidP="00C3686A">
                      <w:pPr>
                        <w:pStyle w:val="ListParagraph"/>
                        <w:spacing w:line="360" w:lineRule="auto"/>
                        <w:jc w:val="both"/>
                        <w:rPr>
                          <w:rFonts w:ascii="Times New Roman" w:eastAsia="Times New Roman" w:hAnsi="Times New Roman" w:cs="Times New Roman"/>
                          <w:color w:val="000000" w:themeColor="text1"/>
                        </w:rPr>
                      </w:pPr>
                    </w:p>
                    <w:p w14:paraId="33BCDE26" w14:textId="77777777" w:rsidR="00C3686A" w:rsidRPr="003C6AE1" w:rsidRDefault="00C3686A" w:rsidP="00C3686A">
                      <w:pPr>
                        <w:spacing w:line="360" w:lineRule="auto"/>
                        <w:ind w:left="720"/>
                        <w:rPr>
                          <w:rFonts w:ascii="Times New Roman" w:eastAsia="Times New Roman" w:hAnsi="Times New Roman" w:cs="Times New Roman"/>
                          <w:color w:val="000000" w:themeColor="text1"/>
                          <w:sz w:val="20"/>
                          <w:szCs w:val="20"/>
                        </w:rPr>
                      </w:pPr>
                    </w:p>
                  </w:txbxContent>
                </v:textbox>
                <w10:wrap type="square"/>
              </v:shape>
            </w:pict>
          </mc:Fallback>
        </mc:AlternateContent>
      </w:r>
      <w:r w:rsidRPr="00BB7EDB">
        <w:rPr>
          <w:rFonts w:ascii="Arial" w:hAnsi="Arial" w:cs="Arial"/>
          <w:color w:val="000000"/>
          <w:sz w:val="20"/>
          <w:szCs w:val="20"/>
          <w:shd w:val="clear" w:color="auto" w:fill="FFFFFF"/>
        </w:rPr>
        <w:t xml:space="preserve">frequently asked questions (FAQs) to better guide individuals who may be choosing between Medicare and COBRA continuation coverage. The </w:t>
      </w:r>
      <w:r w:rsidR="00BB7EDB" w:rsidRPr="00BB7EDB">
        <w:rPr>
          <w:rFonts w:ascii="Arial" w:hAnsi="Arial" w:cs="Arial"/>
          <w:color w:val="000000"/>
          <w:sz w:val="20"/>
          <w:szCs w:val="20"/>
          <w:shd w:val="clear" w:color="auto" w:fill="FFFFFF"/>
        </w:rPr>
        <w:t>General Notice and the Election Notice were updated to</w:t>
      </w:r>
      <w:r w:rsidRPr="00BB7EDB">
        <w:rPr>
          <w:rFonts w:ascii="Arial" w:hAnsi="Arial" w:cs="Arial"/>
          <w:color w:val="000000"/>
          <w:sz w:val="20"/>
          <w:szCs w:val="20"/>
          <w:shd w:val="clear" w:color="auto" w:fill="FFFFFF"/>
        </w:rPr>
        <w:t xml:space="preserve"> provide more information about Medicare, including details about late enrollment penalties for failing to enroll in Medicare when first eligible</w:t>
      </w:r>
      <w:r w:rsidR="00BB7EDB" w:rsidRPr="00BB7EDB">
        <w:rPr>
          <w:rFonts w:ascii="Arial" w:hAnsi="Arial" w:cs="Arial"/>
          <w:color w:val="000000"/>
          <w:sz w:val="20"/>
          <w:szCs w:val="20"/>
          <w:shd w:val="clear" w:color="auto" w:fill="FFFFFF"/>
        </w:rPr>
        <w:t>. They</w:t>
      </w:r>
      <w:r w:rsidRPr="00BB7EDB">
        <w:rPr>
          <w:rFonts w:ascii="Arial" w:hAnsi="Arial" w:cs="Arial"/>
          <w:color w:val="000000"/>
          <w:sz w:val="20"/>
          <w:szCs w:val="20"/>
          <w:shd w:val="clear" w:color="auto" w:fill="FFFFFF"/>
        </w:rPr>
        <w:t xml:space="preserve"> also clarify primary and secondary payer status between Medicare and COBRA continuation coverage.</w:t>
      </w:r>
    </w:p>
    <w:p w14:paraId="613E918D" w14:textId="11011E16" w:rsidR="00B06F14" w:rsidRPr="00BB7EDB" w:rsidRDefault="003C6AE1" w:rsidP="00B06F14">
      <w:pPr>
        <w:shd w:val="clear" w:color="auto" w:fill="FFFFFF"/>
        <w:spacing w:before="100" w:beforeAutospacing="1" w:after="100" w:afterAutospacing="1" w:line="276" w:lineRule="auto"/>
        <w:rPr>
          <w:rStyle w:val="Hyperlink"/>
          <w:rFonts w:ascii="Arial" w:eastAsia="Times New Roman" w:hAnsi="Arial" w:cs="Arial"/>
          <w:color w:val="000000" w:themeColor="text1"/>
          <w:sz w:val="20"/>
          <w:szCs w:val="20"/>
          <w:u w:val="none"/>
        </w:rPr>
      </w:pPr>
      <w:r w:rsidRPr="00BB7EDB">
        <w:rPr>
          <w:rFonts w:ascii="Arial" w:eastAsia="Times New Roman" w:hAnsi="Arial" w:cs="Arial"/>
          <w:color w:val="000000" w:themeColor="text1"/>
          <w:sz w:val="20"/>
          <w:szCs w:val="20"/>
        </w:rPr>
        <w:t xml:space="preserve">More here: </w:t>
      </w:r>
      <w:hyperlink r:id="rId45" w:history="1">
        <w:r w:rsidR="00B22787" w:rsidRPr="00BB7EDB">
          <w:rPr>
            <w:rStyle w:val="Hyperlink"/>
            <w:rFonts w:ascii="Arial" w:hAnsi="Arial" w:cs="Arial"/>
            <w:sz w:val="20"/>
            <w:szCs w:val="20"/>
          </w:rPr>
          <w:t>https://benefitcomply.com/compliance-alert-new-cobra-model-notices/</w:t>
        </w:r>
      </w:hyperlink>
    </w:p>
    <w:p w14:paraId="57AC95F4" w14:textId="2D552FA7" w:rsidR="009E7CC8" w:rsidRPr="00593C4D" w:rsidRDefault="00161DD0" w:rsidP="00593C4D">
      <w:pPr>
        <w:spacing w:after="160" w:line="276" w:lineRule="auto"/>
        <w:rPr>
          <w:rFonts w:ascii="Arial" w:hAnsi="Arial" w:cs="Arial"/>
          <w:color w:val="000000" w:themeColor="text1"/>
          <w:sz w:val="20"/>
          <w:szCs w:val="20"/>
        </w:rPr>
      </w:pPr>
      <w:r>
        <w:rPr>
          <w:rStyle w:val="Strong"/>
          <w:rFonts w:ascii="Arial" w:hAnsi="Arial" w:cs="Arial"/>
          <w:b/>
          <w:bCs/>
          <w:color w:val="333333"/>
          <w:sz w:val="20"/>
          <w:szCs w:val="20"/>
        </w:rPr>
        <w:t>Back to Work Employer Checklist</w:t>
      </w:r>
    </w:p>
    <w:p w14:paraId="441E8979" w14:textId="4E36D7DD" w:rsidR="003B6AD4" w:rsidRDefault="00015E79" w:rsidP="00593C4D">
      <w:pPr>
        <w:spacing w:line="276" w:lineRule="auto"/>
        <w:rPr>
          <w:rFonts w:ascii="Arial" w:hAnsi="Arial" w:cs="Arial"/>
          <w:color w:val="3D3D3D"/>
          <w:sz w:val="20"/>
          <w:szCs w:val="20"/>
          <w:shd w:val="clear" w:color="auto" w:fill="FFFFFF"/>
        </w:rPr>
      </w:pPr>
      <w:r>
        <w:rPr>
          <w:rFonts w:ascii="Arial" w:hAnsi="Arial" w:cs="Arial"/>
          <w:color w:val="3D3D3D"/>
          <w:sz w:val="21"/>
          <w:szCs w:val="21"/>
          <w:shd w:val="clear" w:color="auto" w:fill="FFFFFF"/>
        </w:rPr>
        <w:t xml:space="preserve">The health and economic conditions created by the COVID-19 crisis have caused unprecedented disruption in the workforce. Now, as some employers begin to bring employees back to work, they are faced with a new set of challenges. This checklist is designed to help employers think about the multitude of issues posed as employees return to work after temporary layoffs, leaves of absence, and furloughs. The checklist is divided into </w:t>
      </w:r>
      <w:r w:rsidRPr="007B5968">
        <w:rPr>
          <w:rFonts w:ascii="Arial" w:hAnsi="Arial" w:cs="Arial"/>
          <w:color w:val="3D3D3D"/>
          <w:sz w:val="20"/>
          <w:szCs w:val="20"/>
          <w:shd w:val="clear" w:color="auto" w:fill="FFFFFF"/>
        </w:rPr>
        <w:t>two parts: Part 1 covers important employment law and HR issues, and Part 2 focuses on employee benefits concerns.</w:t>
      </w:r>
    </w:p>
    <w:p w14:paraId="29042050" w14:textId="77777777" w:rsidR="007B5968" w:rsidRPr="007B5968" w:rsidRDefault="007B5968" w:rsidP="00593C4D">
      <w:pPr>
        <w:spacing w:line="276" w:lineRule="auto"/>
        <w:rPr>
          <w:rFonts w:ascii="Arial" w:hAnsi="Arial" w:cs="Arial"/>
          <w:color w:val="3D3D3D"/>
          <w:sz w:val="20"/>
          <w:szCs w:val="20"/>
          <w:shd w:val="clear" w:color="auto" w:fill="FFFFFF"/>
        </w:rPr>
      </w:pPr>
    </w:p>
    <w:p w14:paraId="62CB26DF" w14:textId="73FC68CA" w:rsidR="0093229E" w:rsidRPr="007B5968" w:rsidRDefault="003B6AD4" w:rsidP="00593C4D">
      <w:pPr>
        <w:spacing w:line="276" w:lineRule="auto"/>
        <w:rPr>
          <w:rFonts w:ascii="Arial" w:hAnsi="Arial" w:cs="Arial"/>
          <w:sz w:val="20"/>
          <w:szCs w:val="20"/>
        </w:rPr>
      </w:pPr>
      <w:r w:rsidRPr="007B5968">
        <w:rPr>
          <w:rFonts w:ascii="Arial" w:hAnsi="Arial" w:cs="Arial"/>
          <w:color w:val="3D3D3D"/>
          <w:sz w:val="20"/>
          <w:szCs w:val="20"/>
          <w:shd w:val="clear" w:color="auto" w:fill="FFFFFF"/>
        </w:rPr>
        <w:t xml:space="preserve">More here: </w:t>
      </w:r>
      <w:hyperlink r:id="rId46" w:history="1">
        <w:r w:rsidR="007B5968" w:rsidRPr="007B5968">
          <w:rPr>
            <w:rStyle w:val="Hyperlink"/>
            <w:rFonts w:ascii="Arial" w:hAnsi="Arial" w:cs="Arial"/>
            <w:sz w:val="20"/>
            <w:szCs w:val="20"/>
          </w:rPr>
          <w:t>https://benefitcomply.com/return-to-work-employer-checklist/</w:t>
        </w:r>
      </w:hyperlink>
    </w:p>
    <w:p w14:paraId="2F617948" w14:textId="77777777" w:rsidR="00BE464A" w:rsidRPr="00593C4D" w:rsidRDefault="00BE464A" w:rsidP="00593C4D">
      <w:pPr>
        <w:spacing w:line="276" w:lineRule="auto"/>
        <w:rPr>
          <w:rFonts w:ascii="Arial" w:hAnsi="Arial" w:cs="Arial"/>
          <w:sz w:val="20"/>
          <w:szCs w:val="20"/>
        </w:rPr>
      </w:pPr>
    </w:p>
    <w:p w14:paraId="4BC4E776" w14:textId="44AE6199" w:rsidR="00BC5452" w:rsidRDefault="00DA1573" w:rsidP="00C3686A">
      <w:pPr>
        <w:pStyle w:val="Heading2"/>
        <w:numPr>
          <w:ilvl w:val="0"/>
          <w:numId w:val="0"/>
        </w:numPr>
        <w:shd w:val="clear" w:color="auto" w:fill="FFFFFF"/>
        <w:spacing w:after="0" w:line="240" w:lineRule="auto"/>
        <w:jc w:val="both"/>
        <w:rPr>
          <w:b/>
          <w:bCs/>
          <w:color w:val="333333"/>
        </w:rPr>
      </w:pPr>
      <w:bookmarkStart w:id="6" w:name="_Toc44580997"/>
      <w:r>
        <w:rPr>
          <w:b/>
          <w:bCs/>
          <w:color w:val="333333"/>
        </w:rPr>
        <w:t>IRS Notices Announce Increased Flexibility for Certain Plans</w:t>
      </w:r>
      <w:bookmarkEnd w:id="6"/>
    </w:p>
    <w:p w14:paraId="70E304CB" w14:textId="77777777" w:rsidR="00BC5452" w:rsidRPr="00BC5452" w:rsidRDefault="00BC5452" w:rsidP="00BC5452">
      <w:pPr>
        <w:rPr>
          <w:lang w:eastAsia="en-US"/>
        </w:rPr>
      </w:pPr>
    </w:p>
    <w:p w14:paraId="78A6A4E2" w14:textId="46079F85" w:rsidR="006723BB" w:rsidRPr="006723BB" w:rsidRDefault="006723BB" w:rsidP="00C82988">
      <w:pPr>
        <w:shd w:val="clear" w:color="auto" w:fill="FFFFFF"/>
        <w:spacing w:line="276" w:lineRule="auto"/>
        <w:rPr>
          <w:rFonts w:ascii="Arial" w:eastAsia="Times New Roman" w:hAnsi="Arial" w:cs="Arial"/>
          <w:color w:val="000000"/>
          <w:sz w:val="20"/>
          <w:szCs w:val="20"/>
          <w:lang w:eastAsia="en-US"/>
        </w:rPr>
      </w:pPr>
      <w:r w:rsidRPr="006723BB">
        <w:rPr>
          <w:rFonts w:ascii="Arial" w:eastAsia="Times New Roman" w:hAnsi="Arial" w:cs="Arial"/>
          <w:color w:val="000000"/>
          <w:sz w:val="20"/>
          <w:szCs w:val="20"/>
          <w:lang w:eastAsia="en-US"/>
        </w:rPr>
        <w:t>The Internal Revenue Service (IRS) issued two notices to assist with the nation's response to the 2019 Coronavirus outbreak. The first notice</w:t>
      </w:r>
      <w:r w:rsidR="00106354">
        <w:rPr>
          <w:rFonts w:ascii="Arial" w:eastAsia="Times New Roman" w:hAnsi="Arial" w:cs="Arial"/>
          <w:color w:val="000000"/>
          <w:sz w:val="20"/>
          <w:szCs w:val="20"/>
          <w:lang w:eastAsia="en-US"/>
        </w:rPr>
        <w:t xml:space="preserve">, </w:t>
      </w:r>
      <w:hyperlink r:id="rId47" w:history="1">
        <w:r w:rsidR="00106354" w:rsidRPr="00106354">
          <w:rPr>
            <w:rStyle w:val="Hyperlink"/>
            <w:rFonts w:ascii="Arial" w:eastAsia="Times New Roman" w:hAnsi="Arial" w:cs="Arial"/>
            <w:sz w:val="20"/>
            <w:szCs w:val="20"/>
            <w:lang w:eastAsia="en-US"/>
          </w:rPr>
          <w:t>IRS Notice 2020-29</w:t>
        </w:r>
      </w:hyperlink>
      <w:r w:rsidR="00106354">
        <w:rPr>
          <w:rFonts w:ascii="Arial" w:eastAsia="Times New Roman" w:hAnsi="Arial" w:cs="Arial"/>
          <w:color w:val="000000"/>
          <w:sz w:val="20"/>
          <w:szCs w:val="20"/>
          <w:lang w:eastAsia="en-US"/>
        </w:rPr>
        <w:t>,</w:t>
      </w:r>
      <w:r w:rsidRPr="006723BB">
        <w:rPr>
          <w:rFonts w:ascii="Arial" w:eastAsia="Times New Roman" w:hAnsi="Arial" w:cs="Arial"/>
          <w:color w:val="000000"/>
          <w:sz w:val="20"/>
          <w:szCs w:val="20"/>
          <w:lang w:eastAsia="en-US"/>
        </w:rPr>
        <w:t xml:space="preserve"> increases "flexibility with respect to mid-year elections under a §125 cafeteria plan during calendar year 2020 related to employer-sponsored health coverage, health Flexible Spending Arrangements (health FSAs), and dependent care assistance programs (DCAPs). This notice also provides increased flexibility with respect to grace periods to apply unused amounts in health FSAs to medical care expenses incurred through December 31, 2020, and unused amounts in dependent care assistance programs to dependent care expenses incurred through December 31, 2020." Finally, this notice clarifies that recently announced exemptions for high deductible health plans (HDHPs) to remain HSA qualified apply retroactively to January 1, 2020. </w:t>
      </w:r>
    </w:p>
    <w:p w14:paraId="2C107A79" w14:textId="77777777" w:rsidR="006723BB" w:rsidRPr="006723BB" w:rsidRDefault="006723BB" w:rsidP="00C82988">
      <w:pPr>
        <w:shd w:val="clear" w:color="auto" w:fill="FFFFFF"/>
        <w:spacing w:line="276" w:lineRule="auto"/>
        <w:rPr>
          <w:rFonts w:ascii="Arial" w:eastAsia="Times New Roman" w:hAnsi="Arial" w:cs="Arial"/>
          <w:color w:val="000000"/>
          <w:sz w:val="20"/>
          <w:szCs w:val="20"/>
          <w:lang w:eastAsia="en-US"/>
        </w:rPr>
      </w:pPr>
    </w:p>
    <w:p w14:paraId="554EF833" w14:textId="2596C68A" w:rsidR="006723BB" w:rsidRPr="006723BB" w:rsidRDefault="006723BB" w:rsidP="00C82988">
      <w:pPr>
        <w:shd w:val="clear" w:color="auto" w:fill="FFFFFF"/>
        <w:spacing w:line="276" w:lineRule="auto"/>
        <w:rPr>
          <w:rFonts w:ascii="Arial" w:eastAsia="Times New Roman" w:hAnsi="Arial" w:cs="Arial"/>
          <w:color w:val="000000"/>
          <w:sz w:val="20"/>
          <w:szCs w:val="20"/>
          <w:lang w:eastAsia="en-US"/>
        </w:rPr>
      </w:pPr>
      <w:r w:rsidRPr="006723BB">
        <w:rPr>
          <w:rFonts w:ascii="Arial" w:eastAsia="Times New Roman" w:hAnsi="Arial" w:cs="Arial"/>
          <w:color w:val="000000"/>
          <w:sz w:val="20"/>
          <w:szCs w:val="20"/>
          <w:lang w:eastAsia="en-US"/>
        </w:rPr>
        <w:t>The second notice</w:t>
      </w:r>
      <w:r w:rsidR="00106354">
        <w:rPr>
          <w:rFonts w:ascii="Arial" w:eastAsia="Times New Roman" w:hAnsi="Arial" w:cs="Arial"/>
          <w:color w:val="000000"/>
          <w:sz w:val="20"/>
          <w:szCs w:val="20"/>
          <w:lang w:eastAsia="en-US"/>
        </w:rPr>
        <w:t xml:space="preserve">, </w:t>
      </w:r>
      <w:hyperlink r:id="rId48" w:history="1">
        <w:r w:rsidR="00106354" w:rsidRPr="00217731">
          <w:rPr>
            <w:rStyle w:val="Hyperlink"/>
            <w:rFonts w:ascii="Arial" w:eastAsia="Times New Roman" w:hAnsi="Arial" w:cs="Arial"/>
            <w:sz w:val="20"/>
            <w:szCs w:val="20"/>
            <w:lang w:eastAsia="en-US"/>
          </w:rPr>
          <w:t>IRS Notice 2020-3</w:t>
        </w:r>
        <w:r w:rsidR="00217731" w:rsidRPr="00217731">
          <w:rPr>
            <w:rStyle w:val="Hyperlink"/>
            <w:rFonts w:ascii="Arial" w:eastAsia="Times New Roman" w:hAnsi="Arial" w:cs="Arial"/>
            <w:sz w:val="20"/>
            <w:szCs w:val="20"/>
            <w:lang w:eastAsia="en-US"/>
          </w:rPr>
          <w:t>3</w:t>
        </w:r>
      </w:hyperlink>
      <w:r w:rsidR="00106354">
        <w:rPr>
          <w:rFonts w:ascii="Arial" w:eastAsia="Times New Roman" w:hAnsi="Arial" w:cs="Arial"/>
          <w:color w:val="000000"/>
          <w:sz w:val="20"/>
          <w:szCs w:val="20"/>
          <w:lang w:eastAsia="en-US"/>
        </w:rPr>
        <w:t>,</w:t>
      </w:r>
      <w:r w:rsidRPr="006723BB">
        <w:rPr>
          <w:rFonts w:ascii="Arial" w:eastAsia="Times New Roman" w:hAnsi="Arial" w:cs="Arial"/>
          <w:color w:val="000000"/>
          <w:sz w:val="20"/>
          <w:szCs w:val="20"/>
          <w:lang w:eastAsia="en-US"/>
        </w:rPr>
        <w:t xml:space="preserve"> increases "the carryover limit (currently $500) of unused amounts remaining as of the end of a plan year in a health Flexible Spending Arrangement (health FSA) under a § 125 cafeteria plan that may be carried over to pay or reimburse a participant for medical care expenses incurred during the following plan year.</w:t>
      </w:r>
      <w:r w:rsidRPr="001433B3">
        <w:rPr>
          <w:rFonts w:ascii="Arial" w:eastAsia="Times New Roman" w:hAnsi="Arial" w:cs="Arial"/>
          <w:color w:val="000000"/>
          <w:sz w:val="20"/>
          <w:szCs w:val="20"/>
          <w:lang w:eastAsia="en-US"/>
        </w:rPr>
        <w:t xml:space="preserve"> </w:t>
      </w:r>
      <w:r w:rsidRPr="006723BB">
        <w:rPr>
          <w:rFonts w:ascii="Arial" w:eastAsia="Times New Roman" w:hAnsi="Arial" w:cs="Arial"/>
          <w:color w:val="000000"/>
          <w:sz w:val="20"/>
          <w:szCs w:val="20"/>
          <w:lang w:eastAsia="en-US"/>
        </w:rPr>
        <w:t>Second, this notice clarifies the ability of a health plan to reimburse individual insurance policy premium expenses incurred prior to the beginning of the plan year for coverage provided during the plan year."</w:t>
      </w:r>
    </w:p>
    <w:p w14:paraId="4746447A" w14:textId="77777777" w:rsidR="00295C14" w:rsidRPr="001433B3" w:rsidRDefault="00295C14" w:rsidP="00593C4D">
      <w:pPr>
        <w:spacing w:line="276" w:lineRule="auto"/>
        <w:rPr>
          <w:rFonts w:ascii="Arial" w:hAnsi="Arial" w:cs="Arial"/>
          <w:color w:val="3D3D3D"/>
          <w:sz w:val="20"/>
          <w:szCs w:val="20"/>
          <w:shd w:val="clear" w:color="auto" w:fill="FFFFFF"/>
        </w:rPr>
      </w:pPr>
    </w:p>
    <w:p w14:paraId="0D189D75" w14:textId="163C1EDA" w:rsidR="00BC5452" w:rsidRPr="00447296" w:rsidRDefault="00E45791" w:rsidP="00593C4D">
      <w:pPr>
        <w:spacing w:line="276" w:lineRule="auto"/>
        <w:rPr>
          <w:rFonts w:ascii="Arial" w:hAnsi="Arial" w:cs="Arial"/>
          <w:color w:val="4C483D" w:themeColor="hyperlink"/>
          <w:sz w:val="20"/>
          <w:szCs w:val="20"/>
          <w:u w:val="single"/>
        </w:rPr>
      </w:pPr>
      <w:r w:rsidRPr="00447296">
        <w:rPr>
          <w:rFonts w:ascii="Arial" w:hAnsi="Arial" w:cs="Arial"/>
          <w:color w:val="3D3D3D"/>
          <w:sz w:val="20"/>
          <w:szCs w:val="20"/>
          <w:shd w:val="clear" w:color="auto" w:fill="FFFFFF"/>
        </w:rPr>
        <w:t xml:space="preserve">More here: </w:t>
      </w:r>
      <w:hyperlink r:id="rId49" w:history="1">
        <w:r w:rsidR="00447296" w:rsidRPr="00447296">
          <w:rPr>
            <w:rStyle w:val="Hyperlink"/>
            <w:rFonts w:ascii="Arial" w:hAnsi="Arial" w:cs="Arial"/>
            <w:sz w:val="20"/>
            <w:szCs w:val="20"/>
          </w:rPr>
          <w:t>https://benefitcomply.com/compliance-alert-agency-guidance-irs-notices-announce-increased-flexibility-for-certain-plans/</w:t>
        </w:r>
      </w:hyperlink>
    </w:p>
    <w:p w14:paraId="2A11C554" w14:textId="06CBFAEA" w:rsidR="008F3B97" w:rsidRDefault="008F3B97" w:rsidP="00593C4D">
      <w:pPr>
        <w:spacing w:line="276" w:lineRule="auto"/>
        <w:rPr>
          <w:rFonts w:ascii="Arial" w:hAnsi="Arial" w:cs="Arial"/>
          <w:sz w:val="20"/>
          <w:szCs w:val="20"/>
        </w:rPr>
      </w:pPr>
    </w:p>
    <w:p w14:paraId="5A659CDA" w14:textId="3E0BDCA9" w:rsidR="008F3B97" w:rsidRPr="00612CEA" w:rsidRDefault="008F3B97" w:rsidP="00593C4D">
      <w:pPr>
        <w:spacing w:line="276" w:lineRule="auto"/>
        <w:rPr>
          <w:rFonts w:ascii="Arial" w:hAnsi="Arial" w:cs="Arial"/>
          <w:b/>
          <w:bCs/>
          <w:color w:val="000000"/>
          <w:sz w:val="20"/>
          <w:szCs w:val="20"/>
          <w:shd w:val="clear" w:color="auto" w:fill="FFFFFF"/>
        </w:rPr>
      </w:pPr>
      <w:r w:rsidRPr="00612CEA">
        <w:rPr>
          <w:rFonts w:ascii="Arial" w:hAnsi="Arial" w:cs="Arial"/>
          <w:b/>
          <w:bCs/>
          <w:color w:val="000000"/>
          <w:sz w:val="20"/>
          <w:szCs w:val="20"/>
          <w:shd w:val="clear" w:color="auto" w:fill="FFFFFF"/>
        </w:rPr>
        <w:t>COVID-19: Benefits-related Checklist</w:t>
      </w:r>
    </w:p>
    <w:p w14:paraId="681D193B" w14:textId="3F5DE478" w:rsidR="00612CEA" w:rsidRPr="00612CEA" w:rsidRDefault="00612CEA" w:rsidP="00593C4D">
      <w:pPr>
        <w:spacing w:line="276" w:lineRule="auto"/>
        <w:rPr>
          <w:rFonts w:ascii="Arial" w:hAnsi="Arial" w:cs="Arial"/>
          <w:color w:val="000000"/>
          <w:sz w:val="20"/>
          <w:szCs w:val="20"/>
          <w:shd w:val="clear" w:color="auto" w:fill="FFFFFF"/>
        </w:rPr>
      </w:pPr>
    </w:p>
    <w:p w14:paraId="1012A8FD" w14:textId="3885C255" w:rsidR="00612CEA" w:rsidRPr="00612CEA" w:rsidRDefault="00612CEA" w:rsidP="00C84AD5">
      <w:pPr>
        <w:spacing w:line="276" w:lineRule="auto"/>
        <w:rPr>
          <w:rFonts w:ascii="Arial" w:hAnsi="Arial" w:cs="Arial"/>
          <w:color w:val="000000"/>
          <w:sz w:val="20"/>
          <w:szCs w:val="20"/>
          <w:shd w:val="clear" w:color="auto" w:fill="FFFFFF"/>
        </w:rPr>
      </w:pPr>
      <w:r w:rsidRPr="00612CEA">
        <w:rPr>
          <w:rFonts w:ascii="Arial" w:hAnsi="Arial" w:cs="Arial"/>
          <w:color w:val="000000"/>
          <w:sz w:val="20"/>
          <w:szCs w:val="20"/>
          <w:shd w:val="clear" w:color="auto" w:fill="FFFFFF"/>
        </w:rPr>
        <w:t>Benefit Comply has put together a checklist summary of legislative and regulatory changes related to COVID-19 that affect employer-sponsored health and welfare benefits. It also includes some temporary actions employers and carriers have taken in response to business and coverage needs during this public health emergency.</w:t>
      </w:r>
    </w:p>
    <w:p w14:paraId="7E7D0DDE" w14:textId="77777777" w:rsidR="00612CEA" w:rsidRPr="00612CEA" w:rsidRDefault="00612CEA" w:rsidP="00593C4D">
      <w:pPr>
        <w:spacing w:line="276" w:lineRule="auto"/>
        <w:rPr>
          <w:rFonts w:ascii="Arial" w:hAnsi="Arial" w:cs="Arial"/>
          <w:color w:val="000000"/>
          <w:sz w:val="20"/>
          <w:szCs w:val="20"/>
          <w:shd w:val="clear" w:color="auto" w:fill="FFFFFF"/>
        </w:rPr>
      </w:pPr>
    </w:p>
    <w:p w14:paraId="2E96421F" w14:textId="6EA7BB4C" w:rsidR="00612CEA" w:rsidRDefault="00612CEA" w:rsidP="00593C4D">
      <w:pPr>
        <w:spacing w:line="276" w:lineRule="auto"/>
        <w:rPr>
          <w:rFonts w:ascii="Arial" w:hAnsi="Arial" w:cs="Arial"/>
          <w:sz w:val="20"/>
          <w:szCs w:val="20"/>
        </w:rPr>
      </w:pPr>
      <w:r w:rsidRPr="00612CEA">
        <w:rPr>
          <w:rFonts w:ascii="Arial" w:hAnsi="Arial" w:cs="Arial"/>
          <w:color w:val="000000"/>
          <w:sz w:val="20"/>
          <w:szCs w:val="20"/>
          <w:shd w:val="clear" w:color="auto" w:fill="FFFFFF"/>
        </w:rPr>
        <w:t xml:space="preserve">The checklist may be found here: </w:t>
      </w:r>
      <w:hyperlink r:id="rId50" w:history="1">
        <w:r w:rsidRPr="00612CEA">
          <w:rPr>
            <w:rStyle w:val="Hyperlink"/>
            <w:rFonts w:ascii="Arial" w:hAnsi="Arial" w:cs="Arial"/>
            <w:sz w:val="20"/>
            <w:szCs w:val="20"/>
          </w:rPr>
          <w:t>https://benefitcomply.com/coronavirus/</w:t>
        </w:r>
      </w:hyperlink>
    </w:p>
    <w:p w14:paraId="33C950F1" w14:textId="4D32EA9E" w:rsidR="00612CEA" w:rsidRPr="00633C48" w:rsidRDefault="00612CEA" w:rsidP="00593C4D">
      <w:pPr>
        <w:spacing w:line="276" w:lineRule="auto"/>
        <w:rPr>
          <w:rFonts w:ascii="Arial" w:hAnsi="Arial" w:cs="Arial"/>
          <w:b/>
          <w:bCs/>
          <w:sz w:val="20"/>
          <w:szCs w:val="20"/>
        </w:rPr>
      </w:pPr>
    </w:p>
    <w:p w14:paraId="67490757" w14:textId="40672CD2" w:rsidR="00A925C6" w:rsidRPr="00633C48" w:rsidRDefault="00A925C6" w:rsidP="00593C4D">
      <w:pPr>
        <w:spacing w:line="276" w:lineRule="auto"/>
        <w:rPr>
          <w:rFonts w:ascii="Arial" w:hAnsi="Arial" w:cs="Arial"/>
          <w:b/>
          <w:bCs/>
          <w:color w:val="000000"/>
          <w:sz w:val="20"/>
          <w:szCs w:val="20"/>
          <w:shd w:val="clear" w:color="auto" w:fill="FFFFFF"/>
        </w:rPr>
      </w:pPr>
      <w:r w:rsidRPr="00633C48">
        <w:rPr>
          <w:rFonts w:ascii="Arial" w:hAnsi="Arial" w:cs="Arial"/>
          <w:b/>
          <w:bCs/>
          <w:color w:val="000000"/>
          <w:sz w:val="20"/>
          <w:szCs w:val="20"/>
          <w:shd w:val="clear" w:color="auto" w:fill="FFFFFF"/>
        </w:rPr>
        <w:t>HSA Requirements and Limits for 2021</w:t>
      </w:r>
    </w:p>
    <w:p w14:paraId="512F4177" w14:textId="77777777" w:rsidR="00633C48" w:rsidRPr="00633C48" w:rsidRDefault="00633C48" w:rsidP="00593C4D">
      <w:pPr>
        <w:spacing w:line="276" w:lineRule="auto"/>
        <w:rPr>
          <w:rFonts w:ascii="Arial" w:hAnsi="Arial" w:cs="Arial"/>
          <w:color w:val="000000"/>
          <w:sz w:val="20"/>
          <w:szCs w:val="20"/>
          <w:shd w:val="clear" w:color="auto" w:fill="FFFFFF"/>
        </w:rPr>
      </w:pPr>
    </w:p>
    <w:p w14:paraId="077B3EB9" w14:textId="778488EF" w:rsidR="00633C48" w:rsidRPr="00633C48" w:rsidRDefault="00B30C6A" w:rsidP="00593C4D">
      <w:pPr>
        <w:spacing w:line="276"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In late May, t</w:t>
      </w:r>
      <w:r w:rsidR="00633C48" w:rsidRPr="00633C48">
        <w:rPr>
          <w:rFonts w:ascii="Arial" w:hAnsi="Arial" w:cs="Arial"/>
          <w:color w:val="000000"/>
          <w:sz w:val="20"/>
          <w:szCs w:val="20"/>
          <w:shd w:val="clear" w:color="auto" w:fill="FFFFFF"/>
        </w:rPr>
        <w:t>he IRS released the 2021 health savings account (HSA) annual contribution limits and high deductible health plan (HDHP) requirements in IRS Rev. Proc. 2020-32.</w:t>
      </w:r>
    </w:p>
    <w:p w14:paraId="17B19451" w14:textId="1293A9E4" w:rsidR="00633C48" w:rsidRPr="00633C48" w:rsidRDefault="00633C48" w:rsidP="00593C4D">
      <w:pPr>
        <w:spacing w:line="276" w:lineRule="auto"/>
        <w:rPr>
          <w:rFonts w:ascii="Arial" w:hAnsi="Arial" w:cs="Arial"/>
          <w:color w:val="000000"/>
          <w:sz w:val="20"/>
          <w:szCs w:val="20"/>
          <w:shd w:val="clear" w:color="auto" w:fill="FFFFFF"/>
        </w:rPr>
      </w:pPr>
    </w:p>
    <w:p w14:paraId="45E947B9" w14:textId="38E9ECDD" w:rsidR="00633C48" w:rsidRDefault="00633C48" w:rsidP="00593C4D">
      <w:pPr>
        <w:spacing w:line="276" w:lineRule="auto"/>
        <w:rPr>
          <w:rFonts w:ascii="Arial" w:hAnsi="Arial" w:cs="Arial"/>
          <w:sz w:val="20"/>
          <w:szCs w:val="20"/>
        </w:rPr>
      </w:pPr>
      <w:r w:rsidRPr="00633C48">
        <w:rPr>
          <w:rFonts w:ascii="Arial" w:hAnsi="Arial" w:cs="Arial"/>
          <w:color w:val="000000"/>
          <w:sz w:val="20"/>
          <w:szCs w:val="20"/>
          <w:shd w:val="clear" w:color="auto" w:fill="FFFFFF"/>
        </w:rPr>
        <w:t xml:space="preserve">More here: </w:t>
      </w:r>
      <w:hyperlink r:id="rId51" w:history="1">
        <w:r w:rsidRPr="00633C48">
          <w:rPr>
            <w:rStyle w:val="Hyperlink"/>
            <w:rFonts w:ascii="Arial" w:hAnsi="Arial" w:cs="Arial"/>
            <w:sz w:val="20"/>
            <w:szCs w:val="20"/>
          </w:rPr>
          <w:t>https://benefitcomply.com/compliance-alert-hsa-requirements-and-limits-for-2021/</w:t>
        </w:r>
      </w:hyperlink>
    </w:p>
    <w:p w14:paraId="0130B8D9" w14:textId="2F018877" w:rsidR="00D71E1A" w:rsidRDefault="00D71E1A" w:rsidP="00593C4D">
      <w:pPr>
        <w:spacing w:line="276" w:lineRule="auto"/>
        <w:rPr>
          <w:rFonts w:ascii="Arial" w:hAnsi="Arial" w:cs="Arial"/>
          <w:sz w:val="20"/>
          <w:szCs w:val="20"/>
        </w:rPr>
      </w:pPr>
    </w:p>
    <w:p w14:paraId="4716D5B5" w14:textId="63574507" w:rsidR="00C84AD5" w:rsidRDefault="00D71E1A" w:rsidP="00C84AD5">
      <w:pPr>
        <w:pStyle w:val="Heading2"/>
        <w:numPr>
          <w:ilvl w:val="0"/>
          <w:numId w:val="0"/>
        </w:numPr>
        <w:shd w:val="clear" w:color="auto" w:fill="FFFFFF"/>
        <w:spacing w:after="0" w:line="240" w:lineRule="auto"/>
        <w:jc w:val="both"/>
        <w:rPr>
          <w:rStyle w:val="Strong"/>
          <w:b/>
          <w:bCs/>
          <w:color w:val="333333"/>
        </w:rPr>
      </w:pPr>
      <w:bookmarkStart w:id="7" w:name="_Toc44580998"/>
      <w:r>
        <w:rPr>
          <w:rStyle w:val="Strong"/>
          <w:b/>
          <w:bCs/>
          <w:color w:val="333333"/>
        </w:rPr>
        <w:t>Reminder: PCORI Fees</w:t>
      </w:r>
      <w:bookmarkEnd w:id="7"/>
    </w:p>
    <w:p w14:paraId="26001535" w14:textId="77777777" w:rsidR="00C84AD5" w:rsidRPr="00C84AD5" w:rsidRDefault="00C84AD5" w:rsidP="00C84AD5">
      <w:pPr>
        <w:rPr>
          <w:lang w:eastAsia="en-US"/>
        </w:rPr>
      </w:pPr>
    </w:p>
    <w:p w14:paraId="674B7826" w14:textId="1BB62712" w:rsidR="00C84AD5" w:rsidRDefault="00D71E1A" w:rsidP="00C84AD5">
      <w:pPr>
        <w:spacing w:line="276" w:lineRule="auto"/>
        <w:rPr>
          <w:rFonts w:ascii="Arial" w:hAnsi="Arial" w:cs="Arial"/>
          <w:sz w:val="20"/>
          <w:szCs w:val="20"/>
          <w:shd w:val="clear" w:color="auto" w:fill="FFFFFF"/>
        </w:rPr>
      </w:pPr>
      <w:r w:rsidRPr="00C84AD5">
        <w:rPr>
          <w:rFonts w:ascii="Arial" w:hAnsi="Arial" w:cs="Arial"/>
          <w:sz w:val="20"/>
          <w:szCs w:val="20"/>
          <w:shd w:val="clear" w:color="auto" w:fill="FFFFFF"/>
        </w:rPr>
        <w:t>Employers who sponsored self-funded medical plans ending sometime during 2019 are required to report and pay the ACA Patient-Centered Outcomes Research Institute (PCORI) fees no later than July 31, 2020. In the spending bill passed late in 2019, the PCORI fee (which was set to expire) was extended another 10 years, and therefore even plans ending in October – December 2019 are subject to the fee. At this time, the IRS has not provided any extension to the July 31</w:t>
      </w:r>
      <w:r w:rsidRPr="00C84AD5">
        <w:rPr>
          <w:rFonts w:ascii="Arial" w:hAnsi="Arial" w:cs="Arial"/>
          <w:sz w:val="20"/>
          <w:szCs w:val="20"/>
          <w:shd w:val="clear" w:color="auto" w:fill="FFFFFF"/>
          <w:vertAlign w:val="superscript"/>
        </w:rPr>
        <w:t>st</w:t>
      </w:r>
      <w:r w:rsidRPr="00C84AD5">
        <w:rPr>
          <w:rFonts w:ascii="Arial" w:hAnsi="Arial" w:cs="Arial"/>
          <w:sz w:val="20"/>
          <w:szCs w:val="20"/>
          <w:shd w:val="clear" w:color="auto" w:fill="FFFFFF"/>
        </w:rPr>
        <w:t> deadline to report and pay the PCORI fee</w:t>
      </w:r>
      <w:r w:rsidR="00C84AD5">
        <w:rPr>
          <w:rFonts w:ascii="Arial" w:hAnsi="Arial" w:cs="Arial"/>
          <w:sz w:val="20"/>
          <w:szCs w:val="20"/>
          <w:shd w:val="clear" w:color="auto" w:fill="FFFFFF"/>
        </w:rPr>
        <w:t>.</w:t>
      </w:r>
    </w:p>
    <w:p w14:paraId="35D1835F" w14:textId="77777777" w:rsidR="00C84AD5" w:rsidRDefault="00C84AD5" w:rsidP="00C84AD5">
      <w:pPr>
        <w:rPr>
          <w:rFonts w:ascii="Arial" w:hAnsi="Arial" w:cs="Arial"/>
          <w:sz w:val="20"/>
          <w:szCs w:val="20"/>
          <w:shd w:val="clear" w:color="auto" w:fill="FFFFFF"/>
        </w:rPr>
      </w:pPr>
    </w:p>
    <w:p w14:paraId="08C1AD81" w14:textId="14C71DDE" w:rsidR="00C84AD5" w:rsidRPr="00C84AD5" w:rsidRDefault="00C84AD5" w:rsidP="00C84AD5">
      <w:pPr>
        <w:rPr>
          <w:rFonts w:ascii="Arial" w:hAnsi="Arial" w:cs="Arial"/>
          <w:sz w:val="20"/>
          <w:szCs w:val="20"/>
          <w:shd w:val="clear" w:color="auto" w:fill="FFFFFF"/>
          <w:lang w:eastAsia="en-US"/>
        </w:rPr>
        <w:sectPr w:rsidR="00C84AD5" w:rsidRPr="00C84AD5" w:rsidSect="002B4808">
          <w:type w:val="continuous"/>
          <w:pgSz w:w="12240" w:h="15840" w:code="1"/>
          <w:pgMar w:top="1080" w:right="1440" w:bottom="1080" w:left="1440" w:header="720" w:footer="720" w:gutter="0"/>
          <w:cols w:space="720"/>
          <w:docGrid w:linePitch="360"/>
        </w:sectPr>
      </w:pPr>
    </w:p>
    <w:p w14:paraId="0929EA2F" w14:textId="5EE2F20E" w:rsidR="00D71E1A" w:rsidRDefault="00D71E1A" w:rsidP="00C84AD5">
      <w:pPr>
        <w:rPr>
          <w:rFonts w:ascii="Arial" w:hAnsi="Arial" w:cs="Arial"/>
          <w:sz w:val="20"/>
          <w:szCs w:val="20"/>
        </w:rPr>
      </w:pPr>
      <w:r w:rsidRPr="00C84AD5">
        <w:rPr>
          <w:rFonts w:ascii="Arial" w:eastAsia="Times New Roman" w:hAnsi="Arial" w:cs="Arial"/>
          <w:color w:val="595959"/>
          <w:sz w:val="20"/>
          <w:szCs w:val="20"/>
          <w:lang w:eastAsia="en-US"/>
        </w:rPr>
        <w:t xml:space="preserve">More here: </w:t>
      </w:r>
      <w:hyperlink r:id="rId52" w:history="1">
        <w:r w:rsidRPr="00C84AD5">
          <w:rPr>
            <w:rStyle w:val="Hyperlink"/>
            <w:rFonts w:ascii="Arial" w:hAnsi="Arial" w:cs="Arial"/>
            <w:sz w:val="20"/>
            <w:szCs w:val="20"/>
          </w:rPr>
          <w:t>https://benefitcomply.com/compliance-alert-reminder-pcori-fees/</w:t>
        </w:r>
      </w:hyperlink>
    </w:p>
    <w:p w14:paraId="436CFE58" w14:textId="1CE6544A" w:rsidR="00CD7C64" w:rsidRDefault="00CD7C64" w:rsidP="00C84AD5">
      <w:pPr>
        <w:rPr>
          <w:rFonts w:ascii="Arial" w:hAnsi="Arial" w:cs="Arial"/>
          <w:sz w:val="20"/>
          <w:szCs w:val="20"/>
        </w:rPr>
      </w:pPr>
    </w:p>
    <w:p w14:paraId="4B3C6343" w14:textId="77777777" w:rsidR="00462068" w:rsidRDefault="00462068" w:rsidP="00C84AD5">
      <w:pPr>
        <w:rPr>
          <w:rFonts w:ascii="Arial" w:hAnsi="Arial" w:cs="Arial"/>
          <w:sz w:val="20"/>
          <w:szCs w:val="20"/>
        </w:rPr>
      </w:pPr>
    </w:p>
    <w:p w14:paraId="39E87731" w14:textId="427FF1B2" w:rsidR="00CD7C64" w:rsidRPr="00462068" w:rsidRDefault="00CD7C64" w:rsidP="00C84AD5">
      <w:pPr>
        <w:rPr>
          <w:rFonts w:ascii="Arial" w:hAnsi="Arial" w:cs="Arial"/>
          <w:b/>
          <w:bCs/>
          <w:sz w:val="20"/>
          <w:szCs w:val="20"/>
        </w:rPr>
      </w:pPr>
      <w:r w:rsidRPr="00462068">
        <w:rPr>
          <w:rFonts w:ascii="Arial" w:hAnsi="Arial" w:cs="Arial"/>
          <w:b/>
          <w:bCs/>
          <w:sz w:val="20"/>
          <w:szCs w:val="20"/>
        </w:rPr>
        <w:t>Updated PCORI Fees Released</w:t>
      </w:r>
    </w:p>
    <w:p w14:paraId="416818F9" w14:textId="7C8843EB" w:rsidR="00CD7C64" w:rsidRDefault="00CD7C64" w:rsidP="00C84AD5">
      <w:pPr>
        <w:rPr>
          <w:rFonts w:ascii="Arial" w:hAnsi="Arial" w:cs="Arial"/>
          <w:sz w:val="20"/>
          <w:szCs w:val="20"/>
        </w:rPr>
      </w:pPr>
    </w:p>
    <w:p w14:paraId="12A28BF4" w14:textId="78D83ED8" w:rsidR="00CD7C64" w:rsidRDefault="00FE6D8F" w:rsidP="00FE6D8F">
      <w:pPr>
        <w:spacing w:line="276" w:lineRule="auto"/>
        <w:rPr>
          <w:rFonts w:ascii="Arial" w:hAnsi="Arial" w:cs="Arial"/>
          <w:color w:val="3D3D3D"/>
          <w:sz w:val="20"/>
          <w:szCs w:val="20"/>
          <w:shd w:val="clear" w:color="auto" w:fill="FFFFFF"/>
        </w:rPr>
      </w:pPr>
      <w:r w:rsidRPr="00FE6D8F">
        <w:rPr>
          <w:rFonts w:ascii="Arial" w:hAnsi="Arial" w:cs="Arial"/>
          <w:color w:val="3D3D3D"/>
          <w:sz w:val="20"/>
          <w:szCs w:val="20"/>
          <w:shd w:val="clear" w:color="auto" w:fill="FFFFFF"/>
        </w:rPr>
        <w:t>In Notice 2020-44, the IRS provided the adjusted PCORI fees for plan years ending in October 2019 through September 2020. The guidance does not provide for an extension of the July 31</w:t>
      </w:r>
      <w:r w:rsidRPr="00FE6D8F">
        <w:rPr>
          <w:rFonts w:ascii="Arial" w:hAnsi="Arial" w:cs="Arial"/>
          <w:color w:val="3D3D3D"/>
          <w:sz w:val="20"/>
          <w:szCs w:val="20"/>
          <w:shd w:val="clear" w:color="auto" w:fill="FFFFFF"/>
          <w:vertAlign w:val="superscript"/>
        </w:rPr>
        <w:t>st</w:t>
      </w:r>
      <w:r w:rsidRPr="00FE6D8F">
        <w:rPr>
          <w:rFonts w:ascii="Arial" w:hAnsi="Arial" w:cs="Arial"/>
          <w:color w:val="3D3D3D"/>
          <w:sz w:val="20"/>
          <w:szCs w:val="20"/>
          <w:shd w:val="clear" w:color="auto" w:fill="FFFFFF"/>
        </w:rPr>
        <w:t> deadline to report and pay the PCORI fee, but there is a bit of relief provided for certain plans in the method used to count covered lives.</w:t>
      </w:r>
    </w:p>
    <w:p w14:paraId="1AEFDE28" w14:textId="55B4EB03" w:rsidR="00FE6D8F" w:rsidRPr="00462068" w:rsidRDefault="00FE6D8F" w:rsidP="00FE6D8F">
      <w:pPr>
        <w:spacing w:line="276" w:lineRule="auto"/>
        <w:rPr>
          <w:rFonts w:ascii="Arial" w:hAnsi="Arial" w:cs="Arial"/>
          <w:color w:val="3D3D3D"/>
          <w:sz w:val="20"/>
          <w:szCs w:val="20"/>
          <w:shd w:val="clear" w:color="auto" w:fill="FFFFFF"/>
        </w:rPr>
      </w:pPr>
    </w:p>
    <w:p w14:paraId="18A8BED0" w14:textId="5D940994" w:rsidR="00FE6D8F" w:rsidRDefault="00FE6D8F" w:rsidP="00FE6D8F">
      <w:pPr>
        <w:spacing w:line="276" w:lineRule="auto"/>
        <w:rPr>
          <w:rFonts w:ascii="Arial" w:hAnsi="Arial" w:cs="Arial"/>
          <w:sz w:val="20"/>
          <w:szCs w:val="20"/>
        </w:rPr>
      </w:pPr>
      <w:r w:rsidRPr="00462068">
        <w:rPr>
          <w:rFonts w:ascii="Arial" w:hAnsi="Arial" w:cs="Arial"/>
          <w:color w:val="3D3D3D"/>
          <w:sz w:val="20"/>
          <w:szCs w:val="20"/>
          <w:shd w:val="clear" w:color="auto" w:fill="FFFFFF"/>
        </w:rPr>
        <w:t xml:space="preserve">More here: </w:t>
      </w:r>
      <w:hyperlink r:id="rId53" w:history="1">
        <w:r w:rsidRPr="00462068">
          <w:rPr>
            <w:rStyle w:val="Hyperlink"/>
            <w:rFonts w:ascii="Arial" w:hAnsi="Arial" w:cs="Arial"/>
            <w:sz w:val="20"/>
            <w:szCs w:val="20"/>
          </w:rPr>
          <w:t>https://benefitcomply.com/compliance-alert-updated-pcori-fees-released/</w:t>
        </w:r>
      </w:hyperlink>
    </w:p>
    <w:p w14:paraId="134063FC" w14:textId="28487FA2" w:rsidR="005A6FAC" w:rsidRDefault="005A6FAC" w:rsidP="00FE6D8F">
      <w:pPr>
        <w:spacing w:line="276" w:lineRule="auto"/>
        <w:rPr>
          <w:rFonts w:ascii="Arial" w:hAnsi="Arial" w:cs="Arial"/>
          <w:sz w:val="20"/>
          <w:szCs w:val="20"/>
        </w:rPr>
      </w:pPr>
    </w:p>
    <w:p w14:paraId="00552F77" w14:textId="663DE3CD" w:rsidR="005A6FAC" w:rsidRDefault="005A6FAC" w:rsidP="00FE6D8F">
      <w:pPr>
        <w:spacing w:line="276" w:lineRule="auto"/>
        <w:rPr>
          <w:rFonts w:ascii="Arial" w:hAnsi="Arial" w:cs="Arial"/>
          <w:b/>
          <w:bCs/>
          <w:sz w:val="20"/>
          <w:szCs w:val="20"/>
        </w:rPr>
      </w:pPr>
      <w:r>
        <w:rPr>
          <w:rFonts w:ascii="Arial" w:hAnsi="Arial" w:cs="Arial"/>
          <w:b/>
          <w:bCs/>
          <w:sz w:val="20"/>
          <w:szCs w:val="20"/>
        </w:rPr>
        <w:t>Agency Update</w:t>
      </w:r>
    </w:p>
    <w:p w14:paraId="6F5925A2" w14:textId="5DCF56CF" w:rsidR="005A6FAC" w:rsidRDefault="005A6FAC" w:rsidP="00FE6D8F">
      <w:pPr>
        <w:spacing w:line="276" w:lineRule="auto"/>
        <w:rPr>
          <w:rFonts w:ascii="Arial" w:hAnsi="Arial" w:cs="Arial"/>
          <w:b/>
          <w:bCs/>
          <w:sz w:val="20"/>
          <w:szCs w:val="20"/>
        </w:rPr>
      </w:pPr>
    </w:p>
    <w:p w14:paraId="3153445A" w14:textId="37B4D2D2" w:rsidR="001C1A6D" w:rsidRPr="001C1A6D" w:rsidRDefault="001C1A6D" w:rsidP="003D72FA">
      <w:pPr>
        <w:shd w:val="clear" w:color="auto" w:fill="FFFFFF"/>
        <w:spacing w:line="276" w:lineRule="auto"/>
        <w:rPr>
          <w:rFonts w:ascii="Arial" w:eastAsia="Times New Roman" w:hAnsi="Arial" w:cs="Arial"/>
          <w:color w:val="000000"/>
          <w:sz w:val="20"/>
          <w:szCs w:val="20"/>
          <w:lang w:eastAsia="en-US"/>
        </w:rPr>
      </w:pPr>
      <w:r w:rsidRPr="003D72FA">
        <w:rPr>
          <w:rFonts w:ascii="Arial" w:eastAsia="Times New Roman" w:hAnsi="Arial" w:cs="Arial"/>
          <w:color w:val="000000"/>
          <w:sz w:val="20"/>
          <w:szCs w:val="20"/>
          <w:lang w:eastAsia="en-US"/>
        </w:rPr>
        <w:t>During the first couple weeks in June</w:t>
      </w:r>
      <w:r w:rsidRPr="001C1A6D">
        <w:rPr>
          <w:rFonts w:ascii="Arial" w:eastAsia="Times New Roman" w:hAnsi="Arial" w:cs="Arial"/>
          <w:color w:val="000000"/>
          <w:sz w:val="20"/>
          <w:szCs w:val="20"/>
          <w:lang w:eastAsia="en-US"/>
        </w:rPr>
        <w:t xml:space="preserve">, the government agencies (the EEOC, IRS, DOL and HHS) held public meetings, released proposed and final rules, and updated forms and fees affecting employee benefit offerings. </w:t>
      </w:r>
      <w:r w:rsidRPr="003D72FA">
        <w:rPr>
          <w:rFonts w:ascii="Arial" w:eastAsia="Times New Roman" w:hAnsi="Arial" w:cs="Arial"/>
          <w:color w:val="000000"/>
          <w:sz w:val="20"/>
          <w:szCs w:val="20"/>
          <w:lang w:eastAsia="en-US"/>
        </w:rPr>
        <w:t xml:space="preserve">This alert summarizes the following items: </w:t>
      </w:r>
    </w:p>
    <w:p w14:paraId="6271FC4C" w14:textId="77777777" w:rsidR="001C1A6D" w:rsidRPr="001C1A6D" w:rsidRDefault="001C1A6D" w:rsidP="003D72FA">
      <w:pPr>
        <w:numPr>
          <w:ilvl w:val="0"/>
          <w:numId w:val="39"/>
        </w:numPr>
        <w:shd w:val="clear" w:color="auto" w:fill="FFFFFF"/>
        <w:spacing w:before="100" w:beforeAutospacing="1" w:after="100" w:afterAutospacing="1" w:line="276" w:lineRule="auto"/>
        <w:rPr>
          <w:rFonts w:ascii="Arial" w:eastAsia="Times New Roman" w:hAnsi="Arial" w:cs="Arial"/>
          <w:color w:val="000000"/>
          <w:sz w:val="20"/>
          <w:szCs w:val="20"/>
          <w:lang w:eastAsia="en-US"/>
        </w:rPr>
      </w:pPr>
      <w:r w:rsidRPr="001C1A6D">
        <w:rPr>
          <w:rFonts w:ascii="Arial" w:eastAsia="Times New Roman" w:hAnsi="Arial" w:cs="Arial"/>
          <w:color w:val="000000"/>
          <w:sz w:val="20"/>
          <w:szCs w:val="20"/>
          <w:lang w:eastAsia="en-US"/>
        </w:rPr>
        <w:t>PCORI Fee - Updated Form 720</w:t>
      </w:r>
    </w:p>
    <w:p w14:paraId="49E8D403" w14:textId="77777777" w:rsidR="001C1A6D" w:rsidRPr="001C1A6D" w:rsidRDefault="001C1A6D" w:rsidP="003D72FA">
      <w:pPr>
        <w:numPr>
          <w:ilvl w:val="0"/>
          <w:numId w:val="39"/>
        </w:numPr>
        <w:shd w:val="clear" w:color="auto" w:fill="FFFFFF"/>
        <w:spacing w:before="100" w:beforeAutospacing="1" w:after="100" w:afterAutospacing="1" w:line="276" w:lineRule="auto"/>
        <w:rPr>
          <w:rFonts w:ascii="Arial" w:eastAsia="Times New Roman" w:hAnsi="Arial" w:cs="Arial"/>
          <w:color w:val="000000"/>
          <w:sz w:val="20"/>
          <w:szCs w:val="20"/>
          <w:lang w:eastAsia="en-US"/>
        </w:rPr>
      </w:pPr>
      <w:r w:rsidRPr="001C1A6D">
        <w:rPr>
          <w:rFonts w:ascii="Arial" w:eastAsia="Times New Roman" w:hAnsi="Arial" w:cs="Arial"/>
          <w:color w:val="000000"/>
          <w:sz w:val="20"/>
          <w:szCs w:val="20"/>
          <w:lang w:eastAsia="en-US"/>
        </w:rPr>
        <w:t>Qualifying Medical Expenses - Direct Primary Care &amp; Health Care Sharing Ministries</w:t>
      </w:r>
    </w:p>
    <w:p w14:paraId="041A6038" w14:textId="77777777" w:rsidR="001C1A6D" w:rsidRPr="001C1A6D" w:rsidRDefault="001C1A6D" w:rsidP="003D72FA">
      <w:pPr>
        <w:numPr>
          <w:ilvl w:val="0"/>
          <w:numId w:val="39"/>
        </w:numPr>
        <w:shd w:val="clear" w:color="auto" w:fill="FFFFFF"/>
        <w:spacing w:before="100" w:beforeAutospacing="1" w:after="100" w:afterAutospacing="1" w:line="276" w:lineRule="auto"/>
        <w:rPr>
          <w:rFonts w:ascii="Arial" w:eastAsia="Times New Roman" w:hAnsi="Arial" w:cs="Arial"/>
          <w:color w:val="000000"/>
          <w:sz w:val="20"/>
          <w:szCs w:val="20"/>
          <w:lang w:eastAsia="en-US"/>
        </w:rPr>
      </w:pPr>
      <w:r w:rsidRPr="001C1A6D">
        <w:rPr>
          <w:rFonts w:ascii="Arial" w:eastAsia="Times New Roman" w:hAnsi="Arial" w:cs="Arial"/>
          <w:color w:val="000000"/>
          <w:sz w:val="20"/>
          <w:szCs w:val="20"/>
          <w:lang w:eastAsia="en-US"/>
        </w:rPr>
        <w:t>EEOC Wellness Rules - Notice of Proposed Rules</w:t>
      </w:r>
    </w:p>
    <w:p w14:paraId="02E9F1C1" w14:textId="77777777" w:rsidR="001C1A6D" w:rsidRPr="001C1A6D" w:rsidRDefault="001C1A6D" w:rsidP="003D72FA">
      <w:pPr>
        <w:numPr>
          <w:ilvl w:val="0"/>
          <w:numId w:val="39"/>
        </w:numPr>
        <w:shd w:val="clear" w:color="auto" w:fill="FFFFFF"/>
        <w:spacing w:before="100" w:beforeAutospacing="1" w:after="100" w:afterAutospacing="1" w:line="276" w:lineRule="auto"/>
        <w:rPr>
          <w:rFonts w:ascii="Arial" w:eastAsia="Times New Roman" w:hAnsi="Arial" w:cs="Arial"/>
          <w:color w:val="000000"/>
          <w:sz w:val="20"/>
          <w:szCs w:val="20"/>
          <w:lang w:eastAsia="en-US"/>
        </w:rPr>
      </w:pPr>
      <w:r w:rsidRPr="001C1A6D">
        <w:rPr>
          <w:rFonts w:ascii="Arial" w:eastAsia="Times New Roman" w:hAnsi="Arial" w:cs="Arial"/>
          <w:color w:val="000000"/>
          <w:sz w:val="20"/>
          <w:szCs w:val="20"/>
          <w:lang w:eastAsia="en-US"/>
        </w:rPr>
        <w:t>§1557 Nondiscrimination Rules Modified</w:t>
      </w:r>
    </w:p>
    <w:p w14:paraId="76421A7D" w14:textId="69399D8F" w:rsidR="005A6FAC" w:rsidRDefault="001C1A6D" w:rsidP="00FE6D8F">
      <w:pPr>
        <w:spacing w:line="276" w:lineRule="auto"/>
        <w:rPr>
          <w:rFonts w:ascii="Arial" w:hAnsi="Arial" w:cs="Arial"/>
          <w:sz w:val="20"/>
          <w:szCs w:val="20"/>
        </w:rPr>
      </w:pPr>
      <w:r w:rsidRPr="003D72FA">
        <w:rPr>
          <w:rFonts w:ascii="Arial" w:hAnsi="Arial" w:cs="Arial"/>
          <w:sz w:val="20"/>
          <w:szCs w:val="20"/>
        </w:rPr>
        <w:lastRenderedPageBreak/>
        <w:t xml:space="preserve">More here: </w:t>
      </w:r>
      <w:hyperlink r:id="rId54" w:history="1">
        <w:r w:rsidR="003D72FA" w:rsidRPr="003D72FA">
          <w:rPr>
            <w:rStyle w:val="Hyperlink"/>
            <w:rFonts w:ascii="Arial" w:hAnsi="Arial" w:cs="Arial"/>
            <w:sz w:val="20"/>
            <w:szCs w:val="20"/>
          </w:rPr>
          <w:t>https://benefitcomply.com/compliance-alert-agency-updates/</w:t>
        </w:r>
      </w:hyperlink>
    </w:p>
    <w:p w14:paraId="625E64A5" w14:textId="2810A1B7" w:rsidR="001501CB" w:rsidRDefault="001501CB" w:rsidP="00FE6D8F">
      <w:pPr>
        <w:spacing w:line="276" w:lineRule="auto"/>
        <w:rPr>
          <w:rFonts w:ascii="Arial" w:hAnsi="Arial" w:cs="Arial"/>
          <w:sz w:val="20"/>
          <w:szCs w:val="20"/>
        </w:rPr>
      </w:pPr>
    </w:p>
    <w:p w14:paraId="2118A8A6" w14:textId="768B6826" w:rsidR="001501CB" w:rsidRPr="00D76DBE" w:rsidRDefault="001501CB" w:rsidP="00D76DBE">
      <w:pPr>
        <w:jc w:val="both"/>
        <w:rPr>
          <w:rFonts w:ascii="Arial" w:hAnsi="Arial" w:cs="Arial"/>
          <w:b/>
          <w:bCs/>
          <w:color w:val="000000"/>
          <w:sz w:val="20"/>
          <w:szCs w:val="20"/>
          <w:shd w:val="clear" w:color="auto" w:fill="FFFFFF"/>
        </w:rPr>
      </w:pPr>
      <w:r w:rsidRPr="00D76DBE">
        <w:rPr>
          <w:rFonts w:ascii="Arial" w:hAnsi="Arial" w:cs="Arial"/>
          <w:b/>
          <w:bCs/>
          <w:color w:val="000000"/>
          <w:sz w:val="20"/>
          <w:szCs w:val="20"/>
          <w:shd w:val="clear" w:color="auto" w:fill="FFFFFF"/>
        </w:rPr>
        <w:t>COBRA Merger &amp; Acquisition (M&amp;A) Considerations</w:t>
      </w:r>
    </w:p>
    <w:p w14:paraId="5D2761E1" w14:textId="77777777" w:rsidR="00D76DBE" w:rsidRPr="00D76DBE" w:rsidRDefault="00D76DBE" w:rsidP="00D76DBE">
      <w:pPr>
        <w:jc w:val="both"/>
        <w:rPr>
          <w:rFonts w:ascii="Arial" w:hAnsi="Arial" w:cs="Arial"/>
          <w:color w:val="000000"/>
          <w:sz w:val="20"/>
          <w:szCs w:val="20"/>
          <w:shd w:val="clear" w:color="auto" w:fill="FFFFFF"/>
        </w:rPr>
      </w:pPr>
    </w:p>
    <w:p w14:paraId="0485D0EB" w14:textId="5BDD6F88" w:rsidR="00D76DBE" w:rsidRPr="00D76DBE" w:rsidRDefault="00D76DBE" w:rsidP="00D76DBE">
      <w:pPr>
        <w:spacing w:line="276" w:lineRule="auto"/>
        <w:jc w:val="both"/>
        <w:rPr>
          <w:rFonts w:ascii="Arial" w:hAnsi="Arial" w:cs="Arial"/>
          <w:sz w:val="20"/>
          <w:szCs w:val="20"/>
        </w:rPr>
      </w:pPr>
      <w:r w:rsidRPr="00D76DBE">
        <w:rPr>
          <w:rFonts w:ascii="Arial" w:hAnsi="Arial" w:cs="Arial"/>
          <w:color w:val="000000"/>
          <w:sz w:val="20"/>
          <w:szCs w:val="20"/>
          <w:shd w:val="clear" w:color="auto" w:fill="FFFFFF"/>
        </w:rPr>
        <w:t xml:space="preserve">For employers involved in mergers and acquisitions (M&amp;As), benefits are just one of the many </w:t>
      </w:r>
      <w:proofErr w:type="gramStart"/>
      <w:r w:rsidRPr="00D76DBE">
        <w:rPr>
          <w:rFonts w:ascii="Arial" w:hAnsi="Arial" w:cs="Arial"/>
          <w:color w:val="000000"/>
          <w:sz w:val="20"/>
          <w:szCs w:val="20"/>
          <w:shd w:val="clear" w:color="auto" w:fill="FFFFFF"/>
        </w:rPr>
        <w:t>factors</w:t>
      </w:r>
      <w:proofErr w:type="gramEnd"/>
      <w:r w:rsidRPr="00D76DBE">
        <w:rPr>
          <w:rFonts w:ascii="Arial" w:hAnsi="Arial" w:cs="Arial"/>
          <w:color w:val="000000"/>
          <w:sz w:val="20"/>
          <w:szCs w:val="20"/>
          <w:shd w:val="clear" w:color="auto" w:fill="FFFFFF"/>
        </w:rPr>
        <w:t xml:space="preserve"> employers must consider and handle. Many employers going through an M&amp;A transaction address benefits later in the process than they should, but COBRA is often not addressed at all; and failing to offer COBRA risks civil penalties as well as medical claims coverage costs for affected individuals. When a merger or an acquisition takes place, generally the seller must offer COBRA, unless the seller discontinues all group health plans or the parties agree contractually to different terms. If the seller discontinues all group health plan offerings, then the obligation may transfer to the buyer. The obligations differ a bit depending upon whether a stock or an asset purchase took place.</w:t>
      </w:r>
    </w:p>
    <w:p w14:paraId="67ADD1DB" w14:textId="75E5BA6D" w:rsidR="00196381" w:rsidRPr="004E5D02" w:rsidRDefault="00196381" w:rsidP="00AD44D9">
      <w:pPr>
        <w:spacing w:line="360" w:lineRule="auto"/>
        <w:rPr>
          <w:rFonts w:ascii="Arial" w:eastAsia="Times New Roman" w:hAnsi="Arial" w:cs="Arial"/>
          <w:color w:val="595959"/>
          <w:sz w:val="20"/>
          <w:szCs w:val="20"/>
          <w:lang w:eastAsia="en-US"/>
        </w:rPr>
      </w:pPr>
    </w:p>
    <w:p w14:paraId="342CF78F" w14:textId="6D30412F" w:rsidR="007A6C33" w:rsidRDefault="00D76DBE" w:rsidP="00AD44D9">
      <w:pPr>
        <w:spacing w:line="360" w:lineRule="auto"/>
        <w:rPr>
          <w:rFonts w:ascii="Arial" w:hAnsi="Arial" w:cs="Arial"/>
          <w:sz w:val="20"/>
          <w:szCs w:val="20"/>
        </w:rPr>
      </w:pPr>
      <w:r w:rsidRPr="004E5D02">
        <w:rPr>
          <w:rFonts w:ascii="Arial" w:eastAsia="Times New Roman" w:hAnsi="Arial" w:cs="Arial"/>
          <w:color w:val="595959"/>
          <w:sz w:val="20"/>
          <w:szCs w:val="20"/>
          <w:lang w:eastAsia="en-US"/>
        </w:rPr>
        <w:t xml:space="preserve">More here: </w:t>
      </w:r>
      <w:hyperlink r:id="rId55" w:history="1">
        <w:r w:rsidR="004E5D02" w:rsidRPr="004E5D02">
          <w:rPr>
            <w:rStyle w:val="Hyperlink"/>
            <w:rFonts w:ascii="Arial" w:hAnsi="Arial" w:cs="Arial"/>
            <w:sz w:val="20"/>
            <w:szCs w:val="20"/>
          </w:rPr>
          <w:t>https://benefitcomply.com/issue-brief-cobra-merger-acquisition-ma-considerations/</w:t>
        </w:r>
      </w:hyperlink>
    </w:p>
    <w:p w14:paraId="6F41A32E" w14:textId="77777777" w:rsidR="000D2BC5" w:rsidRPr="000D2BC5" w:rsidRDefault="000D2BC5" w:rsidP="00AD44D9">
      <w:pPr>
        <w:spacing w:line="360" w:lineRule="auto"/>
        <w:rPr>
          <w:rFonts w:ascii="Arial" w:hAnsi="Arial" w:cs="Arial"/>
          <w:sz w:val="20"/>
          <w:szCs w:val="20"/>
        </w:rPr>
      </w:pPr>
    </w:p>
    <w:p w14:paraId="7E4328ED" w14:textId="53F9E0AC" w:rsidR="00846F77" w:rsidRPr="00D312AA" w:rsidRDefault="00C65FEF" w:rsidP="00AD44D9">
      <w:pPr>
        <w:spacing w:line="360" w:lineRule="auto"/>
        <w:rPr>
          <w:rFonts w:ascii="Arial" w:hAnsi="Arial" w:cs="Arial"/>
          <w:b/>
          <w:bCs/>
          <w:color w:val="0070C0"/>
          <w:sz w:val="32"/>
          <w:szCs w:val="32"/>
        </w:rPr>
      </w:pPr>
      <w:r w:rsidRPr="00D312AA">
        <w:rPr>
          <w:rFonts w:ascii="Arial" w:hAnsi="Arial" w:cs="Arial"/>
          <w:b/>
          <w:bCs/>
          <w:color w:val="0070C0"/>
          <w:sz w:val="32"/>
          <w:szCs w:val="32"/>
        </w:rPr>
        <w:t>Quarterly Q&amp;A</w:t>
      </w:r>
    </w:p>
    <w:p w14:paraId="41C042B8" w14:textId="11EE9D55" w:rsidR="007419D6" w:rsidRPr="00E20BEB" w:rsidRDefault="007419D6" w:rsidP="007419D6">
      <w:pPr>
        <w:shd w:val="clear" w:color="auto" w:fill="FFFFFF"/>
        <w:rPr>
          <w:rFonts w:ascii="Arial" w:eastAsia="Times New Roman" w:hAnsi="Arial" w:cs="Arial"/>
          <w:color w:val="191E23"/>
          <w:sz w:val="20"/>
          <w:szCs w:val="20"/>
          <w:lang w:eastAsia="en-US"/>
        </w:rPr>
      </w:pPr>
      <w:r w:rsidRPr="007419D6">
        <w:rPr>
          <w:rFonts w:ascii="Arial" w:eastAsia="Times New Roman" w:hAnsi="Arial" w:cs="Arial"/>
          <w:b/>
          <w:bCs/>
          <w:color w:val="191E23"/>
          <w:sz w:val="20"/>
          <w:szCs w:val="20"/>
          <w:lang w:eastAsia="en-US"/>
        </w:rPr>
        <w:t>Question:</w:t>
      </w:r>
      <w:r w:rsidRPr="007419D6">
        <w:rPr>
          <w:rFonts w:ascii="Arial" w:eastAsia="Times New Roman" w:hAnsi="Arial" w:cs="Arial"/>
          <w:color w:val="191E23"/>
          <w:sz w:val="20"/>
          <w:szCs w:val="20"/>
          <w:lang w:eastAsia="en-US"/>
        </w:rPr>
        <w:t xml:space="preserve"> An applicable large employer using the rate-of-pay safe harbor to set employee premium rates has recently furloughed a portion of its employees. In other words, these individuals are still employed, but they are on an unpaid leave of absence. However, because the employer is using the look-back measurement method, most of these employees remain considered full-time for purposes of whether penalties would apply under Code §4980H.</w:t>
      </w:r>
    </w:p>
    <w:p w14:paraId="33CCB8E0" w14:textId="77777777" w:rsidR="00E20BEB" w:rsidRPr="007419D6" w:rsidRDefault="00E20BEB" w:rsidP="007419D6">
      <w:pPr>
        <w:shd w:val="clear" w:color="auto" w:fill="FFFFFF"/>
        <w:rPr>
          <w:rFonts w:ascii="Arial" w:eastAsia="Times New Roman" w:hAnsi="Arial" w:cs="Arial"/>
          <w:color w:val="191E23"/>
          <w:sz w:val="20"/>
          <w:szCs w:val="20"/>
          <w:lang w:eastAsia="en-US"/>
        </w:rPr>
      </w:pPr>
    </w:p>
    <w:p w14:paraId="07CC62B7" w14:textId="79F22694" w:rsidR="007419D6" w:rsidRPr="00E20BEB" w:rsidRDefault="007419D6" w:rsidP="007419D6">
      <w:pPr>
        <w:shd w:val="clear" w:color="auto" w:fill="FFFFFF"/>
        <w:rPr>
          <w:rFonts w:ascii="Arial" w:eastAsia="Times New Roman" w:hAnsi="Arial" w:cs="Arial"/>
          <w:color w:val="191E23"/>
          <w:sz w:val="20"/>
          <w:szCs w:val="20"/>
          <w:lang w:eastAsia="en-US"/>
        </w:rPr>
      </w:pPr>
      <w:r w:rsidRPr="007419D6">
        <w:rPr>
          <w:rFonts w:ascii="Arial" w:eastAsia="Times New Roman" w:hAnsi="Arial" w:cs="Arial"/>
          <w:color w:val="191E23"/>
          <w:sz w:val="20"/>
          <w:szCs w:val="20"/>
          <w:lang w:eastAsia="en-US"/>
        </w:rPr>
        <w:t>The employer’s coverage was considered affordable for employees before they were put on furlough. However, since employees are unpaid during this leave, the employer is concerned that the coverage it offers will no longer be considered affordable. Will the employer’s coverage remain affordable during the time that employees are on furlough?</w:t>
      </w:r>
    </w:p>
    <w:p w14:paraId="59BEEEC8" w14:textId="77777777" w:rsidR="00E20BEB" w:rsidRPr="007419D6" w:rsidRDefault="00E20BEB" w:rsidP="007419D6">
      <w:pPr>
        <w:shd w:val="clear" w:color="auto" w:fill="FFFFFF"/>
        <w:rPr>
          <w:rFonts w:ascii="Arial" w:eastAsia="Times New Roman" w:hAnsi="Arial" w:cs="Arial"/>
          <w:color w:val="191E23"/>
          <w:sz w:val="20"/>
          <w:szCs w:val="20"/>
          <w:lang w:eastAsia="en-US"/>
        </w:rPr>
      </w:pPr>
    </w:p>
    <w:p w14:paraId="52708DB5" w14:textId="77777777" w:rsidR="00E20BEB" w:rsidRPr="00E20BEB" w:rsidRDefault="007419D6" w:rsidP="00E20BEB">
      <w:pPr>
        <w:shd w:val="clear" w:color="auto" w:fill="FFFFFF"/>
        <w:ind w:left="720"/>
        <w:rPr>
          <w:rFonts w:ascii="Arial" w:eastAsia="Times New Roman" w:hAnsi="Arial" w:cs="Arial"/>
          <w:color w:val="191E23"/>
          <w:sz w:val="20"/>
          <w:szCs w:val="20"/>
          <w:lang w:eastAsia="en-US"/>
        </w:rPr>
      </w:pPr>
      <w:r w:rsidRPr="007419D6">
        <w:rPr>
          <w:rFonts w:ascii="Arial" w:eastAsia="Times New Roman" w:hAnsi="Arial" w:cs="Arial"/>
          <w:b/>
          <w:bCs/>
          <w:color w:val="191E23"/>
          <w:sz w:val="20"/>
          <w:szCs w:val="20"/>
          <w:lang w:eastAsia="en-US"/>
        </w:rPr>
        <w:t>A:</w:t>
      </w:r>
      <w:r w:rsidRPr="007419D6">
        <w:rPr>
          <w:rFonts w:ascii="Arial" w:eastAsia="Times New Roman" w:hAnsi="Arial" w:cs="Arial"/>
          <w:color w:val="191E23"/>
          <w:sz w:val="20"/>
          <w:szCs w:val="20"/>
          <w:lang w:eastAsia="en-US"/>
        </w:rPr>
        <w:t xml:space="preserve"> If the employees’ rate of pay has not changed and the premiums do not change, coverage will remain affordable during the furlough.</w:t>
      </w:r>
    </w:p>
    <w:p w14:paraId="6C590B6C" w14:textId="77777777" w:rsidR="00E20BEB" w:rsidRPr="00E20BEB" w:rsidRDefault="007419D6" w:rsidP="00E20BEB">
      <w:pPr>
        <w:shd w:val="clear" w:color="auto" w:fill="FFFFFF"/>
        <w:ind w:left="720"/>
        <w:rPr>
          <w:rFonts w:ascii="Arial" w:eastAsia="Times New Roman" w:hAnsi="Arial" w:cs="Arial"/>
          <w:color w:val="191E23"/>
          <w:sz w:val="20"/>
          <w:szCs w:val="20"/>
          <w:lang w:eastAsia="en-US"/>
        </w:rPr>
      </w:pPr>
      <w:r w:rsidRPr="007419D6">
        <w:rPr>
          <w:rFonts w:ascii="Arial" w:eastAsia="Times New Roman" w:hAnsi="Arial" w:cs="Arial"/>
          <w:color w:val="191E23"/>
          <w:sz w:val="20"/>
          <w:szCs w:val="20"/>
          <w:lang w:eastAsia="en-US"/>
        </w:rPr>
        <w:br/>
      </w:r>
      <w:r w:rsidRPr="007419D6">
        <w:rPr>
          <w:rFonts w:ascii="Arial" w:eastAsia="Times New Roman" w:hAnsi="Arial" w:cs="Arial"/>
          <w:b/>
          <w:bCs/>
          <w:color w:val="191E23"/>
          <w:sz w:val="20"/>
          <w:szCs w:val="20"/>
          <w:lang w:eastAsia="en-US"/>
        </w:rPr>
        <w:t>B:</w:t>
      </w:r>
      <w:r w:rsidRPr="007419D6">
        <w:rPr>
          <w:rFonts w:ascii="Arial" w:eastAsia="Times New Roman" w:hAnsi="Arial" w:cs="Arial"/>
          <w:color w:val="191E23"/>
          <w:sz w:val="20"/>
          <w:szCs w:val="20"/>
          <w:lang w:eastAsia="en-US"/>
        </w:rPr>
        <w:t xml:space="preserve"> The employer will not be able to tell whether coverage is affordable until the employees’ W-2s are finalized.</w:t>
      </w:r>
    </w:p>
    <w:p w14:paraId="46F3C01A" w14:textId="42F92DA6" w:rsidR="007419D6" w:rsidRPr="007419D6" w:rsidRDefault="007419D6" w:rsidP="00E20BEB">
      <w:pPr>
        <w:shd w:val="clear" w:color="auto" w:fill="FFFFFF"/>
        <w:ind w:left="720"/>
        <w:rPr>
          <w:rFonts w:ascii="Arial" w:eastAsia="Times New Roman" w:hAnsi="Arial" w:cs="Arial"/>
          <w:color w:val="191E23"/>
          <w:sz w:val="20"/>
          <w:szCs w:val="20"/>
          <w:lang w:eastAsia="en-US"/>
        </w:rPr>
      </w:pPr>
      <w:r w:rsidRPr="007419D6">
        <w:rPr>
          <w:rFonts w:ascii="Arial" w:eastAsia="Times New Roman" w:hAnsi="Arial" w:cs="Arial"/>
          <w:color w:val="191E23"/>
          <w:sz w:val="20"/>
          <w:szCs w:val="20"/>
          <w:lang w:eastAsia="en-US"/>
        </w:rPr>
        <w:br/>
      </w:r>
      <w:r w:rsidRPr="007419D6">
        <w:rPr>
          <w:rFonts w:ascii="Arial" w:eastAsia="Times New Roman" w:hAnsi="Arial" w:cs="Arial"/>
          <w:b/>
          <w:bCs/>
          <w:color w:val="191E23"/>
          <w:sz w:val="20"/>
          <w:szCs w:val="20"/>
          <w:lang w:eastAsia="en-US"/>
        </w:rPr>
        <w:t xml:space="preserve">C: </w:t>
      </w:r>
      <w:r w:rsidRPr="007419D6">
        <w:rPr>
          <w:rFonts w:ascii="Arial" w:eastAsia="Times New Roman" w:hAnsi="Arial" w:cs="Arial"/>
          <w:color w:val="191E23"/>
          <w:sz w:val="20"/>
          <w:szCs w:val="20"/>
          <w:lang w:eastAsia="en-US"/>
        </w:rPr>
        <w:t>The coverage will not be affordable during furlough since the employees will not be paid.</w:t>
      </w:r>
    </w:p>
    <w:p w14:paraId="4E2D4B43" w14:textId="77777777" w:rsidR="00E20BEB" w:rsidRPr="00E20BEB" w:rsidRDefault="00E20BEB" w:rsidP="007419D6">
      <w:pPr>
        <w:shd w:val="clear" w:color="auto" w:fill="FFFFFF"/>
        <w:rPr>
          <w:rFonts w:ascii="Arial" w:eastAsia="Times New Roman" w:hAnsi="Arial" w:cs="Arial"/>
          <w:b/>
          <w:bCs/>
          <w:color w:val="191E23"/>
          <w:sz w:val="20"/>
          <w:szCs w:val="20"/>
          <w:lang w:eastAsia="en-US"/>
        </w:rPr>
      </w:pPr>
    </w:p>
    <w:p w14:paraId="101D7313" w14:textId="1757890C" w:rsidR="007419D6" w:rsidRPr="007419D6" w:rsidRDefault="007419D6" w:rsidP="007419D6">
      <w:pPr>
        <w:shd w:val="clear" w:color="auto" w:fill="FFFFFF"/>
        <w:rPr>
          <w:rFonts w:ascii="Arial" w:eastAsia="Times New Roman" w:hAnsi="Arial" w:cs="Arial"/>
          <w:color w:val="191E23"/>
          <w:sz w:val="20"/>
          <w:szCs w:val="20"/>
          <w:lang w:eastAsia="en-US"/>
        </w:rPr>
      </w:pPr>
      <w:r w:rsidRPr="007419D6">
        <w:rPr>
          <w:rFonts w:ascii="Arial" w:eastAsia="Times New Roman" w:hAnsi="Arial" w:cs="Arial"/>
          <w:b/>
          <w:bCs/>
          <w:color w:val="191E23"/>
          <w:sz w:val="20"/>
          <w:szCs w:val="20"/>
          <w:lang w:eastAsia="en-US"/>
        </w:rPr>
        <w:t>Answer</w:t>
      </w:r>
      <w:r w:rsidRPr="007419D6">
        <w:rPr>
          <w:rFonts w:ascii="Arial" w:eastAsia="Times New Roman" w:hAnsi="Arial" w:cs="Arial"/>
          <w:color w:val="191E23"/>
          <w:sz w:val="20"/>
          <w:szCs w:val="20"/>
          <w:lang w:eastAsia="en-US"/>
        </w:rPr>
        <w:t xml:space="preserve">: </w:t>
      </w:r>
      <w:r w:rsidRPr="007419D6">
        <w:rPr>
          <w:rFonts w:ascii="Arial" w:eastAsia="Times New Roman" w:hAnsi="Arial" w:cs="Arial"/>
          <w:b/>
          <w:bCs/>
          <w:color w:val="191E23"/>
          <w:sz w:val="20"/>
          <w:szCs w:val="20"/>
          <w:lang w:eastAsia="en-US"/>
        </w:rPr>
        <w:t xml:space="preserve">A. </w:t>
      </w:r>
      <w:r w:rsidRPr="007419D6">
        <w:rPr>
          <w:rFonts w:ascii="Arial" w:eastAsia="Times New Roman" w:hAnsi="Arial" w:cs="Arial"/>
          <w:color w:val="191E23"/>
          <w:sz w:val="20"/>
          <w:szCs w:val="20"/>
          <w:lang w:eastAsia="en-US"/>
        </w:rPr>
        <w:t>If the employees' rate of pay has not changed and the premiums do not change, coverage will remain affordable during the furlough.</w:t>
      </w:r>
    </w:p>
    <w:p w14:paraId="45692687" w14:textId="77777777" w:rsidR="00E20BEB" w:rsidRPr="00E20BEB" w:rsidRDefault="00E20BEB" w:rsidP="007419D6">
      <w:pPr>
        <w:shd w:val="clear" w:color="auto" w:fill="FFFFFF"/>
        <w:rPr>
          <w:rFonts w:ascii="Arial" w:eastAsia="Times New Roman" w:hAnsi="Arial" w:cs="Arial"/>
          <w:b/>
          <w:bCs/>
          <w:color w:val="191E23"/>
          <w:sz w:val="20"/>
          <w:szCs w:val="20"/>
          <w:lang w:eastAsia="en-US"/>
        </w:rPr>
      </w:pPr>
    </w:p>
    <w:p w14:paraId="54D45A45" w14:textId="14316129" w:rsidR="007419D6" w:rsidRPr="007419D6" w:rsidRDefault="007419D6" w:rsidP="007419D6">
      <w:pPr>
        <w:shd w:val="clear" w:color="auto" w:fill="FFFFFF"/>
        <w:rPr>
          <w:rFonts w:ascii="Arial" w:eastAsia="Times New Roman" w:hAnsi="Arial" w:cs="Arial"/>
          <w:i/>
          <w:iCs/>
          <w:color w:val="191E23"/>
          <w:sz w:val="20"/>
          <w:szCs w:val="20"/>
          <w:lang w:eastAsia="en-US"/>
        </w:rPr>
      </w:pPr>
      <w:r w:rsidRPr="007419D6">
        <w:rPr>
          <w:rFonts w:ascii="Arial" w:eastAsia="Times New Roman" w:hAnsi="Arial" w:cs="Arial"/>
          <w:i/>
          <w:iCs/>
          <w:color w:val="191E23"/>
          <w:sz w:val="20"/>
          <w:szCs w:val="20"/>
          <w:lang w:eastAsia="en-US"/>
        </w:rPr>
        <w:t>Background</w:t>
      </w:r>
    </w:p>
    <w:p w14:paraId="7197F602" w14:textId="77777777" w:rsidR="007419D6" w:rsidRPr="007419D6" w:rsidRDefault="007419D6" w:rsidP="007419D6">
      <w:pPr>
        <w:shd w:val="clear" w:color="auto" w:fill="FFFFFF"/>
        <w:rPr>
          <w:rFonts w:ascii="Arial" w:eastAsia="Times New Roman" w:hAnsi="Arial" w:cs="Arial"/>
          <w:color w:val="191E23"/>
          <w:sz w:val="20"/>
          <w:szCs w:val="20"/>
          <w:lang w:eastAsia="en-US"/>
        </w:rPr>
      </w:pPr>
      <w:r w:rsidRPr="007419D6">
        <w:rPr>
          <w:rFonts w:ascii="Arial" w:eastAsia="Times New Roman" w:hAnsi="Arial" w:cs="Arial"/>
          <w:color w:val="191E23"/>
          <w:sz w:val="20"/>
          <w:szCs w:val="20"/>
          <w:lang w:eastAsia="en-US"/>
        </w:rPr>
        <w:t>Applicable large employers—those with 50 or more full-time equivalents (FTEs)—are required to comply with the employer shared responsibility rules under §4980H (also known as the “employer mandate”). To avoid potential penalties, employers are required to offer minimum value, affordable coverage to full-time employees and their dependent children. Coverage is considered “affordable” for purposes of satisfying §4980H(b) requirements so long as the employee contribution satisfies at least one of three available safe harbors (i.e., federal poverty level [FPL], rate of pay, or Form W-2).</w:t>
      </w:r>
    </w:p>
    <w:p w14:paraId="5BFB306D" w14:textId="77777777" w:rsidR="00E20BEB" w:rsidRPr="00E20BEB" w:rsidRDefault="00E20BEB" w:rsidP="007419D6">
      <w:pPr>
        <w:shd w:val="clear" w:color="auto" w:fill="FFFFFF"/>
        <w:rPr>
          <w:rFonts w:ascii="Arial" w:eastAsia="Times New Roman" w:hAnsi="Arial" w:cs="Arial"/>
          <w:b/>
          <w:bCs/>
          <w:color w:val="191E23"/>
          <w:sz w:val="20"/>
          <w:szCs w:val="20"/>
          <w:lang w:eastAsia="en-US"/>
        </w:rPr>
      </w:pPr>
    </w:p>
    <w:p w14:paraId="6DC5AEF9" w14:textId="6DF7F191" w:rsidR="007419D6" w:rsidRPr="007419D6" w:rsidRDefault="007419D6" w:rsidP="007419D6">
      <w:pPr>
        <w:shd w:val="clear" w:color="auto" w:fill="FFFFFF"/>
        <w:rPr>
          <w:rFonts w:ascii="Arial" w:eastAsia="Times New Roman" w:hAnsi="Arial" w:cs="Arial"/>
          <w:i/>
          <w:iCs/>
          <w:color w:val="191E23"/>
          <w:sz w:val="20"/>
          <w:szCs w:val="20"/>
          <w:lang w:eastAsia="en-US"/>
        </w:rPr>
      </w:pPr>
      <w:r w:rsidRPr="007419D6">
        <w:rPr>
          <w:rFonts w:ascii="Arial" w:eastAsia="Times New Roman" w:hAnsi="Arial" w:cs="Arial"/>
          <w:i/>
          <w:iCs/>
          <w:color w:val="191E23"/>
          <w:sz w:val="20"/>
          <w:szCs w:val="20"/>
          <w:lang w:eastAsia="en-US"/>
        </w:rPr>
        <w:t>Rate of Pay Safe Harbor</w:t>
      </w:r>
    </w:p>
    <w:p w14:paraId="53D67739" w14:textId="3D42FFBE" w:rsidR="007419D6" w:rsidRDefault="007419D6" w:rsidP="007419D6">
      <w:pPr>
        <w:shd w:val="clear" w:color="auto" w:fill="FFFFFF"/>
        <w:rPr>
          <w:rFonts w:ascii="Arial" w:eastAsia="Times New Roman" w:hAnsi="Arial" w:cs="Arial"/>
          <w:color w:val="191E23"/>
          <w:sz w:val="20"/>
          <w:szCs w:val="20"/>
          <w:lang w:eastAsia="en-US"/>
        </w:rPr>
      </w:pPr>
      <w:r w:rsidRPr="007419D6">
        <w:rPr>
          <w:rFonts w:ascii="Arial" w:eastAsia="Times New Roman" w:hAnsi="Arial" w:cs="Arial"/>
          <w:color w:val="191E23"/>
          <w:sz w:val="20"/>
          <w:szCs w:val="20"/>
          <w:lang w:eastAsia="en-US"/>
        </w:rPr>
        <w:t xml:space="preserve">Under the rate of pay safe harbor, an hourly employee’s monthly contribution for single coverage is affordable if it is ≤ 9.78% (for 2020) of the employee’s hourly rate multiplied by 130. The calculation uses the employee’s rate of pay as of the first day of the coverage period, unless the rate of pay is reduced, in which case the lower amount is used. </w:t>
      </w:r>
    </w:p>
    <w:p w14:paraId="4E59E53A" w14:textId="77777777" w:rsidR="00E20BEB" w:rsidRPr="007419D6" w:rsidRDefault="00E20BEB" w:rsidP="007419D6">
      <w:pPr>
        <w:shd w:val="clear" w:color="auto" w:fill="FFFFFF"/>
        <w:rPr>
          <w:rFonts w:ascii="Arial" w:eastAsia="Times New Roman" w:hAnsi="Arial" w:cs="Arial"/>
          <w:color w:val="191E23"/>
          <w:sz w:val="20"/>
          <w:szCs w:val="20"/>
          <w:lang w:eastAsia="en-US"/>
        </w:rPr>
      </w:pPr>
    </w:p>
    <w:p w14:paraId="65A8ADC8" w14:textId="77777777" w:rsidR="007419D6" w:rsidRPr="007419D6" w:rsidRDefault="007419D6" w:rsidP="007419D6">
      <w:pPr>
        <w:shd w:val="clear" w:color="auto" w:fill="FFFFFF"/>
        <w:rPr>
          <w:rFonts w:ascii="Arial" w:eastAsia="Times New Roman" w:hAnsi="Arial" w:cs="Arial"/>
          <w:color w:val="191E23"/>
          <w:sz w:val="20"/>
          <w:szCs w:val="20"/>
          <w:lang w:eastAsia="en-US"/>
        </w:rPr>
      </w:pPr>
      <w:r w:rsidRPr="007419D6">
        <w:rPr>
          <w:rFonts w:ascii="Arial" w:eastAsia="Times New Roman" w:hAnsi="Arial" w:cs="Arial"/>
          <w:color w:val="191E23"/>
          <w:sz w:val="20"/>
          <w:szCs w:val="20"/>
          <w:lang w:eastAsia="en-US"/>
        </w:rPr>
        <w:t xml:space="preserve">130 (to match the definition of full-time) is used in the calculation even if the employee actually works more or less than 130 hours during a calendar month. Therefore, this particular safe harbor protects the </w:t>
      </w:r>
      <w:r w:rsidRPr="007419D6">
        <w:rPr>
          <w:rFonts w:ascii="Arial" w:eastAsia="Times New Roman" w:hAnsi="Arial" w:cs="Arial"/>
          <w:color w:val="191E23"/>
          <w:sz w:val="20"/>
          <w:szCs w:val="20"/>
          <w:lang w:eastAsia="en-US"/>
        </w:rPr>
        <w:lastRenderedPageBreak/>
        <w:t xml:space="preserve">employer even in situations in which the employee’s hours may be less than full-time and the employer remains obligated to continue offering coverage during the stability period. </w:t>
      </w:r>
    </w:p>
    <w:p w14:paraId="2640E6EF" w14:textId="70085A6D" w:rsidR="00F8362A" w:rsidRPr="00326A75" w:rsidRDefault="00F8362A" w:rsidP="004214A6">
      <w:pPr>
        <w:shd w:val="clear" w:color="auto" w:fill="FFFFFF"/>
        <w:spacing w:after="360" w:line="360" w:lineRule="auto"/>
        <w:jc w:val="both"/>
        <w:textAlignment w:val="baseline"/>
        <w:rPr>
          <w:rFonts w:ascii="Arial" w:eastAsia="Times New Roman" w:hAnsi="Arial" w:cs="Arial"/>
          <w:b/>
          <w:bCs/>
          <w:color w:val="595959"/>
          <w:sz w:val="20"/>
          <w:szCs w:val="20"/>
          <w:lang w:eastAsia="en-US"/>
        </w:rPr>
      </w:pPr>
    </w:p>
    <w:sectPr w:rsidR="00F8362A" w:rsidRPr="00326A75" w:rsidSect="002B4808">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7CA29" w14:textId="77777777" w:rsidR="00452F59" w:rsidRDefault="00452F59" w:rsidP="00790E63">
      <w:r>
        <w:separator/>
      </w:r>
    </w:p>
  </w:endnote>
  <w:endnote w:type="continuationSeparator" w:id="0">
    <w:p w14:paraId="2AC7BFE9" w14:textId="77777777" w:rsidR="00452F59" w:rsidRDefault="00452F59" w:rsidP="0079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91A" w14:textId="41E86DC0" w:rsidR="005A10A7" w:rsidRPr="008D1681" w:rsidRDefault="005A10A7" w:rsidP="005A10A7">
    <w:pPr>
      <w:pStyle w:val="IssueInfo"/>
      <w:ind w:left="0" w:right="3996"/>
      <w:jc w:val="both"/>
    </w:pPr>
    <w:r>
      <w:t xml:space="preserve"> </w:t>
    </w:r>
    <w:sdt>
      <w:sdtPr>
        <w:id w:val="609012785"/>
        <w:placeholder>
          <w:docPart w:val="77DD6E8A713ED24886BA01C76841B757"/>
        </w:placeholder>
        <w:temporary/>
        <w:showingPlcHdr/>
        <w15:appearance w15:val="hidden"/>
      </w:sdtPr>
      <w:sdtEndPr/>
      <w:sdtContent>
        <w:r w:rsidRPr="005075CA">
          <w:t>ISSUE</w:t>
        </w:r>
      </w:sdtContent>
    </w:sdt>
    <w:r>
      <w:t xml:space="preserve"> </w:t>
    </w:r>
    <w:r w:rsidR="004B5C8F">
      <w:t>3</w:t>
    </w:r>
    <w:r>
      <w:t xml:space="preserve"> | Q</w:t>
    </w:r>
    <w:r w:rsidR="004B5C8F">
      <w:t>2</w:t>
    </w:r>
    <w:r>
      <w:t xml:space="preserve"> | 20</w:t>
    </w:r>
    <w:r w:rsidR="00F7782B">
      <w:t>20</w:t>
    </w:r>
  </w:p>
  <w:p w14:paraId="5736781F" w14:textId="21A838BD" w:rsidR="00BF7CDD" w:rsidRDefault="00BF7CDD"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sidR="000668D8">
      <w:rPr>
        <w:noProof/>
        <w:color w:val="61ADBF" w:themeColor="accent4"/>
      </w:rPr>
      <w:t>1</w:t>
    </w:r>
    <w:r w:rsidRPr="009E6E6B">
      <w:rPr>
        <w:noProof/>
        <w:color w:val="61ADBF" w:themeColor="accent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1F0" w14:textId="77777777" w:rsidR="00962BC0" w:rsidRPr="008D1681" w:rsidRDefault="00962BC0" w:rsidP="005A10A7">
    <w:pPr>
      <w:pStyle w:val="IssueInfo"/>
      <w:ind w:left="0" w:right="3996"/>
      <w:jc w:val="both"/>
    </w:pPr>
    <w:r>
      <w:t xml:space="preserve"> </w:t>
    </w:r>
    <w:sdt>
      <w:sdtPr>
        <w:id w:val="1116948728"/>
        <w:placeholder>
          <w:docPart w:val="77DD6E8A713ED24886BA01C76841B757"/>
        </w:placeholder>
        <w:temporary/>
        <w:showingPlcHdr/>
        <w15:appearance w15:val="hidden"/>
      </w:sdtPr>
      <w:sdtEndPr/>
      <w:sdtContent>
        <w:r w:rsidRPr="005075CA">
          <w:t>ISSUE</w:t>
        </w:r>
      </w:sdtContent>
    </w:sdt>
    <w:r>
      <w:t xml:space="preserve"> 3 | Q2 | 2020</w:t>
    </w:r>
  </w:p>
  <w:p w14:paraId="0126C8DC" w14:textId="77777777" w:rsidR="00962BC0" w:rsidRDefault="00962BC0" w:rsidP="00790E63">
    <w:pPr>
      <w:pStyle w:val="Footer"/>
    </w:pPr>
    <w:r>
      <w:ptab w:relativeTo="margin" w:alignment="right" w:leader="none"/>
    </w:r>
    <w:r w:rsidRPr="009E6E6B">
      <w:rPr>
        <w:color w:val="61ADBF" w:themeColor="accent4"/>
      </w:rPr>
      <w:fldChar w:fldCharType="begin"/>
    </w:r>
    <w:r w:rsidRPr="009E6E6B">
      <w:rPr>
        <w:color w:val="61ADBF" w:themeColor="accent4"/>
      </w:rPr>
      <w:instrText xml:space="preserve"> PAGE   \* MERGEFORMAT </w:instrText>
    </w:r>
    <w:r w:rsidRPr="009E6E6B">
      <w:rPr>
        <w:color w:val="61ADBF" w:themeColor="accent4"/>
      </w:rPr>
      <w:fldChar w:fldCharType="separate"/>
    </w:r>
    <w:r>
      <w:rPr>
        <w:noProof/>
        <w:color w:val="61ADBF" w:themeColor="accent4"/>
      </w:rPr>
      <w:t>1</w:t>
    </w:r>
    <w:r w:rsidRPr="009E6E6B">
      <w:rPr>
        <w:noProof/>
        <w:color w:val="61ADBF" w:themeColor="accent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3118C" w14:textId="77777777" w:rsidR="00452F59" w:rsidRDefault="00452F59" w:rsidP="00790E63">
      <w:r>
        <w:separator/>
      </w:r>
    </w:p>
  </w:footnote>
  <w:footnote w:type="continuationSeparator" w:id="0">
    <w:p w14:paraId="1682A02B" w14:textId="77777777" w:rsidR="00452F59" w:rsidRDefault="00452F59" w:rsidP="00790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AA0A53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795133E"/>
    <w:multiLevelType w:val="hybridMultilevel"/>
    <w:tmpl w:val="3B22D104"/>
    <w:lvl w:ilvl="0" w:tplc="BB4CD6B4">
      <w:start w:val="5"/>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346E"/>
    <w:multiLevelType w:val="hybridMultilevel"/>
    <w:tmpl w:val="55C84E8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2C839C4"/>
    <w:multiLevelType w:val="hybridMultilevel"/>
    <w:tmpl w:val="22C2B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491389"/>
    <w:multiLevelType w:val="hybridMultilevel"/>
    <w:tmpl w:val="15EC67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2B2DEE"/>
    <w:multiLevelType w:val="hybridMultilevel"/>
    <w:tmpl w:val="6C8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57E2D"/>
    <w:multiLevelType w:val="multilevel"/>
    <w:tmpl w:val="DCF891AC"/>
    <w:numStyleLink w:val="Style1"/>
  </w:abstractNum>
  <w:abstractNum w:abstractNumId="9" w15:restartNumberingAfterBreak="0">
    <w:nsid w:val="291955C4"/>
    <w:multiLevelType w:val="multilevel"/>
    <w:tmpl w:val="DCF891AC"/>
    <w:numStyleLink w:val="Style1"/>
  </w:abstractNum>
  <w:abstractNum w:abstractNumId="1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217BE"/>
    <w:multiLevelType w:val="hybridMultilevel"/>
    <w:tmpl w:val="14DA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ED7EC0"/>
    <w:multiLevelType w:val="hybridMultilevel"/>
    <w:tmpl w:val="9C0887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09D2D07"/>
    <w:multiLevelType w:val="hybridMultilevel"/>
    <w:tmpl w:val="5914D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00EB4"/>
    <w:multiLevelType w:val="hybridMultilevel"/>
    <w:tmpl w:val="4CFCE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E766BA"/>
    <w:multiLevelType w:val="hybridMultilevel"/>
    <w:tmpl w:val="8B2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A2B3E"/>
    <w:multiLevelType w:val="hybridMultilevel"/>
    <w:tmpl w:val="6E58A9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3F200108"/>
    <w:multiLevelType w:val="hybridMultilevel"/>
    <w:tmpl w:val="76E6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36C0E"/>
    <w:multiLevelType w:val="hybridMultilevel"/>
    <w:tmpl w:val="315C045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29A4BE7"/>
    <w:multiLevelType w:val="hybridMultilevel"/>
    <w:tmpl w:val="3656D6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43236A1F"/>
    <w:multiLevelType w:val="hybridMultilevel"/>
    <w:tmpl w:val="714C12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44A64F95"/>
    <w:multiLevelType w:val="hybridMultilevel"/>
    <w:tmpl w:val="1FFA2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010430"/>
    <w:multiLevelType w:val="hybridMultilevel"/>
    <w:tmpl w:val="A3D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044C5"/>
    <w:multiLevelType w:val="hybridMultilevel"/>
    <w:tmpl w:val="D4B0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786F77"/>
    <w:multiLevelType w:val="hybridMultilevel"/>
    <w:tmpl w:val="267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56C24"/>
    <w:multiLevelType w:val="hybridMultilevel"/>
    <w:tmpl w:val="D7B60454"/>
    <w:lvl w:ilvl="0" w:tplc="81D43000">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31DD8"/>
    <w:multiLevelType w:val="hybridMultilevel"/>
    <w:tmpl w:val="2170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1A2B5A"/>
    <w:multiLevelType w:val="multilevel"/>
    <w:tmpl w:val="A86EF7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BA6C9E"/>
    <w:multiLevelType w:val="hybridMultilevel"/>
    <w:tmpl w:val="4CA6F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D95D6A"/>
    <w:multiLevelType w:val="hybridMultilevel"/>
    <w:tmpl w:val="F35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7C0899"/>
    <w:multiLevelType w:val="multilevel"/>
    <w:tmpl w:val="DCF891A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8085A0E"/>
    <w:multiLevelType w:val="hybridMultilevel"/>
    <w:tmpl w:val="0776A04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6C4D1FFB"/>
    <w:multiLevelType w:val="hybridMultilevel"/>
    <w:tmpl w:val="138065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6CF3708B"/>
    <w:multiLevelType w:val="hybridMultilevel"/>
    <w:tmpl w:val="885E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B3B3F"/>
    <w:multiLevelType w:val="hybridMultilevel"/>
    <w:tmpl w:val="4BB60B08"/>
    <w:lvl w:ilvl="0" w:tplc="A5902B6A">
      <w:start w:val="1"/>
      <w:numFmt w:val="decimal"/>
      <w:pStyle w:val="Heading2"/>
      <w:lvlText w:val="%1"/>
      <w:lvlJc w:val="left"/>
      <w:pPr>
        <w:ind w:left="720" w:hanging="360"/>
      </w:pPr>
      <w:rPr>
        <w:rFonts w:ascii="Arial Black" w:hAnsi="Arial Black" w:hint="default"/>
        <w:b/>
        <w:color w:val="3E8799" w:themeColor="accent4"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861A9"/>
    <w:multiLevelType w:val="hybridMultilevel"/>
    <w:tmpl w:val="D6EE13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03B4540"/>
    <w:multiLevelType w:val="hybridMultilevel"/>
    <w:tmpl w:val="CE32FE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741236C2"/>
    <w:multiLevelType w:val="multilevel"/>
    <w:tmpl w:val="DB9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FB6DE9"/>
    <w:multiLevelType w:val="hybridMultilevel"/>
    <w:tmpl w:val="A410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D4AA4"/>
    <w:multiLevelType w:val="multilevel"/>
    <w:tmpl w:val="56F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A2606A"/>
    <w:multiLevelType w:val="hybridMultilevel"/>
    <w:tmpl w:val="B6709A5E"/>
    <w:lvl w:ilvl="0" w:tplc="6CBE28E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465F2"/>
    <w:multiLevelType w:val="hybridMultilevel"/>
    <w:tmpl w:val="FBE2B8C4"/>
    <w:lvl w:ilvl="0" w:tplc="6E4E383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7"/>
  </w:num>
  <w:num w:numId="3">
    <w:abstractNumId w:val="10"/>
  </w:num>
  <w:num w:numId="4">
    <w:abstractNumId w:val="1"/>
  </w:num>
  <w:num w:numId="5">
    <w:abstractNumId w:val="0"/>
  </w:num>
  <w:num w:numId="6">
    <w:abstractNumId w:val="2"/>
  </w:num>
  <w:num w:numId="7">
    <w:abstractNumId w:val="41"/>
  </w:num>
  <w:num w:numId="8">
    <w:abstractNumId w:val="40"/>
  </w:num>
  <w:num w:numId="9">
    <w:abstractNumId w:val="17"/>
  </w:num>
  <w:num w:numId="10">
    <w:abstractNumId w:val="26"/>
  </w:num>
  <w:num w:numId="11">
    <w:abstractNumId w:val="33"/>
  </w:num>
  <w:num w:numId="12">
    <w:abstractNumId w:val="14"/>
  </w:num>
  <w:num w:numId="13">
    <w:abstractNumId w:val="6"/>
  </w:num>
  <w:num w:numId="14">
    <w:abstractNumId w:val="23"/>
  </w:num>
  <w:num w:numId="15">
    <w:abstractNumId w:val="38"/>
  </w:num>
  <w:num w:numId="16">
    <w:abstractNumId w:val="29"/>
  </w:num>
  <w:num w:numId="17">
    <w:abstractNumId w:val="11"/>
  </w:num>
  <w:num w:numId="18">
    <w:abstractNumId w:val="21"/>
  </w:num>
  <w:num w:numId="19">
    <w:abstractNumId w:val="32"/>
  </w:num>
  <w:num w:numId="20">
    <w:abstractNumId w:val="36"/>
  </w:num>
  <w:num w:numId="21">
    <w:abstractNumId w:val="30"/>
  </w:num>
  <w:num w:numId="22">
    <w:abstractNumId w:val="9"/>
  </w:num>
  <w:num w:numId="23">
    <w:abstractNumId w:val="8"/>
  </w:num>
  <w:num w:numId="24">
    <w:abstractNumId w:val="34"/>
  </w:num>
  <w:num w:numId="25">
    <w:abstractNumId w:val="3"/>
  </w:num>
  <w:num w:numId="26">
    <w:abstractNumId w:val="20"/>
  </w:num>
  <w:num w:numId="27">
    <w:abstractNumId w:val="12"/>
  </w:num>
  <w:num w:numId="28">
    <w:abstractNumId w:val="16"/>
  </w:num>
  <w:num w:numId="29">
    <w:abstractNumId w:val="35"/>
  </w:num>
  <w:num w:numId="30">
    <w:abstractNumId w:val="19"/>
  </w:num>
  <w:num w:numId="31">
    <w:abstractNumId w:val="31"/>
  </w:num>
  <w:num w:numId="32">
    <w:abstractNumId w:val="18"/>
  </w:num>
  <w:num w:numId="33">
    <w:abstractNumId w:val="5"/>
  </w:num>
  <w:num w:numId="34">
    <w:abstractNumId w:val="24"/>
  </w:num>
  <w:num w:numId="35">
    <w:abstractNumId w:val="15"/>
  </w:num>
  <w:num w:numId="36">
    <w:abstractNumId w:val="28"/>
  </w:num>
  <w:num w:numId="37">
    <w:abstractNumId w:val="39"/>
  </w:num>
  <w:num w:numId="38">
    <w:abstractNumId w:val="27"/>
  </w:num>
  <w:num w:numId="39">
    <w:abstractNumId w:val="37"/>
  </w:num>
  <w:num w:numId="40">
    <w:abstractNumId w:val="22"/>
  </w:num>
  <w:num w:numId="41">
    <w:abstractNumId w:val="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AE"/>
    <w:rsid w:val="00002CDA"/>
    <w:rsid w:val="00005732"/>
    <w:rsid w:val="0001225A"/>
    <w:rsid w:val="00014204"/>
    <w:rsid w:val="000154E5"/>
    <w:rsid w:val="00015E79"/>
    <w:rsid w:val="000221EE"/>
    <w:rsid w:val="00025991"/>
    <w:rsid w:val="00032EF5"/>
    <w:rsid w:val="00037F4F"/>
    <w:rsid w:val="00041675"/>
    <w:rsid w:val="00044AD3"/>
    <w:rsid w:val="000518EE"/>
    <w:rsid w:val="0006238D"/>
    <w:rsid w:val="00062F13"/>
    <w:rsid w:val="000668D8"/>
    <w:rsid w:val="00066D53"/>
    <w:rsid w:val="00072EB5"/>
    <w:rsid w:val="0008151C"/>
    <w:rsid w:val="00083A30"/>
    <w:rsid w:val="000929E6"/>
    <w:rsid w:val="0009587D"/>
    <w:rsid w:val="000962F5"/>
    <w:rsid w:val="00097300"/>
    <w:rsid w:val="000A6609"/>
    <w:rsid w:val="000A7618"/>
    <w:rsid w:val="000B2A02"/>
    <w:rsid w:val="000B2DA7"/>
    <w:rsid w:val="000C462E"/>
    <w:rsid w:val="000D2BC5"/>
    <w:rsid w:val="000F4E7A"/>
    <w:rsid w:val="000F53EE"/>
    <w:rsid w:val="000F59F3"/>
    <w:rsid w:val="0010069B"/>
    <w:rsid w:val="001029D9"/>
    <w:rsid w:val="00103408"/>
    <w:rsid w:val="00105934"/>
    <w:rsid w:val="00106354"/>
    <w:rsid w:val="0011016B"/>
    <w:rsid w:val="001179ED"/>
    <w:rsid w:val="00121172"/>
    <w:rsid w:val="0012276C"/>
    <w:rsid w:val="00125316"/>
    <w:rsid w:val="00126F49"/>
    <w:rsid w:val="001433B3"/>
    <w:rsid w:val="0014471F"/>
    <w:rsid w:val="001501CB"/>
    <w:rsid w:val="001503BD"/>
    <w:rsid w:val="00161DD0"/>
    <w:rsid w:val="00162742"/>
    <w:rsid w:val="00162E67"/>
    <w:rsid w:val="00164089"/>
    <w:rsid w:val="001727D6"/>
    <w:rsid w:val="00177C33"/>
    <w:rsid w:val="00184359"/>
    <w:rsid w:val="00196381"/>
    <w:rsid w:val="001A08AE"/>
    <w:rsid w:val="001A14F7"/>
    <w:rsid w:val="001A5D1F"/>
    <w:rsid w:val="001A6F61"/>
    <w:rsid w:val="001A7F9F"/>
    <w:rsid w:val="001B2E28"/>
    <w:rsid w:val="001C1A6D"/>
    <w:rsid w:val="001C1C37"/>
    <w:rsid w:val="001D3A41"/>
    <w:rsid w:val="001D3D71"/>
    <w:rsid w:val="001E026E"/>
    <w:rsid w:val="001E3FA2"/>
    <w:rsid w:val="001F0364"/>
    <w:rsid w:val="001F3227"/>
    <w:rsid w:val="001F39C6"/>
    <w:rsid w:val="001F5D04"/>
    <w:rsid w:val="00200C32"/>
    <w:rsid w:val="0020660C"/>
    <w:rsid w:val="00213545"/>
    <w:rsid w:val="00217731"/>
    <w:rsid w:val="00223A51"/>
    <w:rsid w:val="00226A7E"/>
    <w:rsid w:val="00246A10"/>
    <w:rsid w:val="00250745"/>
    <w:rsid w:val="00251315"/>
    <w:rsid w:val="00254637"/>
    <w:rsid w:val="00261647"/>
    <w:rsid w:val="00262AE9"/>
    <w:rsid w:val="00264284"/>
    <w:rsid w:val="00271A31"/>
    <w:rsid w:val="00272438"/>
    <w:rsid w:val="00287F34"/>
    <w:rsid w:val="0029520D"/>
    <w:rsid w:val="002957B7"/>
    <w:rsid w:val="00295C14"/>
    <w:rsid w:val="002A0550"/>
    <w:rsid w:val="002A4B74"/>
    <w:rsid w:val="002A70F7"/>
    <w:rsid w:val="002B137D"/>
    <w:rsid w:val="002B223B"/>
    <w:rsid w:val="002B4808"/>
    <w:rsid w:val="002B69F0"/>
    <w:rsid w:val="002C17ED"/>
    <w:rsid w:val="002C3D19"/>
    <w:rsid w:val="002D4A94"/>
    <w:rsid w:val="002D4C25"/>
    <w:rsid w:val="002E10CF"/>
    <w:rsid w:val="002E4717"/>
    <w:rsid w:val="002E6F08"/>
    <w:rsid w:val="002F3CA3"/>
    <w:rsid w:val="003044C8"/>
    <w:rsid w:val="00314D57"/>
    <w:rsid w:val="0031604A"/>
    <w:rsid w:val="0031707C"/>
    <w:rsid w:val="00320CFF"/>
    <w:rsid w:val="003246EE"/>
    <w:rsid w:val="00326A75"/>
    <w:rsid w:val="00330A73"/>
    <w:rsid w:val="0033447C"/>
    <w:rsid w:val="0034308A"/>
    <w:rsid w:val="003551A3"/>
    <w:rsid w:val="00356AB6"/>
    <w:rsid w:val="003625E3"/>
    <w:rsid w:val="003646E8"/>
    <w:rsid w:val="0036714C"/>
    <w:rsid w:val="003672F0"/>
    <w:rsid w:val="00367FF9"/>
    <w:rsid w:val="00373911"/>
    <w:rsid w:val="00392D38"/>
    <w:rsid w:val="003A2DA0"/>
    <w:rsid w:val="003B647D"/>
    <w:rsid w:val="003B6AD4"/>
    <w:rsid w:val="003C0B47"/>
    <w:rsid w:val="003C6878"/>
    <w:rsid w:val="003C6AE1"/>
    <w:rsid w:val="003D299D"/>
    <w:rsid w:val="003D3826"/>
    <w:rsid w:val="003D72FA"/>
    <w:rsid w:val="003E00B3"/>
    <w:rsid w:val="003E00E7"/>
    <w:rsid w:val="003F3D8F"/>
    <w:rsid w:val="003F631E"/>
    <w:rsid w:val="00402329"/>
    <w:rsid w:val="00402376"/>
    <w:rsid w:val="0041158D"/>
    <w:rsid w:val="00411F35"/>
    <w:rsid w:val="004120F7"/>
    <w:rsid w:val="00416DBA"/>
    <w:rsid w:val="004214A6"/>
    <w:rsid w:val="0042356B"/>
    <w:rsid w:val="00424FAB"/>
    <w:rsid w:val="00440F16"/>
    <w:rsid w:val="004441FA"/>
    <w:rsid w:val="00447296"/>
    <w:rsid w:val="00452F59"/>
    <w:rsid w:val="00453449"/>
    <w:rsid w:val="00454939"/>
    <w:rsid w:val="00454CEF"/>
    <w:rsid w:val="00456D89"/>
    <w:rsid w:val="00460DA0"/>
    <w:rsid w:val="004618A9"/>
    <w:rsid w:val="00462068"/>
    <w:rsid w:val="00467CC1"/>
    <w:rsid w:val="00472FC4"/>
    <w:rsid w:val="0048544B"/>
    <w:rsid w:val="0049094F"/>
    <w:rsid w:val="0049185D"/>
    <w:rsid w:val="00493283"/>
    <w:rsid w:val="004950EE"/>
    <w:rsid w:val="0049577E"/>
    <w:rsid w:val="004967AF"/>
    <w:rsid w:val="004A1819"/>
    <w:rsid w:val="004A2F62"/>
    <w:rsid w:val="004A34E3"/>
    <w:rsid w:val="004A6746"/>
    <w:rsid w:val="004A73F8"/>
    <w:rsid w:val="004B5C8F"/>
    <w:rsid w:val="004C0268"/>
    <w:rsid w:val="004E5D02"/>
    <w:rsid w:val="00506C0F"/>
    <w:rsid w:val="00507514"/>
    <w:rsid w:val="005079AE"/>
    <w:rsid w:val="00510E05"/>
    <w:rsid w:val="00511DB3"/>
    <w:rsid w:val="00513E92"/>
    <w:rsid w:val="00527B3F"/>
    <w:rsid w:val="005314C6"/>
    <w:rsid w:val="005360D0"/>
    <w:rsid w:val="00542C15"/>
    <w:rsid w:val="005431BE"/>
    <w:rsid w:val="00544D1F"/>
    <w:rsid w:val="0054516F"/>
    <w:rsid w:val="00546DAB"/>
    <w:rsid w:val="00547DAC"/>
    <w:rsid w:val="0055096F"/>
    <w:rsid w:val="005635D3"/>
    <w:rsid w:val="00567CCE"/>
    <w:rsid w:val="005723A0"/>
    <w:rsid w:val="005809DA"/>
    <w:rsid w:val="00592262"/>
    <w:rsid w:val="00593C4D"/>
    <w:rsid w:val="005A0881"/>
    <w:rsid w:val="005A10A7"/>
    <w:rsid w:val="005A2CAD"/>
    <w:rsid w:val="005A6FAC"/>
    <w:rsid w:val="005A7998"/>
    <w:rsid w:val="005C01C7"/>
    <w:rsid w:val="005C0E3D"/>
    <w:rsid w:val="005C1CBC"/>
    <w:rsid w:val="005C3316"/>
    <w:rsid w:val="005C38B2"/>
    <w:rsid w:val="005C7A6D"/>
    <w:rsid w:val="005D3563"/>
    <w:rsid w:val="005D7827"/>
    <w:rsid w:val="005E3726"/>
    <w:rsid w:val="005F14B5"/>
    <w:rsid w:val="005F5EAD"/>
    <w:rsid w:val="006000F7"/>
    <w:rsid w:val="006118C4"/>
    <w:rsid w:val="00612CEA"/>
    <w:rsid w:val="00613002"/>
    <w:rsid w:val="00615015"/>
    <w:rsid w:val="006236EF"/>
    <w:rsid w:val="00630EB6"/>
    <w:rsid w:val="00633C48"/>
    <w:rsid w:val="00634A1E"/>
    <w:rsid w:val="006371F5"/>
    <w:rsid w:val="0063763B"/>
    <w:rsid w:val="00650E55"/>
    <w:rsid w:val="0065394F"/>
    <w:rsid w:val="00654986"/>
    <w:rsid w:val="0065523B"/>
    <w:rsid w:val="00660B36"/>
    <w:rsid w:val="00662D0F"/>
    <w:rsid w:val="006721C5"/>
    <w:rsid w:val="00672378"/>
    <w:rsid w:val="006723BB"/>
    <w:rsid w:val="006751C9"/>
    <w:rsid w:val="00684F44"/>
    <w:rsid w:val="006874B4"/>
    <w:rsid w:val="006979BA"/>
    <w:rsid w:val="006A7A3B"/>
    <w:rsid w:val="006B5869"/>
    <w:rsid w:val="006B68A9"/>
    <w:rsid w:val="006C4790"/>
    <w:rsid w:val="006D3FC1"/>
    <w:rsid w:val="006E32EC"/>
    <w:rsid w:val="006F40D0"/>
    <w:rsid w:val="006F5AB9"/>
    <w:rsid w:val="006F5EC0"/>
    <w:rsid w:val="007073A2"/>
    <w:rsid w:val="00711609"/>
    <w:rsid w:val="0071628A"/>
    <w:rsid w:val="00720027"/>
    <w:rsid w:val="007237C6"/>
    <w:rsid w:val="00723D69"/>
    <w:rsid w:val="007252DA"/>
    <w:rsid w:val="00733C58"/>
    <w:rsid w:val="0073704E"/>
    <w:rsid w:val="007419D6"/>
    <w:rsid w:val="00744A71"/>
    <w:rsid w:val="00760EF4"/>
    <w:rsid w:val="00762A7F"/>
    <w:rsid w:val="007633AE"/>
    <w:rsid w:val="00763DC8"/>
    <w:rsid w:val="00764FED"/>
    <w:rsid w:val="00771AA8"/>
    <w:rsid w:val="00772B29"/>
    <w:rsid w:val="00772C29"/>
    <w:rsid w:val="00772F9E"/>
    <w:rsid w:val="00783703"/>
    <w:rsid w:val="007845E3"/>
    <w:rsid w:val="00790676"/>
    <w:rsid w:val="00790E63"/>
    <w:rsid w:val="00796EAE"/>
    <w:rsid w:val="007A240B"/>
    <w:rsid w:val="007A6C33"/>
    <w:rsid w:val="007A7423"/>
    <w:rsid w:val="007B0C57"/>
    <w:rsid w:val="007B5968"/>
    <w:rsid w:val="007B59C6"/>
    <w:rsid w:val="007C074B"/>
    <w:rsid w:val="007C2BC6"/>
    <w:rsid w:val="007C5CDF"/>
    <w:rsid w:val="007C5F9B"/>
    <w:rsid w:val="007D25F4"/>
    <w:rsid w:val="007D3787"/>
    <w:rsid w:val="007E006C"/>
    <w:rsid w:val="007E3DD4"/>
    <w:rsid w:val="007E68BA"/>
    <w:rsid w:val="007E6D0E"/>
    <w:rsid w:val="007E7565"/>
    <w:rsid w:val="007F0D31"/>
    <w:rsid w:val="00800AE2"/>
    <w:rsid w:val="008011AC"/>
    <w:rsid w:val="00810BF4"/>
    <w:rsid w:val="00814189"/>
    <w:rsid w:val="0082150F"/>
    <w:rsid w:val="00821E16"/>
    <w:rsid w:val="0082709E"/>
    <w:rsid w:val="00846F77"/>
    <w:rsid w:val="00854BC8"/>
    <w:rsid w:val="00855C70"/>
    <w:rsid w:val="0086482F"/>
    <w:rsid w:val="00893053"/>
    <w:rsid w:val="00894AB6"/>
    <w:rsid w:val="008A4B11"/>
    <w:rsid w:val="008A59DE"/>
    <w:rsid w:val="008D2CD8"/>
    <w:rsid w:val="008E0DA7"/>
    <w:rsid w:val="008E11C0"/>
    <w:rsid w:val="008E2A0E"/>
    <w:rsid w:val="008E47FD"/>
    <w:rsid w:val="008F3B97"/>
    <w:rsid w:val="008F7536"/>
    <w:rsid w:val="00910FB7"/>
    <w:rsid w:val="009124FD"/>
    <w:rsid w:val="00913DD7"/>
    <w:rsid w:val="00914850"/>
    <w:rsid w:val="0092085F"/>
    <w:rsid w:val="009214C5"/>
    <w:rsid w:val="00923F9B"/>
    <w:rsid w:val="0092623B"/>
    <w:rsid w:val="00926F35"/>
    <w:rsid w:val="0093229E"/>
    <w:rsid w:val="00933B91"/>
    <w:rsid w:val="00940032"/>
    <w:rsid w:val="0094024B"/>
    <w:rsid w:val="00942436"/>
    <w:rsid w:val="00942529"/>
    <w:rsid w:val="00951A34"/>
    <w:rsid w:val="0095220C"/>
    <w:rsid w:val="00962BC0"/>
    <w:rsid w:val="00963DF9"/>
    <w:rsid w:val="00967099"/>
    <w:rsid w:val="00970C55"/>
    <w:rsid w:val="00971667"/>
    <w:rsid w:val="009729B0"/>
    <w:rsid w:val="00981027"/>
    <w:rsid w:val="00990AFB"/>
    <w:rsid w:val="00996320"/>
    <w:rsid w:val="009A217A"/>
    <w:rsid w:val="009A2C1C"/>
    <w:rsid w:val="009A5676"/>
    <w:rsid w:val="009A7A75"/>
    <w:rsid w:val="009B3E99"/>
    <w:rsid w:val="009B3EEA"/>
    <w:rsid w:val="009B4166"/>
    <w:rsid w:val="009B4F01"/>
    <w:rsid w:val="009B545A"/>
    <w:rsid w:val="009D4089"/>
    <w:rsid w:val="009D53B7"/>
    <w:rsid w:val="009D7B3B"/>
    <w:rsid w:val="009E15ED"/>
    <w:rsid w:val="009E454E"/>
    <w:rsid w:val="009E6E6B"/>
    <w:rsid w:val="009E7CC8"/>
    <w:rsid w:val="00A00736"/>
    <w:rsid w:val="00A151F0"/>
    <w:rsid w:val="00A215D9"/>
    <w:rsid w:val="00A233DE"/>
    <w:rsid w:val="00A23535"/>
    <w:rsid w:val="00A2440F"/>
    <w:rsid w:val="00A25C80"/>
    <w:rsid w:val="00A46240"/>
    <w:rsid w:val="00A53ABC"/>
    <w:rsid w:val="00A56A02"/>
    <w:rsid w:val="00A61F56"/>
    <w:rsid w:val="00A71C91"/>
    <w:rsid w:val="00A77FE6"/>
    <w:rsid w:val="00A81A7D"/>
    <w:rsid w:val="00A83834"/>
    <w:rsid w:val="00A853FD"/>
    <w:rsid w:val="00A925C6"/>
    <w:rsid w:val="00AB11F8"/>
    <w:rsid w:val="00AB4EFB"/>
    <w:rsid w:val="00AC58F5"/>
    <w:rsid w:val="00AD00DF"/>
    <w:rsid w:val="00AD2FD5"/>
    <w:rsid w:val="00AD44D9"/>
    <w:rsid w:val="00AD4D40"/>
    <w:rsid w:val="00AD5CE9"/>
    <w:rsid w:val="00AE4B6B"/>
    <w:rsid w:val="00AE4C42"/>
    <w:rsid w:val="00B00E97"/>
    <w:rsid w:val="00B027A8"/>
    <w:rsid w:val="00B06F14"/>
    <w:rsid w:val="00B10215"/>
    <w:rsid w:val="00B138FD"/>
    <w:rsid w:val="00B1461A"/>
    <w:rsid w:val="00B22787"/>
    <w:rsid w:val="00B23F65"/>
    <w:rsid w:val="00B30C6A"/>
    <w:rsid w:val="00B30ED1"/>
    <w:rsid w:val="00B35EA0"/>
    <w:rsid w:val="00B43DAE"/>
    <w:rsid w:val="00B56046"/>
    <w:rsid w:val="00B56285"/>
    <w:rsid w:val="00B6401E"/>
    <w:rsid w:val="00B64844"/>
    <w:rsid w:val="00B70C8A"/>
    <w:rsid w:val="00B7435E"/>
    <w:rsid w:val="00B77AC2"/>
    <w:rsid w:val="00B87F35"/>
    <w:rsid w:val="00B97384"/>
    <w:rsid w:val="00BA18F8"/>
    <w:rsid w:val="00BA32D5"/>
    <w:rsid w:val="00BA3DE1"/>
    <w:rsid w:val="00BA4A3C"/>
    <w:rsid w:val="00BB3AEB"/>
    <w:rsid w:val="00BB44A0"/>
    <w:rsid w:val="00BB7EDB"/>
    <w:rsid w:val="00BC0DE4"/>
    <w:rsid w:val="00BC5452"/>
    <w:rsid w:val="00BC6E32"/>
    <w:rsid w:val="00BD2304"/>
    <w:rsid w:val="00BD6B22"/>
    <w:rsid w:val="00BE1BBF"/>
    <w:rsid w:val="00BE464A"/>
    <w:rsid w:val="00BE5529"/>
    <w:rsid w:val="00BF7CDD"/>
    <w:rsid w:val="00C03DEA"/>
    <w:rsid w:val="00C10FBA"/>
    <w:rsid w:val="00C144E1"/>
    <w:rsid w:val="00C2344E"/>
    <w:rsid w:val="00C3686A"/>
    <w:rsid w:val="00C47D05"/>
    <w:rsid w:val="00C51225"/>
    <w:rsid w:val="00C574FB"/>
    <w:rsid w:val="00C57C98"/>
    <w:rsid w:val="00C62225"/>
    <w:rsid w:val="00C65FEF"/>
    <w:rsid w:val="00C70647"/>
    <w:rsid w:val="00C716AB"/>
    <w:rsid w:val="00C74A2B"/>
    <w:rsid w:val="00C775C3"/>
    <w:rsid w:val="00C815C2"/>
    <w:rsid w:val="00C82988"/>
    <w:rsid w:val="00C84AD5"/>
    <w:rsid w:val="00C84C84"/>
    <w:rsid w:val="00C922F5"/>
    <w:rsid w:val="00C92D7B"/>
    <w:rsid w:val="00C952BD"/>
    <w:rsid w:val="00C978DD"/>
    <w:rsid w:val="00CA23ED"/>
    <w:rsid w:val="00CB595C"/>
    <w:rsid w:val="00CC6110"/>
    <w:rsid w:val="00CD7C64"/>
    <w:rsid w:val="00CE77C7"/>
    <w:rsid w:val="00D039D0"/>
    <w:rsid w:val="00D056FF"/>
    <w:rsid w:val="00D14EA3"/>
    <w:rsid w:val="00D176FE"/>
    <w:rsid w:val="00D312AA"/>
    <w:rsid w:val="00D35526"/>
    <w:rsid w:val="00D36A32"/>
    <w:rsid w:val="00D379C7"/>
    <w:rsid w:val="00D403BC"/>
    <w:rsid w:val="00D405F6"/>
    <w:rsid w:val="00D41E7B"/>
    <w:rsid w:val="00D474BE"/>
    <w:rsid w:val="00D500B6"/>
    <w:rsid w:val="00D51254"/>
    <w:rsid w:val="00D63369"/>
    <w:rsid w:val="00D650AE"/>
    <w:rsid w:val="00D65FCB"/>
    <w:rsid w:val="00D666CB"/>
    <w:rsid w:val="00D71E1A"/>
    <w:rsid w:val="00D74A6F"/>
    <w:rsid w:val="00D76DBE"/>
    <w:rsid w:val="00D77C5D"/>
    <w:rsid w:val="00D84DCC"/>
    <w:rsid w:val="00D863E9"/>
    <w:rsid w:val="00D97457"/>
    <w:rsid w:val="00DA1573"/>
    <w:rsid w:val="00DA7B28"/>
    <w:rsid w:val="00DB0F8D"/>
    <w:rsid w:val="00DB148D"/>
    <w:rsid w:val="00DC0063"/>
    <w:rsid w:val="00DD4EFC"/>
    <w:rsid w:val="00DD7BDE"/>
    <w:rsid w:val="00DE49AD"/>
    <w:rsid w:val="00DE50BB"/>
    <w:rsid w:val="00DE54ED"/>
    <w:rsid w:val="00DE61D6"/>
    <w:rsid w:val="00DF1D7C"/>
    <w:rsid w:val="00DF3D01"/>
    <w:rsid w:val="00DF60BE"/>
    <w:rsid w:val="00DF75C1"/>
    <w:rsid w:val="00E130DE"/>
    <w:rsid w:val="00E150B4"/>
    <w:rsid w:val="00E20BEB"/>
    <w:rsid w:val="00E325D6"/>
    <w:rsid w:val="00E423FA"/>
    <w:rsid w:val="00E45791"/>
    <w:rsid w:val="00E5241D"/>
    <w:rsid w:val="00E542C1"/>
    <w:rsid w:val="00E63217"/>
    <w:rsid w:val="00E63E92"/>
    <w:rsid w:val="00E72903"/>
    <w:rsid w:val="00E82FCA"/>
    <w:rsid w:val="00E84F1C"/>
    <w:rsid w:val="00E85322"/>
    <w:rsid w:val="00E859A6"/>
    <w:rsid w:val="00E87DC2"/>
    <w:rsid w:val="00EA364A"/>
    <w:rsid w:val="00EA3D7E"/>
    <w:rsid w:val="00EA7950"/>
    <w:rsid w:val="00EB016C"/>
    <w:rsid w:val="00EB3FBD"/>
    <w:rsid w:val="00EC5ADE"/>
    <w:rsid w:val="00EC7556"/>
    <w:rsid w:val="00ED102F"/>
    <w:rsid w:val="00EE0AA2"/>
    <w:rsid w:val="00EF073A"/>
    <w:rsid w:val="00F00CE2"/>
    <w:rsid w:val="00F01CA5"/>
    <w:rsid w:val="00F049A6"/>
    <w:rsid w:val="00F1367B"/>
    <w:rsid w:val="00F1588E"/>
    <w:rsid w:val="00F2799F"/>
    <w:rsid w:val="00F31CF5"/>
    <w:rsid w:val="00F31F18"/>
    <w:rsid w:val="00F32074"/>
    <w:rsid w:val="00F41D4A"/>
    <w:rsid w:val="00F43B42"/>
    <w:rsid w:val="00F478B5"/>
    <w:rsid w:val="00F72394"/>
    <w:rsid w:val="00F7782B"/>
    <w:rsid w:val="00F8362A"/>
    <w:rsid w:val="00F839A8"/>
    <w:rsid w:val="00F83A1E"/>
    <w:rsid w:val="00F9140C"/>
    <w:rsid w:val="00F96679"/>
    <w:rsid w:val="00F96924"/>
    <w:rsid w:val="00FA10DC"/>
    <w:rsid w:val="00FB17B1"/>
    <w:rsid w:val="00FB38BA"/>
    <w:rsid w:val="00FB4101"/>
    <w:rsid w:val="00FB44D6"/>
    <w:rsid w:val="00FB5550"/>
    <w:rsid w:val="00FB5F3B"/>
    <w:rsid w:val="00FB73A3"/>
    <w:rsid w:val="00FE2BD6"/>
    <w:rsid w:val="00FE57FD"/>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E7D36B"/>
  <w15:docId w15:val="{57357A0F-3291-4614-895B-A831F2C4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3834"/>
    <w:pPr>
      <w:spacing w:after="0" w:line="240" w:lineRule="auto"/>
    </w:pPr>
    <w:rPr>
      <w:rFonts w:ascii="Times" w:hAnsi="Times"/>
      <w:color w:val="auto"/>
      <w:sz w:val="24"/>
      <w:szCs w:val="24"/>
      <w:lang w:eastAsia="zh-CN"/>
    </w:rPr>
  </w:style>
  <w:style w:type="paragraph" w:styleId="Heading1">
    <w:name w:val="heading 1"/>
    <w:basedOn w:val="Normal"/>
    <w:next w:val="Normal"/>
    <w:link w:val="Heading1Char"/>
    <w:uiPriority w:val="2"/>
    <w:qFormat/>
    <w:rsid w:val="00AD44D9"/>
    <w:pPr>
      <w:outlineLvl w:val="0"/>
    </w:pPr>
    <w:rPr>
      <w:rFonts w:ascii="Arial" w:hAnsi="Arial" w:cs="Arial"/>
      <w:b/>
      <w:color w:val="2F528F"/>
      <w:spacing w:val="20"/>
      <w:sz w:val="26"/>
      <w:szCs w:val="26"/>
    </w:rPr>
  </w:style>
  <w:style w:type="paragraph" w:styleId="Heading2">
    <w:name w:val="heading 2"/>
    <w:basedOn w:val="ListParagraph"/>
    <w:next w:val="Normal"/>
    <w:link w:val="Heading2Char"/>
    <w:uiPriority w:val="2"/>
    <w:unhideWhenUsed/>
    <w:qFormat/>
    <w:rsid w:val="007A7423"/>
    <w:pPr>
      <w:numPr>
        <w:numId w:val="24"/>
      </w:numPr>
      <w:spacing w:line="360" w:lineRule="auto"/>
      <w:ind w:left="360"/>
      <w:outlineLvl w:val="1"/>
    </w:pPr>
    <w:rPr>
      <w:rFonts w:ascii="Arial" w:eastAsia="MS Mincho" w:hAnsi="Arial" w:cs="Arial"/>
      <w:color w:val="595959" w:themeColor="text1" w:themeTint="A6"/>
      <w:spacing w:val="20"/>
      <w:lang w:eastAsia="en-US"/>
    </w:rPr>
  </w:style>
  <w:style w:type="paragraph" w:styleId="Heading3">
    <w:name w:val="heading 3"/>
    <w:basedOn w:val="Normal"/>
    <w:next w:val="Normal"/>
    <w:link w:val="Heading3Char"/>
    <w:uiPriority w:val="2"/>
    <w:unhideWhenUsed/>
    <w:qFormat/>
    <w:pPr>
      <w:keepNext/>
      <w:keepLines/>
      <w:spacing w:before="360" w:after="120" w:line="300" w:lineRule="auto"/>
      <w:outlineLvl w:val="2"/>
    </w:pPr>
    <w:rPr>
      <w:rFonts w:ascii="Calibri" w:hAnsi="Calibri"/>
      <w:b/>
      <w:bCs/>
      <w:i/>
      <w:iCs/>
      <w:color w:val="4C483D" w:themeColor="text2"/>
      <w:lang w:eastAsia="ja-JP"/>
    </w:rPr>
  </w:style>
  <w:style w:type="paragraph" w:styleId="Heading4">
    <w:name w:val="heading 4"/>
    <w:basedOn w:val="Normal"/>
    <w:next w:val="Normal"/>
    <w:link w:val="Heading4Char"/>
    <w:uiPriority w:val="2"/>
    <w:unhideWhenUsed/>
    <w:qFormat/>
    <w:rsid w:val="00790E63"/>
    <w:pPr>
      <w:spacing w:after="120"/>
      <w:outlineLvl w:val="3"/>
    </w:pPr>
    <w:rPr>
      <w:rFonts w:ascii="Calibri" w:hAnsi="Calibri"/>
      <w:b/>
      <w:color w:val="4C483D" w:themeColor="text2"/>
      <w:sz w:val="20"/>
      <w:szCs w:val="20"/>
      <w:lang w:eastAsia="ja-JP"/>
    </w:rPr>
  </w:style>
  <w:style w:type="paragraph" w:styleId="Heading5">
    <w:name w:val="heading 5"/>
    <w:basedOn w:val="Normal"/>
    <w:next w:val="Normal"/>
    <w:link w:val="Heading5Char"/>
    <w:uiPriority w:val="99"/>
    <w:unhideWhenUsed/>
    <w:qFormat/>
    <w:pPr>
      <w:keepNext/>
      <w:keepLines/>
      <w:spacing w:before="40" w:line="300" w:lineRule="auto"/>
      <w:outlineLvl w:val="4"/>
    </w:pPr>
    <w:rPr>
      <w:rFonts w:asciiTheme="majorHAnsi" w:eastAsiaTheme="majorEastAsia" w:hAnsiTheme="majorHAnsi" w:cstheme="majorBidi"/>
      <w:color w:val="F24F4F" w:themeColor="accent1"/>
      <w:sz w:val="20"/>
      <w:szCs w:val="20"/>
      <w:lang w:eastAsia="ja-JP"/>
    </w:rPr>
  </w:style>
  <w:style w:type="paragraph" w:styleId="Heading6">
    <w:name w:val="heading 6"/>
    <w:basedOn w:val="Normal"/>
    <w:next w:val="Normal"/>
    <w:link w:val="Heading6Char"/>
    <w:uiPriority w:val="99"/>
    <w:semiHidden/>
    <w:unhideWhenUsed/>
    <w:qFormat/>
    <w:pPr>
      <w:keepNext/>
      <w:keepLines/>
      <w:spacing w:before="40" w:line="300" w:lineRule="auto"/>
      <w:outlineLvl w:val="5"/>
    </w:pPr>
    <w:rPr>
      <w:rFonts w:asciiTheme="majorHAnsi" w:eastAsiaTheme="majorEastAsia" w:hAnsiTheme="majorHAnsi" w:cstheme="majorBidi"/>
      <w:color w:val="F24F4F" w:themeColor="accent1"/>
      <w:sz w:val="20"/>
      <w:szCs w:val="20"/>
      <w:lang w:eastAsia="ja-JP"/>
    </w:rPr>
  </w:style>
  <w:style w:type="paragraph" w:styleId="Heading9">
    <w:name w:val="heading 9"/>
    <w:basedOn w:val="Normal"/>
    <w:next w:val="Normal"/>
    <w:link w:val="Heading9Char"/>
    <w:uiPriority w:val="99"/>
    <w:semiHidden/>
    <w:unhideWhenUsed/>
    <w:qFormat/>
    <w:rsid w:val="00D355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after="240" w:line="300" w:lineRule="auto"/>
    </w:pPr>
    <w:rPr>
      <w:rFonts w:ascii="Calibri" w:hAnsi="Calibri"/>
      <w:color w:val="4C483D" w:themeColor="text2"/>
      <w:sz w:val="20"/>
      <w:szCs w:val="20"/>
      <w:lang w:eastAsia="ja-JP"/>
    </w:r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rsid w:val="00BA18F8"/>
    <w:pPr>
      <w:spacing w:after="600"/>
      <w:contextualSpacing/>
    </w:pPr>
    <w:rPr>
      <w:rFonts w:asciiTheme="majorHAnsi" w:eastAsiaTheme="majorEastAsia" w:hAnsiTheme="majorHAnsi" w:cstheme="majorBidi"/>
      <w:color w:val="61ADBF" w:themeColor="accent4"/>
      <w:kern w:val="28"/>
      <w:sz w:val="96"/>
      <w:szCs w:val="96"/>
      <w:lang w:eastAsia="ja-JP"/>
    </w:rPr>
  </w:style>
  <w:style w:type="character" w:customStyle="1" w:styleId="TitleChar">
    <w:name w:val="Title Char"/>
    <w:basedOn w:val="DefaultParagraphFont"/>
    <w:link w:val="Title"/>
    <w:uiPriority w:val="3"/>
    <w:rsid w:val="00BA18F8"/>
    <w:rPr>
      <w:rFonts w:asciiTheme="majorHAnsi" w:eastAsiaTheme="majorEastAsia" w:hAnsiTheme="majorHAnsi" w:cstheme="majorBidi"/>
      <w:color w:val="61ADBF" w:themeColor="accent4"/>
      <w:kern w:val="28"/>
      <w:sz w:val="96"/>
      <w:szCs w:val="96"/>
    </w:rPr>
  </w:style>
  <w:style w:type="paragraph" w:styleId="Subtitle">
    <w:name w:val="Subtitle"/>
    <w:basedOn w:val="Normal"/>
    <w:next w:val="Normal"/>
    <w:link w:val="SubtitleChar"/>
    <w:uiPriority w:val="4"/>
    <w:qFormat/>
    <w:pPr>
      <w:numPr>
        <w:ilvl w:val="1"/>
      </w:numPr>
    </w:pPr>
    <w:rPr>
      <w:rFonts w:ascii="Calibri" w:hAnsi="Calibri"/>
      <w:color w:val="4C483D" w:themeColor="text2"/>
      <w:sz w:val="32"/>
      <w:szCs w:val="32"/>
      <w:lang w:eastAsia="ja-JP"/>
    </w:rPr>
  </w:style>
  <w:style w:type="character" w:customStyle="1" w:styleId="SubtitleChar">
    <w:name w:val="Subtitle Char"/>
    <w:basedOn w:val="DefaultParagraphFont"/>
    <w:link w:val="Subtitle"/>
    <w:uiPriority w:val="4"/>
    <w:rPr>
      <w:sz w:val="32"/>
      <w:szCs w:val="32"/>
    </w:rPr>
  </w:style>
  <w:style w:type="paragraph" w:styleId="NoSpacing">
    <w:name w:val="No Spacing"/>
    <w:link w:val="NoSpacingChar"/>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5"/>
    <w:qFormat/>
    <w:rPr>
      <w:color w:val="FFFFFF" w:themeColor="background1"/>
      <w:sz w:val="22"/>
      <w:szCs w:val="22"/>
    </w:rPr>
  </w:style>
  <w:style w:type="character" w:customStyle="1" w:styleId="Heading5Char">
    <w:name w:val="Heading 5 Char"/>
    <w:basedOn w:val="DefaultParagraphFont"/>
    <w:link w:val="Heading5"/>
    <w:uiPriority w:val="99"/>
    <w:rPr>
      <w:rFonts w:asciiTheme="majorHAnsi" w:eastAsiaTheme="majorEastAsia" w:hAnsiTheme="majorHAnsi" w:cstheme="majorBidi"/>
      <w:color w:val="F24F4F" w:themeColor="accent1"/>
    </w:rPr>
  </w:style>
  <w:style w:type="paragraph" w:styleId="Header">
    <w:name w:val="header"/>
    <w:basedOn w:val="Normal"/>
    <w:link w:val="HeaderChar"/>
    <w:uiPriority w:val="99"/>
    <w:unhideWhenUsed/>
    <w:pPr>
      <w:tabs>
        <w:tab w:val="center" w:pos="4680"/>
        <w:tab w:val="right" w:pos="9360"/>
      </w:tabs>
    </w:pPr>
    <w:rPr>
      <w:rFonts w:ascii="Calibri" w:hAnsi="Calibri"/>
      <w:color w:val="4C483D" w:themeColor="text2"/>
      <w:sz w:val="20"/>
      <w:szCs w:val="20"/>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ajorHAnsi" w:eastAsiaTheme="majorEastAsia" w:hAnsiTheme="majorHAnsi" w:cstheme="majorBidi"/>
      <w:caps/>
      <w:color w:val="F24F4F" w:themeColor="accent1"/>
      <w:sz w:val="16"/>
      <w:szCs w:val="16"/>
      <w:lang w:eastAsia="ja-JP"/>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2"/>
    <w:rsid w:val="00AD44D9"/>
    <w:rPr>
      <w:rFonts w:ascii="Arial" w:hAnsi="Arial" w:cs="Arial"/>
      <w:b/>
      <w:color w:val="2F528F"/>
      <w:spacing w:val="20"/>
      <w:sz w:val="26"/>
      <w:szCs w:val="26"/>
      <w:lang w:eastAsia="zh-CN"/>
    </w:rPr>
  </w:style>
  <w:style w:type="character" w:customStyle="1" w:styleId="Heading2Char">
    <w:name w:val="Heading 2 Char"/>
    <w:basedOn w:val="DefaultParagraphFont"/>
    <w:link w:val="Heading2"/>
    <w:uiPriority w:val="2"/>
    <w:rsid w:val="007A7423"/>
    <w:rPr>
      <w:rFonts w:ascii="Arial" w:eastAsia="MS Mincho" w:hAnsi="Arial" w:cs="Arial"/>
      <w:color w:val="595959" w:themeColor="text1" w:themeTint="A6"/>
      <w:spacing w:val="20"/>
      <w:lang w:eastAsia="en-US"/>
    </w:rPr>
  </w:style>
  <w:style w:type="paragraph" w:styleId="TOCHeading">
    <w:name w:val="TOC Heading"/>
    <w:basedOn w:val="Heading1"/>
    <w:next w:val="Normal"/>
    <w:uiPriority w:val="99"/>
    <w:unhideWhenUsed/>
    <w:qFormat/>
    <w:rsid w:val="00BA18F8"/>
    <w:pPr>
      <w:spacing w:after="400"/>
      <w:outlineLvl w:val="9"/>
    </w:pPr>
    <w:rPr>
      <w:sz w:val="72"/>
      <w:szCs w:val="72"/>
    </w:rPr>
  </w:style>
  <w:style w:type="paragraph" w:styleId="TOC1">
    <w:name w:val="toc 1"/>
    <w:basedOn w:val="Normal"/>
    <w:next w:val="Normal"/>
    <w:autoRedefine/>
    <w:uiPriority w:val="39"/>
    <w:unhideWhenUsed/>
    <w:qFormat/>
    <w:rsid w:val="00660B36"/>
    <w:pPr>
      <w:spacing w:before="360"/>
      <w:ind w:right="3996"/>
    </w:pPr>
    <w:rPr>
      <w:rFonts w:ascii="Arial" w:hAnsi="Arial" w:cs="Arial"/>
      <w:b/>
      <w:bCs/>
      <w:sz w:val="32"/>
      <w:szCs w:val="32"/>
    </w:rPr>
  </w:style>
  <w:style w:type="character" w:customStyle="1" w:styleId="NoSpacingChar">
    <w:name w:val="No Spacing Char"/>
    <w:basedOn w:val="DefaultParagraphFont"/>
    <w:link w:val="NoSpacing"/>
    <w:uiPriority w:val="1"/>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2"/>
    <w:rPr>
      <w:b/>
      <w:bCs/>
      <w:i/>
      <w:iCs/>
      <w:sz w:val="24"/>
      <w:szCs w:val="24"/>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color w:val="4C483D" w:themeColor="text2"/>
      <w:sz w:val="16"/>
      <w:szCs w:val="16"/>
      <w:lang w:eastAsia="ja-JP"/>
    </w:rPr>
  </w:style>
  <w:style w:type="paragraph" w:customStyle="1" w:styleId="Icon">
    <w:name w:val="Icon"/>
    <w:basedOn w:val="Normal"/>
    <w:uiPriority w:val="99"/>
    <w:unhideWhenUsed/>
    <w:pPr>
      <w:spacing w:before="160" w:after="160"/>
      <w:jc w:val="center"/>
    </w:pPr>
    <w:rPr>
      <w:rFonts w:ascii="Calibri" w:hAnsi="Calibri"/>
      <w:color w:val="4C483D" w:themeColor="text2"/>
      <w:sz w:val="20"/>
      <w:szCs w:val="20"/>
      <w:lang w:eastAsia="ja-JP"/>
    </w:rPr>
  </w:style>
  <w:style w:type="character" w:customStyle="1" w:styleId="Heading4Char">
    <w:name w:val="Heading 4 Char"/>
    <w:basedOn w:val="DefaultParagraphFont"/>
    <w:link w:val="Heading4"/>
    <w:uiPriority w:val="2"/>
    <w:rsid w:val="00790E63"/>
    <w:rPr>
      <w:rFonts w:ascii="Calibri" w:hAnsi="Calibri"/>
      <w:b/>
    </w:rPr>
  </w:style>
  <w:style w:type="table" w:customStyle="1" w:styleId="ReportTable">
    <w:name w:val="Report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99"/>
    <w:unhideWhenUsed/>
    <w:pPr>
      <w:ind w:left="240"/>
    </w:pPr>
    <w:rPr>
      <w:rFonts w:asciiTheme="minorHAnsi" w:hAnsiTheme="minorHAnsi"/>
      <w:sz w:val="20"/>
      <w:szCs w:val="20"/>
    </w:rPr>
  </w:style>
  <w:style w:type="paragraph" w:styleId="TOC4">
    <w:name w:val="toc 4"/>
    <w:basedOn w:val="Normal"/>
    <w:next w:val="Normal"/>
    <w:autoRedefine/>
    <w:uiPriority w:val="99"/>
    <w:unhideWhenUsed/>
    <w:pPr>
      <w:ind w:left="480"/>
    </w:pPr>
    <w:rPr>
      <w:rFonts w:asciiTheme="minorHAnsi" w:hAnsiTheme="minorHAnsi"/>
      <w:sz w:val="20"/>
      <w:szCs w:val="20"/>
    </w:rPr>
  </w:style>
  <w:style w:type="paragraph" w:styleId="ListBullet">
    <w:name w:val="List Bullet"/>
    <w:basedOn w:val="Normal"/>
    <w:uiPriority w:val="2"/>
    <w:unhideWhenUsed/>
    <w:qFormat/>
    <w:pPr>
      <w:spacing w:after="240" w:line="300" w:lineRule="auto"/>
      <w:contextualSpacing/>
    </w:pPr>
    <w:rPr>
      <w:rFonts w:ascii="Calibri" w:hAnsi="Calibri"/>
      <w:color w:val="4C483D" w:themeColor="text2"/>
      <w:sz w:val="20"/>
      <w:szCs w:val="20"/>
      <w:lang w:eastAsia="ja-JP"/>
    </w:rPr>
  </w:style>
  <w:style w:type="paragraph" w:styleId="ListBullet2">
    <w:name w:val="List Bullet 2"/>
    <w:basedOn w:val="Normal"/>
    <w:uiPriority w:val="2"/>
    <w:unhideWhenUsed/>
    <w:qFormat/>
    <w:pPr>
      <w:numPr>
        <w:numId w:val="5"/>
      </w:numPr>
      <w:spacing w:after="240" w:line="300" w:lineRule="auto"/>
      <w:contextualSpacing/>
    </w:pPr>
    <w:rPr>
      <w:rFonts w:ascii="Calibri" w:hAnsi="Calibri"/>
      <w:color w:val="4C483D" w:themeColor="text2"/>
      <w:sz w:val="20"/>
      <w:szCs w:val="20"/>
      <w:lang w:eastAsia="ja-JP"/>
    </w:rPr>
  </w:style>
  <w:style w:type="character" w:styleId="Strong">
    <w:name w:val="Strong"/>
    <w:basedOn w:val="DefaultParagraphFont"/>
    <w:uiPriority w:val="22"/>
    <w:unhideWhenUsed/>
    <w:qFormat/>
    <w:rPr>
      <w:b w:val="0"/>
      <w:bCs w:val="0"/>
      <w:color w:val="F24F4F" w:themeColor="accent1"/>
    </w:rPr>
  </w:style>
  <w:style w:type="paragraph" w:customStyle="1" w:styleId="Checkbox">
    <w:name w:val="Checkbox"/>
    <w:basedOn w:val="Normal"/>
    <w:link w:val="CheckboxChar"/>
    <w:uiPriority w:val="3"/>
    <w:qFormat/>
    <w:pPr>
      <w:spacing w:after="80"/>
    </w:pPr>
    <w:rPr>
      <w:rFonts w:ascii="Calibri" w:hAnsi="Calibri"/>
      <w:color w:val="F24F4F" w:themeColor="accent1"/>
      <w:sz w:val="20"/>
      <w:szCs w:val="20"/>
      <w:lang w:eastAsia="ja-JP"/>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color w:val="F24F4F" w:themeColor="accent1"/>
    </w:rPr>
  </w:style>
  <w:style w:type="character" w:customStyle="1" w:styleId="CheckboxChar">
    <w:name w:val="Checkbox Char"/>
    <w:basedOn w:val="DefaultParagraphFont"/>
    <w:link w:val="Checkbox"/>
    <w:uiPriority w:val="3"/>
    <w:rPr>
      <w:color w:val="F24F4F" w:themeColor="accent1"/>
    </w:rPr>
  </w:style>
  <w:style w:type="paragraph" w:styleId="Closing">
    <w:name w:val="Closing"/>
    <w:basedOn w:val="Normal"/>
    <w:link w:val="ClosingChar"/>
    <w:uiPriority w:val="99"/>
    <w:unhideWhenUsed/>
    <w:qFormat/>
    <w:pPr>
      <w:spacing w:before="960" w:after="240" w:line="300" w:lineRule="auto"/>
    </w:pPr>
    <w:rPr>
      <w:rFonts w:ascii="Calibri" w:hAnsi="Calibri"/>
      <w:color w:val="4C483D" w:themeColor="text2"/>
      <w:sz w:val="20"/>
      <w:szCs w:val="20"/>
      <w:lang w:eastAsia="ja-JP"/>
    </w:rPr>
  </w:style>
  <w:style w:type="character" w:customStyle="1" w:styleId="ClosingChar">
    <w:name w:val="Closing Char"/>
    <w:basedOn w:val="DefaultParagraphFont"/>
    <w:link w:val="Closing"/>
    <w:uiPriority w:val="99"/>
  </w:style>
  <w:style w:type="paragraph" w:styleId="DocumentMap">
    <w:name w:val="Document Map"/>
    <w:basedOn w:val="Normal"/>
    <w:link w:val="DocumentMapChar"/>
    <w:uiPriority w:val="99"/>
    <w:semiHidden/>
    <w:unhideWhenUsed/>
    <w:rPr>
      <w:rFonts w:ascii="Segoe UI" w:hAnsi="Segoe UI" w:cs="Segoe UI"/>
      <w:color w:val="4C483D" w:themeColor="text2"/>
      <w:sz w:val="16"/>
      <w:szCs w:val="16"/>
      <w:lang w:eastAsia="ja-JP"/>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ListParagraph">
    <w:name w:val="List Paragraph"/>
    <w:basedOn w:val="Normal"/>
    <w:uiPriority w:val="34"/>
    <w:unhideWhenUsed/>
    <w:qFormat/>
    <w:rsid w:val="00B35EA0"/>
    <w:pPr>
      <w:spacing w:after="240" w:line="300" w:lineRule="auto"/>
      <w:ind w:left="720"/>
      <w:contextualSpacing/>
    </w:pPr>
    <w:rPr>
      <w:rFonts w:ascii="Calibri" w:hAnsi="Calibri"/>
      <w:color w:val="4C483D" w:themeColor="text2"/>
      <w:sz w:val="20"/>
      <w:szCs w:val="20"/>
      <w:lang w:eastAsia="ja-JP"/>
    </w:rPr>
  </w:style>
  <w:style w:type="character" w:styleId="CommentReference">
    <w:name w:val="annotation reference"/>
    <w:basedOn w:val="DefaultParagraphFont"/>
    <w:uiPriority w:val="99"/>
    <w:semiHidden/>
    <w:unhideWhenUsed/>
    <w:rsid w:val="00262AE9"/>
    <w:rPr>
      <w:sz w:val="16"/>
      <w:szCs w:val="16"/>
    </w:rPr>
  </w:style>
  <w:style w:type="paragraph" w:styleId="CommentText">
    <w:name w:val="annotation text"/>
    <w:basedOn w:val="Normal"/>
    <w:link w:val="CommentTextChar"/>
    <w:uiPriority w:val="99"/>
    <w:semiHidden/>
    <w:unhideWhenUsed/>
    <w:rsid w:val="00262AE9"/>
    <w:pPr>
      <w:spacing w:after="240"/>
    </w:pPr>
    <w:rPr>
      <w:rFonts w:ascii="Calibri" w:hAnsi="Calibri"/>
      <w:color w:val="4C483D" w:themeColor="text2"/>
      <w:sz w:val="20"/>
      <w:szCs w:val="20"/>
      <w:lang w:eastAsia="ja-JP"/>
    </w:rPr>
  </w:style>
  <w:style w:type="character" w:customStyle="1" w:styleId="CommentTextChar">
    <w:name w:val="Comment Text Char"/>
    <w:basedOn w:val="DefaultParagraphFont"/>
    <w:link w:val="CommentText"/>
    <w:uiPriority w:val="99"/>
    <w:semiHidden/>
    <w:rsid w:val="00262AE9"/>
    <w:rPr>
      <w:rFonts w:ascii="Calibri" w:hAnsi="Calibri"/>
    </w:rPr>
  </w:style>
  <w:style w:type="paragraph" w:styleId="CommentSubject">
    <w:name w:val="annotation subject"/>
    <w:basedOn w:val="CommentText"/>
    <w:next w:val="CommentText"/>
    <w:link w:val="CommentSubjectChar"/>
    <w:uiPriority w:val="99"/>
    <w:semiHidden/>
    <w:unhideWhenUsed/>
    <w:rsid w:val="00262AE9"/>
    <w:rPr>
      <w:b/>
      <w:bCs/>
    </w:rPr>
  </w:style>
  <w:style w:type="character" w:customStyle="1" w:styleId="CommentSubjectChar">
    <w:name w:val="Comment Subject Char"/>
    <w:basedOn w:val="CommentTextChar"/>
    <w:link w:val="CommentSubject"/>
    <w:uiPriority w:val="99"/>
    <w:semiHidden/>
    <w:rsid w:val="00262AE9"/>
    <w:rPr>
      <w:rFonts w:ascii="Calibri" w:hAnsi="Calibri"/>
      <w:b/>
      <w:bCs/>
    </w:rPr>
  </w:style>
  <w:style w:type="paragraph" w:styleId="BalloonText">
    <w:name w:val="Balloon Text"/>
    <w:basedOn w:val="Normal"/>
    <w:link w:val="BalloonTextChar"/>
    <w:uiPriority w:val="99"/>
    <w:semiHidden/>
    <w:unhideWhenUsed/>
    <w:rsid w:val="00262AE9"/>
    <w:rPr>
      <w:rFonts w:ascii="Segoe UI" w:hAnsi="Segoe UI" w:cs="Segoe UI"/>
      <w:color w:val="4C483D" w:themeColor="text2"/>
      <w:sz w:val="18"/>
      <w:szCs w:val="18"/>
      <w:lang w:eastAsia="ja-JP"/>
    </w:rPr>
  </w:style>
  <w:style w:type="character" w:customStyle="1" w:styleId="BalloonTextChar">
    <w:name w:val="Balloon Text Char"/>
    <w:basedOn w:val="DefaultParagraphFont"/>
    <w:link w:val="BalloonText"/>
    <w:uiPriority w:val="99"/>
    <w:semiHidden/>
    <w:rsid w:val="00262AE9"/>
    <w:rPr>
      <w:rFonts w:ascii="Segoe UI" w:hAnsi="Segoe UI" w:cs="Segoe UI"/>
      <w:sz w:val="18"/>
      <w:szCs w:val="18"/>
    </w:rPr>
  </w:style>
  <w:style w:type="paragraph" w:customStyle="1" w:styleId="Body">
    <w:name w:val="Body"/>
    <w:basedOn w:val="Heading5"/>
    <w:rsid w:val="002B4808"/>
    <w:pPr>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spacing w:before="0" w:line="360" w:lineRule="auto"/>
      <w:ind w:left="547"/>
    </w:pPr>
    <w:rPr>
      <w:rFonts w:ascii="Times New Roman" w:eastAsia="Times New Roman" w:hAnsi="Times New Roman" w:cs="Times New Roman"/>
      <w:color w:val="auto"/>
      <w:sz w:val="22"/>
      <w:szCs w:val="22"/>
      <w:lang w:eastAsia="en-US"/>
    </w:rPr>
  </w:style>
  <w:style w:type="table" w:customStyle="1" w:styleId="TableGrid1">
    <w:name w:val="Table Grid1"/>
    <w:basedOn w:val="TableNormal"/>
    <w:next w:val="TableGrid"/>
    <w:uiPriority w:val="59"/>
    <w:rsid w:val="00454939"/>
    <w:pPr>
      <w:spacing w:after="0" w:line="24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54939"/>
    <w:pPr>
      <w:numPr>
        <w:numId w:val="21"/>
      </w:numPr>
    </w:pPr>
  </w:style>
  <w:style w:type="paragraph" w:styleId="TOC2">
    <w:name w:val="toc 2"/>
    <w:basedOn w:val="Normal"/>
    <w:next w:val="Normal"/>
    <w:autoRedefine/>
    <w:uiPriority w:val="39"/>
    <w:unhideWhenUsed/>
    <w:rsid w:val="005A10A7"/>
    <w:pPr>
      <w:tabs>
        <w:tab w:val="right" w:leader="dot" w:pos="9350"/>
      </w:tabs>
      <w:spacing w:before="240"/>
      <w:ind w:right="3996"/>
    </w:pPr>
    <w:rPr>
      <w:rFonts w:asciiTheme="minorHAnsi" w:hAnsiTheme="minorHAnsi"/>
      <w:b/>
      <w:bCs/>
      <w:sz w:val="20"/>
      <w:szCs w:val="20"/>
    </w:rPr>
  </w:style>
  <w:style w:type="paragraph" w:styleId="TOC5">
    <w:name w:val="toc 5"/>
    <w:basedOn w:val="Normal"/>
    <w:next w:val="Normal"/>
    <w:autoRedefine/>
    <w:uiPriority w:val="99"/>
    <w:unhideWhenUsed/>
    <w:rsid w:val="002E6F08"/>
    <w:pPr>
      <w:ind w:left="720"/>
    </w:pPr>
    <w:rPr>
      <w:rFonts w:asciiTheme="minorHAnsi" w:hAnsiTheme="minorHAnsi"/>
      <w:sz w:val="20"/>
      <w:szCs w:val="20"/>
    </w:rPr>
  </w:style>
  <w:style w:type="paragraph" w:styleId="TOC6">
    <w:name w:val="toc 6"/>
    <w:basedOn w:val="Normal"/>
    <w:next w:val="Normal"/>
    <w:autoRedefine/>
    <w:uiPriority w:val="99"/>
    <w:unhideWhenUsed/>
    <w:rsid w:val="002E6F08"/>
    <w:pPr>
      <w:ind w:left="960"/>
    </w:pPr>
    <w:rPr>
      <w:rFonts w:asciiTheme="minorHAnsi" w:hAnsiTheme="minorHAnsi"/>
      <w:sz w:val="20"/>
      <w:szCs w:val="20"/>
    </w:rPr>
  </w:style>
  <w:style w:type="paragraph" w:styleId="TOC7">
    <w:name w:val="toc 7"/>
    <w:basedOn w:val="Normal"/>
    <w:next w:val="Normal"/>
    <w:autoRedefine/>
    <w:uiPriority w:val="99"/>
    <w:unhideWhenUsed/>
    <w:rsid w:val="002E6F08"/>
    <w:pPr>
      <w:ind w:left="1200"/>
    </w:pPr>
    <w:rPr>
      <w:rFonts w:asciiTheme="minorHAnsi" w:hAnsiTheme="minorHAnsi"/>
      <w:sz w:val="20"/>
      <w:szCs w:val="20"/>
    </w:rPr>
  </w:style>
  <w:style w:type="paragraph" w:styleId="TOC8">
    <w:name w:val="toc 8"/>
    <w:basedOn w:val="Normal"/>
    <w:next w:val="Normal"/>
    <w:autoRedefine/>
    <w:uiPriority w:val="99"/>
    <w:unhideWhenUsed/>
    <w:rsid w:val="002E6F08"/>
    <w:pPr>
      <w:ind w:left="1440"/>
    </w:pPr>
    <w:rPr>
      <w:rFonts w:asciiTheme="minorHAnsi" w:hAnsiTheme="minorHAnsi"/>
      <w:sz w:val="20"/>
      <w:szCs w:val="20"/>
    </w:rPr>
  </w:style>
  <w:style w:type="paragraph" w:styleId="TOC9">
    <w:name w:val="toc 9"/>
    <w:basedOn w:val="Normal"/>
    <w:next w:val="Normal"/>
    <w:autoRedefine/>
    <w:uiPriority w:val="99"/>
    <w:unhideWhenUsed/>
    <w:rsid w:val="002E6F08"/>
    <w:pPr>
      <w:ind w:left="1680"/>
    </w:pPr>
    <w:rPr>
      <w:rFonts w:asciiTheme="minorHAnsi" w:hAnsiTheme="minorHAnsi"/>
      <w:sz w:val="20"/>
      <w:szCs w:val="20"/>
    </w:rPr>
  </w:style>
  <w:style w:type="character" w:customStyle="1" w:styleId="Heading9Char">
    <w:name w:val="Heading 9 Char"/>
    <w:basedOn w:val="DefaultParagraphFont"/>
    <w:link w:val="Heading9"/>
    <w:uiPriority w:val="99"/>
    <w:semiHidden/>
    <w:rsid w:val="00D35526"/>
    <w:rPr>
      <w:rFonts w:asciiTheme="majorHAnsi" w:eastAsiaTheme="majorEastAsia" w:hAnsiTheme="majorHAnsi" w:cstheme="majorBidi"/>
      <w:i/>
      <w:iCs/>
      <w:color w:val="272727" w:themeColor="text1" w:themeTint="D8"/>
      <w:sz w:val="21"/>
      <w:szCs w:val="21"/>
      <w:lang w:eastAsia="zh-CN"/>
    </w:rPr>
  </w:style>
  <w:style w:type="paragraph" w:customStyle="1" w:styleId="IssueInfo">
    <w:name w:val="Issue Info"/>
    <w:basedOn w:val="Normal"/>
    <w:link w:val="IssueInfoChar"/>
    <w:uiPriority w:val="12"/>
    <w:qFormat/>
    <w:rsid w:val="00B77AC2"/>
    <w:pPr>
      <w:spacing w:line="276" w:lineRule="auto"/>
      <w:ind w:left="1296"/>
    </w:pPr>
    <w:rPr>
      <w:rFonts w:asciiTheme="majorHAnsi" w:eastAsiaTheme="minorHAnsi" w:hAnsiTheme="majorHAnsi"/>
      <w:b/>
      <w:color w:val="61ADBF" w:themeColor="accent4"/>
      <w:sz w:val="16"/>
      <w:szCs w:val="18"/>
      <w:lang w:eastAsia="en-US"/>
    </w:rPr>
  </w:style>
  <w:style w:type="character" w:customStyle="1" w:styleId="IssueInfoChar">
    <w:name w:val="Issue Info Char"/>
    <w:basedOn w:val="DefaultParagraphFont"/>
    <w:link w:val="IssueInfo"/>
    <w:uiPriority w:val="12"/>
    <w:rsid w:val="00B77AC2"/>
    <w:rPr>
      <w:rFonts w:asciiTheme="majorHAnsi" w:eastAsiaTheme="minorHAnsi" w:hAnsiTheme="majorHAnsi"/>
      <w:b/>
      <w:color w:val="61ADBF" w:themeColor="accent4"/>
      <w:sz w:val="16"/>
      <w:szCs w:val="18"/>
      <w:lang w:eastAsia="en-US"/>
    </w:rPr>
  </w:style>
  <w:style w:type="character" w:styleId="UnresolvedMention">
    <w:name w:val="Unresolved Mention"/>
    <w:basedOn w:val="DefaultParagraphFont"/>
    <w:uiPriority w:val="99"/>
    <w:rsid w:val="00C57C98"/>
    <w:rPr>
      <w:color w:val="605E5C"/>
      <w:shd w:val="clear" w:color="auto" w:fill="E1DFDD"/>
    </w:rPr>
  </w:style>
  <w:style w:type="character" w:styleId="FollowedHyperlink">
    <w:name w:val="FollowedHyperlink"/>
    <w:basedOn w:val="DefaultParagraphFont"/>
    <w:uiPriority w:val="99"/>
    <w:semiHidden/>
    <w:unhideWhenUsed/>
    <w:rsid w:val="006000F7"/>
    <w:rPr>
      <w:color w:val="A3648B" w:themeColor="followedHyperlink"/>
      <w:u w:val="single"/>
    </w:rPr>
  </w:style>
  <w:style w:type="paragraph" w:styleId="NormalWeb">
    <w:name w:val="Normal (Web)"/>
    <w:basedOn w:val="Normal"/>
    <w:uiPriority w:val="99"/>
    <w:unhideWhenUsed/>
    <w:rsid w:val="002D4C25"/>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E45791"/>
    <w:rPr>
      <w:i/>
      <w:iCs/>
    </w:rPr>
  </w:style>
  <w:style w:type="character" w:customStyle="1" w:styleId="mark2cgg9usa6">
    <w:name w:val="mark2cgg9usa6"/>
    <w:basedOn w:val="DefaultParagraphFont"/>
    <w:rsid w:val="00E45791"/>
  </w:style>
  <w:style w:type="paragraph" w:customStyle="1" w:styleId="rich-text">
    <w:name w:val="rich-text"/>
    <w:basedOn w:val="Normal"/>
    <w:rsid w:val="007419D6"/>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0947">
      <w:bodyDiv w:val="1"/>
      <w:marLeft w:val="0"/>
      <w:marRight w:val="0"/>
      <w:marTop w:val="0"/>
      <w:marBottom w:val="0"/>
      <w:divBdr>
        <w:top w:val="none" w:sz="0" w:space="0" w:color="auto"/>
        <w:left w:val="none" w:sz="0" w:space="0" w:color="auto"/>
        <w:bottom w:val="none" w:sz="0" w:space="0" w:color="auto"/>
        <w:right w:val="none" w:sz="0" w:space="0" w:color="auto"/>
      </w:divBdr>
    </w:div>
    <w:div w:id="35471452">
      <w:bodyDiv w:val="1"/>
      <w:marLeft w:val="0"/>
      <w:marRight w:val="0"/>
      <w:marTop w:val="0"/>
      <w:marBottom w:val="0"/>
      <w:divBdr>
        <w:top w:val="none" w:sz="0" w:space="0" w:color="auto"/>
        <w:left w:val="none" w:sz="0" w:space="0" w:color="auto"/>
        <w:bottom w:val="none" w:sz="0" w:space="0" w:color="auto"/>
        <w:right w:val="none" w:sz="0" w:space="0" w:color="auto"/>
      </w:divBdr>
    </w:div>
    <w:div w:id="75784518">
      <w:bodyDiv w:val="1"/>
      <w:marLeft w:val="0"/>
      <w:marRight w:val="0"/>
      <w:marTop w:val="0"/>
      <w:marBottom w:val="0"/>
      <w:divBdr>
        <w:top w:val="none" w:sz="0" w:space="0" w:color="auto"/>
        <w:left w:val="none" w:sz="0" w:space="0" w:color="auto"/>
        <w:bottom w:val="none" w:sz="0" w:space="0" w:color="auto"/>
        <w:right w:val="none" w:sz="0" w:space="0" w:color="auto"/>
      </w:divBdr>
    </w:div>
    <w:div w:id="85687577">
      <w:bodyDiv w:val="1"/>
      <w:marLeft w:val="0"/>
      <w:marRight w:val="0"/>
      <w:marTop w:val="0"/>
      <w:marBottom w:val="0"/>
      <w:divBdr>
        <w:top w:val="none" w:sz="0" w:space="0" w:color="auto"/>
        <w:left w:val="none" w:sz="0" w:space="0" w:color="auto"/>
        <w:bottom w:val="none" w:sz="0" w:space="0" w:color="auto"/>
        <w:right w:val="none" w:sz="0" w:space="0" w:color="auto"/>
      </w:divBdr>
    </w:div>
    <w:div w:id="127282827">
      <w:bodyDiv w:val="1"/>
      <w:marLeft w:val="0"/>
      <w:marRight w:val="0"/>
      <w:marTop w:val="0"/>
      <w:marBottom w:val="0"/>
      <w:divBdr>
        <w:top w:val="none" w:sz="0" w:space="0" w:color="auto"/>
        <w:left w:val="none" w:sz="0" w:space="0" w:color="auto"/>
        <w:bottom w:val="none" w:sz="0" w:space="0" w:color="auto"/>
        <w:right w:val="none" w:sz="0" w:space="0" w:color="auto"/>
      </w:divBdr>
    </w:div>
    <w:div w:id="175849786">
      <w:bodyDiv w:val="1"/>
      <w:marLeft w:val="0"/>
      <w:marRight w:val="0"/>
      <w:marTop w:val="0"/>
      <w:marBottom w:val="0"/>
      <w:divBdr>
        <w:top w:val="none" w:sz="0" w:space="0" w:color="auto"/>
        <w:left w:val="none" w:sz="0" w:space="0" w:color="auto"/>
        <w:bottom w:val="none" w:sz="0" w:space="0" w:color="auto"/>
        <w:right w:val="none" w:sz="0" w:space="0" w:color="auto"/>
      </w:divBdr>
    </w:div>
    <w:div w:id="231015321">
      <w:bodyDiv w:val="1"/>
      <w:marLeft w:val="0"/>
      <w:marRight w:val="0"/>
      <w:marTop w:val="0"/>
      <w:marBottom w:val="0"/>
      <w:divBdr>
        <w:top w:val="none" w:sz="0" w:space="0" w:color="auto"/>
        <w:left w:val="none" w:sz="0" w:space="0" w:color="auto"/>
        <w:bottom w:val="none" w:sz="0" w:space="0" w:color="auto"/>
        <w:right w:val="none" w:sz="0" w:space="0" w:color="auto"/>
      </w:divBdr>
    </w:div>
    <w:div w:id="350450898">
      <w:bodyDiv w:val="1"/>
      <w:marLeft w:val="0"/>
      <w:marRight w:val="0"/>
      <w:marTop w:val="0"/>
      <w:marBottom w:val="0"/>
      <w:divBdr>
        <w:top w:val="none" w:sz="0" w:space="0" w:color="auto"/>
        <w:left w:val="none" w:sz="0" w:space="0" w:color="auto"/>
        <w:bottom w:val="none" w:sz="0" w:space="0" w:color="auto"/>
        <w:right w:val="none" w:sz="0" w:space="0" w:color="auto"/>
      </w:divBdr>
    </w:div>
    <w:div w:id="464736703">
      <w:bodyDiv w:val="1"/>
      <w:marLeft w:val="0"/>
      <w:marRight w:val="0"/>
      <w:marTop w:val="0"/>
      <w:marBottom w:val="0"/>
      <w:divBdr>
        <w:top w:val="none" w:sz="0" w:space="0" w:color="auto"/>
        <w:left w:val="none" w:sz="0" w:space="0" w:color="auto"/>
        <w:bottom w:val="none" w:sz="0" w:space="0" w:color="auto"/>
        <w:right w:val="none" w:sz="0" w:space="0" w:color="auto"/>
      </w:divBdr>
    </w:div>
    <w:div w:id="490947004">
      <w:bodyDiv w:val="1"/>
      <w:marLeft w:val="0"/>
      <w:marRight w:val="0"/>
      <w:marTop w:val="0"/>
      <w:marBottom w:val="0"/>
      <w:divBdr>
        <w:top w:val="none" w:sz="0" w:space="0" w:color="auto"/>
        <w:left w:val="none" w:sz="0" w:space="0" w:color="auto"/>
        <w:bottom w:val="none" w:sz="0" w:space="0" w:color="auto"/>
        <w:right w:val="none" w:sz="0" w:space="0" w:color="auto"/>
      </w:divBdr>
    </w:div>
    <w:div w:id="497698203">
      <w:bodyDiv w:val="1"/>
      <w:marLeft w:val="0"/>
      <w:marRight w:val="0"/>
      <w:marTop w:val="0"/>
      <w:marBottom w:val="0"/>
      <w:divBdr>
        <w:top w:val="none" w:sz="0" w:space="0" w:color="auto"/>
        <w:left w:val="none" w:sz="0" w:space="0" w:color="auto"/>
        <w:bottom w:val="none" w:sz="0" w:space="0" w:color="auto"/>
        <w:right w:val="none" w:sz="0" w:space="0" w:color="auto"/>
      </w:divBdr>
    </w:div>
    <w:div w:id="511650777">
      <w:bodyDiv w:val="1"/>
      <w:marLeft w:val="0"/>
      <w:marRight w:val="0"/>
      <w:marTop w:val="0"/>
      <w:marBottom w:val="0"/>
      <w:divBdr>
        <w:top w:val="none" w:sz="0" w:space="0" w:color="auto"/>
        <w:left w:val="none" w:sz="0" w:space="0" w:color="auto"/>
        <w:bottom w:val="none" w:sz="0" w:space="0" w:color="auto"/>
        <w:right w:val="none" w:sz="0" w:space="0" w:color="auto"/>
      </w:divBdr>
    </w:div>
    <w:div w:id="554004429">
      <w:bodyDiv w:val="1"/>
      <w:marLeft w:val="0"/>
      <w:marRight w:val="0"/>
      <w:marTop w:val="0"/>
      <w:marBottom w:val="0"/>
      <w:divBdr>
        <w:top w:val="none" w:sz="0" w:space="0" w:color="auto"/>
        <w:left w:val="none" w:sz="0" w:space="0" w:color="auto"/>
        <w:bottom w:val="none" w:sz="0" w:space="0" w:color="auto"/>
        <w:right w:val="none" w:sz="0" w:space="0" w:color="auto"/>
      </w:divBdr>
    </w:div>
    <w:div w:id="624848852">
      <w:bodyDiv w:val="1"/>
      <w:marLeft w:val="0"/>
      <w:marRight w:val="0"/>
      <w:marTop w:val="0"/>
      <w:marBottom w:val="0"/>
      <w:divBdr>
        <w:top w:val="none" w:sz="0" w:space="0" w:color="auto"/>
        <w:left w:val="none" w:sz="0" w:space="0" w:color="auto"/>
        <w:bottom w:val="none" w:sz="0" w:space="0" w:color="auto"/>
        <w:right w:val="none" w:sz="0" w:space="0" w:color="auto"/>
      </w:divBdr>
      <w:divsChild>
        <w:div w:id="1980765529">
          <w:marLeft w:val="0"/>
          <w:marRight w:val="0"/>
          <w:marTop w:val="0"/>
          <w:marBottom w:val="0"/>
          <w:divBdr>
            <w:top w:val="none" w:sz="0" w:space="0" w:color="auto"/>
            <w:left w:val="none" w:sz="0" w:space="0" w:color="auto"/>
            <w:bottom w:val="none" w:sz="0" w:space="0" w:color="auto"/>
            <w:right w:val="none" w:sz="0" w:space="0" w:color="auto"/>
          </w:divBdr>
        </w:div>
        <w:div w:id="1998802814">
          <w:marLeft w:val="0"/>
          <w:marRight w:val="0"/>
          <w:marTop w:val="0"/>
          <w:marBottom w:val="0"/>
          <w:divBdr>
            <w:top w:val="none" w:sz="0" w:space="0" w:color="auto"/>
            <w:left w:val="none" w:sz="0" w:space="0" w:color="auto"/>
            <w:bottom w:val="none" w:sz="0" w:space="0" w:color="auto"/>
            <w:right w:val="none" w:sz="0" w:space="0" w:color="auto"/>
          </w:divBdr>
        </w:div>
        <w:div w:id="665940571">
          <w:marLeft w:val="0"/>
          <w:marRight w:val="0"/>
          <w:marTop w:val="0"/>
          <w:marBottom w:val="0"/>
          <w:divBdr>
            <w:top w:val="none" w:sz="0" w:space="0" w:color="auto"/>
            <w:left w:val="none" w:sz="0" w:space="0" w:color="auto"/>
            <w:bottom w:val="none" w:sz="0" w:space="0" w:color="auto"/>
            <w:right w:val="none" w:sz="0" w:space="0" w:color="auto"/>
          </w:divBdr>
        </w:div>
      </w:divsChild>
    </w:div>
    <w:div w:id="691761033">
      <w:bodyDiv w:val="1"/>
      <w:marLeft w:val="0"/>
      <w:marRight w:val="0"/>
      <w:marTop w:val="0"/>
      <w:marBottom w:val="0"/>
      <w:divBdr>
        <w:top w:val="none" w:sz="0" w:space="0" w:color="auto"/>
        <w:left w:val="none" w:sz="0" w:space="0" w:color="auto"/>
        <w:bottom w:val="none" w:sz="0" w:space="0" w:color="auto"/>
        <w:right w:val="none" w:sz="0" w:space="0" w:color="auto"/>
      </w:divBdr>
    </w:div>
    <w:div w:id="693580972">
      <w:bodyDiv w:val="1"/>
      <w:marLeft w:val="0"/>
      <w:marRight w:val="0"/>
      <w:marTop w:val="0"/>
      <w:marBottom w:val="0"/>
      <w:divBdr>
        <w:top w:val="none" w:sz="0" w:space="0" w:color="auto"/>
        <w:left w:val="none" w:sz="0" w:space="0" w:color="auto"/>
        <w:bottom w:val="none" w:sz="0" w:space="0" w:color="auto"/>
        <w:right w:val="none" w:sz="0" w:space="0" w:color="auto"/>
      </w:divBdr>
    </w:div>
    <w:div w:id="696396973">
      <w:bodyDiv w:val="1"/>
      <w:marLeft w:val="0"/>
      <w:marRight w:val="0"/>
      <w:marTop w:val="0"/>
      <w:marBottom w:val="0"/>
      <w:divBdr>
        <w:top w:val="none" w:sz="0" w:space="0" w:color="auto"/>
        <w:left w:val="none" w:sz="0" w:space="0" w:color="auto"/>
        <w:bottom w:val="none" w:sz="0" w:space="0" w:color="auto"/>
        <w:right w:val="none" w:sz="0" w:space="0" w:color="auto"/>
      </w:divBdr>
    </w:div>
    <w:div w:id="748498174">
      <w:bodyDiv w:val="1"/>
      <w:marLeft w:val="0"/>
      <w:marRight w:val="0"/>
      <w:marTop w:val="0"/>
      <w:marBottom w:val="0"/>
      <w:divBdr>
        <w:top w:val="none" w:sz="0" w:space="0" w:color="auto"/>
        <w:left w:val="none" w:sz="0" w:space="0" w:color="auto"/>
        <w:bottom w:val="none" w:sz="0" w:space="0" w:color="auto"/>
        <w:right w:val="none" w:sz="0" w:space="0" w:color="auto"/>
      </w:divBdr>
    </w:div>
    <w:div w:id="772825820">
      <w:bodyDiv w:val="1"/>
      <w:marLeft w:val="0"/>
      <w:marRight w:val="0"/>
      <w:marTop w:val="0"/>
      <w:marBottom w:val="0"/>
      <w:divBdr>
        <w:top w:val="none" w:sz="0" w:space="0" w:color="auto"/>
        <w:left w:val="none" w:sz="0" w:space="0" w:color="auto"/>
        <w:bottom w:val="none" w:sz="0" w:space="0" w:color="auto"/>
        <w:right w:val="none" w:sz="0" w:space="0" w:color="auto"/>
      </w:divBdr>
    </w:div>
    <w:div w:id="809513857">
      <w:bodyDiv w:val="1"/>
      <w:marLeft w:val="0"/>
      <w:marRight w:val="0"/>
      <w:marTop w:val="0"/>
      <w:marBottom w:val="0"/>
      <w:divBdr>
        <w:top w:val="none" w:sz="0" w:space="0" w:color="auto"/>
        <w:left w:val="none" w:sz="0" w:space="0" w:color="auto"/>
        <w:bottom w:val="none" w:sz="0" w:space="0" w:color="auto"/>
        <w:right w:val="none" w:sz="0" w:space="0" w:color="auto"/>
      </w:divBdr>
    </w:div>
    <w:div w:id="852958652">
      <w:bodyDiv w:val="1"/>
      <w:marLeft w:val="0"/>
      <w:marRight w:val="0"/>
      <w:marTop w:val="0"/>
      <w:marBottom w:val="0"/>
      <w:divBdr>
        <w:top w:val="none" w:sz="0" w:space="0" w:color="auto"/>
        <w:left w:val="none" w:sz="0" w:space="0" w:color="auto"/>
        <w:bottom w:val="none" w:sz="0" w:space="0" w:color="auto"/>
        <w:right w:val="none" w:sz="0" w:space="0" w:color="auto"/>
      </w:divBdr>
    </w:div>
    <w:div w:id="857735177">
      <w:bodyDiv w:val="1"/>
      <w:marLeft w:val="0"/>
      <w:marRight w:val="0"/>
      <w:marTop w:val="0"/>
      <w:marBottom w:val="0"/>
      <w:divBdr>
        <w:top w:val="none" w:sz="0" w:space="0" w:color="auto"/>
        <w:left w:val="none" w:sz="0" w:space="0" w:color="auto"/>
        <w:bottom w:val="none" w:sz="0" w:space="0" w:color="auto"/>
        <w:right w:val="none" w:sz="0" w:space="0" w:color="auto"/>
      </w:divBdr>
    </w:div>
    <w:div w:id="905991209">
      <w:bodyDiv w:val="1"/>
      <w:marLeft w:val="0"/>
      <w:marRight w:val="0"/>
      <w:marTop w:val="0"/>
      <w:marBottom w:val="0"/>
      <w:divBdr>
        <w:top w:val="none" w:sz="0" w:space="0" w:color="auto"/>
        <w:left w:val="none" w:sz="0" w:space="0" w:color="auto"/>
        <w:bottom w:val="none" w:sz="0" w:space="0" w:color="auto"/>
        <w:right w:val="none" w:sz="0" w:space="0" w:color="auto"/>
      </w:divBdr>
    </w:div>
    <w:div w:id="907232749">
      <w:bodyDiv w:val="1"/>
      <w:marLeft w:val="0"/>
      <w:marRight w:val="0"/>
      <w:marTop w:val="0"/>
      <w:marBottom w:val="0"/>
      <w:divBdr>
        <w:top w:val="none" w:sz="0" w:space="0" w:color="auto"/>
        <w:left w:val="none" w:sz="0" w:space="0" w:color="auto"/>
        <w:bottom w:val="none" w:sz="0" w:space="0" w:color="auto"/>
        <w:right w:val="none" w:sz="0" w:space="0" w:color="auto"/>
      </w:divBdr>
    </w:div>
    <w:div w:id="934440644">
      <w:bodyDiv w:val="1"/>
      <w:marLeft w:val="0"/>
      <w:marRight w:val="0"/>
      <w:marTop w:val="0"/>
      <w:marBottom w:val="0"/>
      <w:divBdr>
        <w:top w:val="none" w:sz="0" w:space="0" w:color="auto"/>
        <w:left w:val="none" w:sz="0" w:space="0" w:color="auto"/>
        <w:bottom w:val="none" w:sz="0" w:space="0" w:color="auto"/>
        <w:right w:val="none" w:sz="0" w:space="0" w:color="auto"/>
      </w:divBdr>
    </w:div>
    <w:div w:id="954287037">
      <w:bodyDiv w:val="1"/>
      <w:marLeft w:val="0"/>
      <w:marRight w:val="0"/>
      <w:marTop w:val="0"/>
      <w:marBottom w:val="0"/>
      <w:divBdr>
        <w:top w:val="none" w:sz="0" w:space="0" w:color="auto"/>
        <w:left w:val="none" w:sz="0" w:space="0" w:color="auto"/>
        <w:bottom w:val="none" w:sz="0" w:space="0" w:color="auto"/>
        <w:right w:val="none" w:sz="0" w:space="0" w:color="auto"/>
      </w:divBdr>
    </w:div>
    <w:div w:id="1013603999">
      <w:bodyDiv w:val="1"/>
      <w:marLeft w:val="0"/>
      <w:marRight w:val="0"/>
      <w:marTop w:val="0"/>
      <w:marBottom w:val="0"/>
      <w:divBdr>
        <w:top w:val="none" w:sz="0" w:space="0" w:color="auto"/>
        <w:left w:val="none" w:sz="0" w:space="0" w:color="auto"/>
        <w:bottom w:val="none" w:sz="0" w:space="0" w:color="auto"/>
        <w:right w:val="none" w:sz="0" w:space="0" w:color="auto"/>
      </w:divBdr>
    </w:div>
    <w:div w:id="1031497412">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101297313">
      <w:bodyDiv w:val="1"/>
      <w:marLeft w:val="0"/>
      <w:marRight w:val="0"/>
      <w:marTop w:val="0"/>
      <w:marBottom w:val="0"/>
      <w:divBdr>
        <w:top w:val="none" w:sz="0" w:space="0" w:color="auto"/>
        <w:left w:val="none" w:sz="0" w:space="0" w:color="auto"/>
        <w:bottom w:val="none" w:sz="0" w:space="0" w:color="auto"/>
        <w:right w:val="none" w:sz="0" w:space="0" w:color="auto"/>
      </w:divBdr>
    </w:div>
    <w:div w:id="1117289106">
      <w:bodyDiv w:val="1"/>
      <w:marLeft w:val="0"/>
      <w:marRight w:val="0"/>
      <w:marTop w:val="0"/>
      <w:marBottom w:val="0"/>
      <w:divBdr>
        <w:top w:val="none" w:sz="0" w:space="0" w:color="auto"/>
        <w:left w:val="none" w:sz="0" w:space="0" w:color="auto"/>
        <w:bottom w:val="none" w:sz="0" w:space="0" w:color="auto"/>
        <w:right w:val="none" w:sz="0" w:space="0" w:color="auto"/>
      </w:divBdr>
    </w:div>
    <w:div w:id="1123886048">
      <w:bodyDiv w:val="1"/>
      <w:marLeft w:val="0"/>
      <w:marRight w:val="0"/>
      <w:marTop w:val="0"/>
      <w:marBottom w:val="0"/>
      <w:divBdr>
        <w:top w:val="none" w:sz="0" w:space="0" w:color="auto"/>
        <w:left w:val="none" w:sz="0" w:space="0" w:color="auto"/>
        <w:bottom w:val="none" w:sz="0" w:space="0" w:color="auto"/>
        <w:right w:val="none" w:sz="0" w:space="0" w:color="auto"/>
      </w:divBdr>
    </w:div>
    <w:div w:id="1146821014">
      <w:bodyDiv w:val="1"/>
      <w:marLeft w:val="0"/>
      <w:marRight w:val="0"/>
      <w:marTop w:val="0"/>
      <w:marBottom w:val="0"/>
      <w:divBdr>
        <w:top w:val="none" w:sz="0" w:space="0" w:color="auto"/>
        <w:left w:val="none" w:sz="0" w:space="0" w:color="auto"/>
        <w:bottom w:val="none" w:sz="0" w:space="0" w:color="auto"/>
        <w:right w:val="none" w:sz="0" w:space="0" w:color="auto"/>
      </w:divBdr>
      <w:divsChild>
        <w:div w:id="86777673">
          <w:marLeft w:val="0"/>
          <w:marRight w:val="0"/>
          <w:marTop w:val="0"/>
          <w:marBottom w:val="0"/>
          <w:divBdr>
            <w:top w:val="none" w:sz="0" w:space="0" w:color="auto"/>
            <w:left w:val="none" w:sz="0" w:space="0" w:color="auto"/>
            <w:bottom w:val="none" w:sz="0" w:space="0" w:color="auto"/>
            <w:right w:val="none" w:sz="0" w:space="0" w:color="auto"/>
          </w:divBdr>
          <w:divsChild>
            <w:div w:id="614560933">
              <w:marLeft w:val="0"/>
              <w:marRight w:val="0"/>
              <w:marTop w:val="0"/>
              <w:marBottom w:val="0"/>
              <w:divBdr>
                <w:top w:val="none" w:sz="0" w:space="0" w:color="auto"/>
                <w:left w:val="none" w:sz="0" w:space="0" w:color="auto"/>
                <w:bottom w:val="none" w:sz="0" w:space="0" w:color="auto"/>
                <w:right w:val="none" w:sz="0" w:space="0" w:color="auto"/>
              </w:divBdr>
              <w:divsChild>
                <w:div w:id="1846553627">
                  <w:marLeft w:val="0"/>
                  <w:marRight w:val="0"/>
                  <w:marTop w:val="0"/>
                  <w:marBottom w:val="0"/>
                  <w:divBdr>
                    <w:top w:val="none" w:sz="0" w:space="0" w:color="auto"/>
                    <w:left w:val="none" w:sz="0" w:space="0" w:color="auto"/>
                    <w:bottom w:val="none" w:sz="0" w:space="0" w:color="auto"/>
                    <w:right w:val="none" w:sz="0" w:space="0" w:color="auto"/>
                  </w:divBdr>
                  <w:divsChild>
                    <w:div w:id="1317109692">
                      <w:marLeft w:val="0"/>
                      <w:marRight w:val="0"/>
                      <w:marTop w:val="0"/>
                      <w:marBottom w:val="0"/>
                      <w:divBdr>
                        <w:top w:val="none" w:sz="0" w:space="0" w:color="auto"/>
                        <w:left w:val="none" w:sz="0" w:space="0" w:color="auto"/>
                        <w:bottom w:val="none" w:sz="0" w:space="0" w:color="auto"/>
                        <w:right w:val="none" w:sz="0" w:space="0" w:color="auto"/>
                      </w:divBdr>
                      <w:divsChild>
                        <w:div w:id="1338653459">
                          <w:marLeft w:val="0"/>
                          <w:marRight w:val="0"/>
                          <w:marTop w:val="0"/>
                          <w:marBottom w:val="0"/>
                          <w:divBdr>
                            <w:top w:val="none" w:sz="0" w:space="0" w:color="auto"/>
                            <w:left w:val="none" w:sz="0" w:space="0" w:color="auto"/>
                            <w:bottom w:val="none" w:sz="0" w:space="0" w:color="auto"/>
                            <w:right w:val="none" w:sz="0" w:space="0" w:color="auto"/>
                          </w:divBdr>
                          <w:divsChild>
                            <w:div w:id="884952874">
                              <w:marLeft w:val="0"/>
                              <w:marRight w:val="0"/>
                              <w:marTop w:val="420"/>
                              <w:marBottom w:val="420"/>
                              <w:divBdr>
                                <w:top w:val="none" w:sz="0" w:space="0" w:color="auto"/>
                                <w:left w:val="none" w:sz="0" w:space="0" w:color="auto"/>
                                <w:bottom w:val="none" w:sz="0" w:space="0" w:color="auto"/>
                                <w:right w:val="none" w:sz="0" w:space="0" w:color="auto"/>
                              </w:divBdr>
                            </w:div>
                            <w:div w:id="337542118">
                              <w:marLeft w:val="0"/>
                              <w:marRight w:val="0"/>
                              <w:marTop w:val="420"/>
                              <w:marBottom w:val="420"/>
                              <w:divBdr>
                                <w:top w:val="none" w:sz="0" w:space="0" w:color="auto"/>
                                <w:left w:val="none" w:sz="0" w:space="0" w:color="auto"/>
                                <w:bottom w:val="none" w:sz="0" w:space="0" w:color="auto"/>
                                <w:right w:val="none" w:sz="0" w:space="0" w:color="auto"/>
                              </w:divBdr>
                            </w:div>
                            <w:div w:id="1575697738">
                              <w:marLeft w:val="0"/>
                              <w:marRight w:val="0"/>
                              <w:marTop w:val="420"/>
                              <w:marBottom w:val="420"/>
                              <w:divBdr>
                                <w:top w:val="none" w:sz="0" w:space="0" w:color="auto"/>
                                <w:left w:val="none" w:sz="0" w:space="0" w:color="auto"/>
                                <w:bottom w:val="none" w:sz="0" w:space="0" w:color="auto"/>
                                <w:right w:val="none" w:sz="0" w:space="0" w:color="auto"/>
                              </w:divBdr>
                            </w:div>
                            <w:div w:id="1815247338">
                              <w:marLeft w:val="0"/>
                              <w:marRight w:val="0"/>
                              <w:marTop w:val="420"/>
                              <w:marBottom w:val="420"/>
                              <w:divBdr>
                                <w:top w:val="none" w:sz="0" w:space="0" w:color="auto"/>
                                <w:left w:val="none" w:sz="0" w:space="0" w:color="auto"/>
                                <w:bottom w:val="none" w:sz="0" w:space="0" w:color="auto"/>
                                <w:right w:val="none" w:sz="0" w:space="0" w:color="auto"/>
                              </w:divBdr>
                            </w:div>
                            <w:div w:id="1142455624">
                              <w:marLeft w:val="0"/>
                              <w:marRight w:val="0"/>
                              <w:marTop w:val="420"/>
                              <w:marBottom w:val="420"/>
                              <w:divBdr>
                                <w:top w:val="none" w:sz="0" w:space="0" w:color="auto"/>
                                <w:left w:val="none" w:sz="0" w:space="0" w:color="auto"/>
                                <w:bottom w:val="none" w:sz="0" w:space="0" w:color="auto"/>
                                <w:right w:val="none" w:sz="0" w:space="0" w:color="auto"/>
                              </w:divBdr>
                            </w:div>
                            <w:div w:id="1919092797">
                              <w:marLeft w:val="0"/>
                              <w:marRight w:val="0"/>
                              <w:marTop w:val="420"/>
                              <w:marBottom w:val="420"/>
                              <w:divBdr>
                                <w:top w:val="none" w:sz="0" w:space="0" w:color="auto"/>
                                <w:left w:val="none" w:sz="0" w:space="0" w:color="auto"/>
                                <w:bottom w:val="none" w:sz="0" w:space="0" w:color="auto"/>
                                <w:right w:val="none" w:sz="0" w:space="0" w:color="auto"/>
                              </w:divBdr>
                            </w:div>
                            <w:div w:id="197477881">
                              <w:marLeft w:val="0"/>
                              <w:marRight w:val="0"/>
                              <w:marTop w:val="420"/>
                              <w:marBottom w:val="420"/>
                              <w:divBdr>
                                <w:top w:val="none" w:sz="0" w:space="0" w:color="auto"/>
                                <w:left w:val="none" w:sz="0" w:space="0" w:color="auto"/>
                                <w:bottom w:val="none" w:sz="0" w:space="0" w:color="auto"/>
                                <w:right w:val="none" w:sz="0" w:space="0" w:color="auto"/>
                              </w:divBdr>
                            </w:div>
                            <w:div w:id="265962881">
                              <w:marLeft w:val="0"/>
                              <w:marRight w:val="0"/>
                              <w:marTop w:val="420"/>
                              <w:marBottom w:val="420"/>
                              <w:divBdr>
                                <w:top w:val="none" w:sz="0" w:space="0" w:color="auto"/>
                                <w:left w:val="none" w:sz="0" w:space="0" w:color="auto"/>
                                <w:bottom w:val="none" w:sz="0" w:space="0" w:color="auto"/>
                                <w:right w:val="none" w:sz="0" w:space="0" w:color="auto"/>
                              </w:divBdr>
                            </w:div>
                            <w:div w:id="132799847">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78228">
      <w:bodyDiv w:val="1"/>
      <w:marLeft w:val="0"/>
      <w:marRight w:val="0"/>
      <w:marTop w:val="0"/>
      <w:marBottom w:val="0"/>
      <w:divBdr>
        <w:top w:val="none" w:sz="0" w:space="0" w:color="auto"/>
        <w:left w:val="none" w:sz="0" w:space="0" w:color="auto"/>
        <w:bottom w:val="none" w:sz="0" w:space="0" w:color="auto"/>
        <w:right w:val="none" w:sz="0" w:space="0" w:color="auto"/>
      </w:divBdr>
    </w:div>
    <w:div w:id="1163861999">
      <w:bodyDiv w:val="1"/>
      <w:marLeft w:val="0"/>
      <w:marRight w:val="0"/>
      <w:marTop w:val="0"/>
      <w:marBottom w:val="0"/>
      <w:divBdr>
        <w:top w:val="none" w:sz="0" w:space="0" w:color="auto"/>
        <w:left w:val="none" w:sz="0" w:space="0" w:color="auto"/>
        <w:bottom w:val="none" w:sz="0" w:space="0" w:color="auto"/>
        <w:right w:val="none" w:sz="0" w:space="0" w:color="auto"/>
      </w:divBdr>
    </w:div>
    <w:div w:id="1179083288">
      <w:bodyDiv w:val="1"/>
      <w:marLeft w:val="0"/>
      <w:marRight w:val="0"/>
      <w:marTop w:val="0"/>
      <w:marBottom w:val="0"/>
      <w:divBdr>
        <w:top w:val="none" w:sz="0" w:space="0" w:color="auto"/>
        <w:left w:val="none" w:sz="0" w:space="0" w:color="auto"/>
        <w:bottom w:val="none" w:sz="0" w:space="0" w:color="auto"/>
        <w:right w:val="none" w:sz="0" w:space="0" w:color="auto"/>
      </w:divBdr>
    </w:div>
    <w:div w:id="1191607636">
      <w:bodyDiv w:val="1"/>
      <w:marLeft w:val="0"/>
      <w:marRight w:val="0"/>
      <w:marTop w:val="0"/>
      <w:marBottom w:val="0"/>
      <w:divBdr>
        <w:top w:val="none" w:sz="0" w:space="0" w:color="auto"/>
        <w:left w:val="none" w:sz="0" w:space="0" w:color="auto"/>
        <w:bottom w:val="none" w:sz="0" w:space="0" w:color="auto"/>
        <w:right w:val="none" w:sz="0" w:space="0" w:color="auto"/>
      </w:divBdr>
    </w:div>
    <w:div w:id="1203128737">
      <w:bodyDiv w:val="1"/>
      <w:marLeft w:val="0"/>
      <w:marRight w:val="0"/>
      <w:marTop w:val="0"/>
      <w:marBottom w:val="0"/>
      <w:divBdr>
        <w:top w:val="none" w:sz="0" w:space="0" w:color="auto"/>
        <w:left w:val="none" w:sz="0" w:space="0" w:color="auto"/>
        <w:bottom w:val="none" w:sz="0" w:space="0" w:color="auto"/>
        <w:right w:val="none" w:sz="0" w:space="0" w:color="auto"/>
      </w:divBdr>
    </w:div>
    <w:div w:id="1322350539">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384137321">
      <w:bodyDiv w:val="1"/>
      <w:marLeft w:val="0"/>
      <w:marRight w:val="0"/>
      <w:marTop w:val="0"/>
      <w:marBottom w:val="0"/>
      <w:divBdr>
        <w:top w:val="none" w:sz="0" w:space="0" w:color="auto"/>
        <w:left w:val="none" w:sz="0" w:space="0" w:color="auto"/>
        <w:bottom w:val="none" w:sz="0" w:space="0" w:color="auto"/>
        <w:right w:val="none" w:sz="0" w:space="0" w:color="auto"/>
      </w:divBdr>
    </w:div>
    <w:div w:id="1389767156">
      <w:bodyDiv w:val="1"/>
      <w:marLeft w:val="0"/>
      <w:marRight w:val="0"/>
      <w:marTop w:val="0"/>
      <w:marBottom w:val="0"/>
      <w:divBdr>
        <w:top w:val="none" w:sz="0" w:space="0" w:color="auto"/>
        <w:left w:val="none" w:sz="0" w:space="0" w:color="auto"/>
        <w:bottom w:val="none" w:sz="0" w:space="0" w:color="auto"/>
        <w:right w:val="none" w:sz="0" w:space="0" w:color="auto"/>
      </w:divBdr>
    </w:div>
    <w:div w:id="1395160651">
      <w:bodyDiv w:val="1"/>
      <w:marLeft w:val="0"/>
      <w:marRight w:val="0"/>
      <w:marTop w:val="0"/>
      <w:marBottom w:val="0"/>
      <w:divBdr>
        <w:top w:val="none" w:sz="0" w:space="0" w:color="auto"/>
        <w:left w:val="none" w:sz="0" w:space="0" w:color="auto"/>
        <w:bottom w:val="none" w:sz="0" w:space="0" w:color="auto"/>
        <w:right w:val="none" w:sz="0" w:space="0" w:color="auto"/>
      </w:divBdr>
    </w:div>
    <w:div w:id="1400860019">
      <w:bodyDiv w:val="1"/>
      <w:marLeft w:val="0"/>
      <w:marRight w:val="0"/>
      <w:marTop w:val="0"/>
      <w:marBottom w:val="0"/>
      <w:divBdr>
        <w:top w:val="none" w:sz="0" w:space="0" w:color="auto"/>
        <w:left w:val="none" w:sz="0" w:space="0" w:color="auto"/>
        <w:bottom w:val="none" w:sz="0" w:space="0" w:color="auto"/>
        <w:right w:val="none" w:sz="0" w:space="0" w:color="auto"/>
      </w:divBdr>
    </w:div>
    <w:div w:id="1412583692">
      <w:bodyDiv w:val="1"/>
      <w:marLeft w:val="0"/>
      <w:marRight w:val="0"/>
      <w:marTop w:val="0"/>
      <w:marBottom w:val="0"/>
      <w:divBdr>
        <w:top w:val="none" w:sz="0" w:space="0" w:color="auto"/>
        <w:left w:val="none" w:sz="0" w:space="0" w:color="auto"/>
        <w:bottom w:val="none" w:sz="0" w:space="0" w:color="auto"/>
        <w:right w:val="none" w:sz="0" w:space="0" w:color="auto"/>
      </w:divBdr>
    </w:div>
    <w:div w:id="1427310038">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449394901">
      <w:bodyDiv w:val="1"/>
      <w:marLeft w:val="0"/>
      <w:marRight w:val="0"/>
      <w:marTop w:val="0"/>
      <w:marBottom w:val="0"/>
      <w:divBdr>
        <w:top w:val="none" w:sz="0" w:space="0" w:color="auto"/>
        <w:left w:val="none" w:sz="0" w:space="0" w:color="auto"/>
        <w:bottom w:val="none" w:sz="0" w:space="0" w:color="auto"/>
        <w:right w:val="none" w:sz="0" w:space="0" w:color="auto"/>
      </w:divBdr>
    </w:div>
    <w:div w:id="1461413987">
      <w:bodyDiv w:val="1"/>
      <w:marLeft w:val="0"/>
      <w:marRight w:val="0"/>
      <w:marTop w:val="0"/>
      <w:marBottom w:val="0"/>
      <w:divBdr>
        <w:top w:val="none" w:sz="0" w:space="0" w:color="auto"/>
        <w:left w:val="none" w:sz="0" w:space="0" w:color="auto"/>
        <w:bottom w:val="none" w:sz="0" w:space="0" w:color="auto"/>
        <w:right w:val="none" w:sz="0" w:space="0" w:color="auto"/>
      </w:divBdr>
    </w:div>
    <w:div w:id="1477726531">
      <w:bodyDiv w:val="1"/>
      <w:marLeft w:val="0"/>
      <w:marRight w:val="0"/>
      <w:marTop w:val="0"/>
      <w:marBottom w:val="0"/>
      <w:divBdr>
        <w:top w:val="none" w:sz="0" w:space="0" w:color="auto"/>
        <w:left w:val="none" w:sz="0" w:space="0" w:color="auto"/>
        <w:bottom w:val="none" w:sz="0" w:space="0" w:color="auto"/>
        <w:right w:val="none" w:sz="0" w:space="0" w:color="auto"/>
      </w:divBdr>
    </w:div>
    <w:div w:id="1516114522">
      <w:bodyDiv w:val="1"/>
      <w:marLeft w:val="0"/>
      <w:marRight w:val="0"/>
      <w:marTop w:val="0"/>
      <w:marBottom w:val="0"/>
      <w:divBdr>
        <w:top w:val="none" w:sz="0" w:space="0" w:color="auto"/>
        <w:left w:val="none" w:sz="0" w:space="0" w:color="auto"/>
        <w:bottom w:val="none" w:sz="0" w:space="0" w:color="auto"/>
        <w:right w:val="none" w:sz="0" w:space="0" w:color="auto"/>
      </w:divBdr>
    </w:div>
    <w:div w:id="1558662216">
      <w:bodyDiv w:val="1"/>
      <w:marLeft w:val="0"/>
      <w:marRight w:val="0"/>
      <w:marTop w:val="0"/>
      <w:marBottom w:val="0"/>
      <w:divBdr>
        <w:top w:val="none" w:sz="0" w:space="0" w:color="auto"/>
        <w:left w:val="none" w:sz="0" w:space="0" w:color="auto"/>
        <w:bottom w:val="none" w:sz="0" w:space="0" w:color="auto"/>
        <w:right w:val="none" w:sz="0" w:space="0" w:color="auto"/>
      </w:divBdr>
    </w:div>
    <w:div w:id="1585802351">
      <w:bodyDiv w:val="1"/>
      <w:marLeft w:val="0"/>
      <w:marRight w:val="0"/>
      <w:marTop w:val="0"/>
      <w:marBottom w:val="0"/>
      <w:divBdr>
        <w:top w:val="none" w:sz="0" w:space="0" w:color="auto"/>
        <w:left w:val="none" w:sz="0" w:space="0" w:color="auto"/>
        <w:bottom w:val="none" w:sz="0" w:space="0" w:color="auto"/>
        <w:right w:val="none" w:sz="0" w:space="0" w:color="auto"/>
      </w:divBdr>
    </w:div>
    <w:div w:id="1601600192">
      <w:bodyDiv w:val="1"/>
      <w:marLeft w:val="0"/>
      <w:marRight w:val="0"/>
      <w:marTop w:val="0"/>
      <w:marBottom w:val="0"/>
      <w:divBdr>
        <w:top w:val="none" w:sz="0" w:space="0" w:color="auto"/>
        <w:left w:val="none" w:sz="0" w:space="0" w:color="auto"/>
        <w:bottom w:val="none" w:sz="0" w:space="0" w:color="auto"/>
        <w:right w:val="none" w:sz="0" w:space="0" w:color="auto"/>
      </w:divBdr>
    </w:div>
    <w:div w:id="1711296137">
      <w:bodyDiv w:val="1"/>
      <w:marLeft w:val="0"/>
      <w:marRight w:val="0"/>
      <w:marTop w:val="0"/>
      <w:marBottom w:val="0"/>
      <w:divBdr>
        <w:top w:val="none" w:sz="0" w:space="0" w:color="auto"/>
        <w:left w:val="none" w:sz="0" w:space="0" w:color="auto"/>
        <w:bottom w:val="none" w:sz="0" w:space="0" w:color="auto"/>
        <w:right w:val="none" w:sz="0" w:space="0" w:color="auto"/>
      </w:divBdr>
    </w:div>
    <w:div w:id="1723483768">
      <w:bodyDiv w:val="1"/>
      <w:marLeft w:val="0"/>
      <w:marRight w:val="0"/>
      <w:marTop w:val="0"/>
      <w:marBottom w:val="0"/>
      <w:divBdr>
        <w:top w:val="none" w:sz="0" w:space="0" w:color="auto"/>
        <w:left w:val="none" w:sz="0" w:space="0" w:color="auto"/>
        <w:bottom w:val="none" w:sz="0" w:space="0" w:color="auto"/>
        <w:right w:val="none" w:sz="0" w:space="0" w:color="auto"/>
      </w:divBdr>
    </w:div>
    <w:div w:id="1737241866">
      <w:bodyDiv w:val="1"/>
      <w:marLeft w:val="0"/>
      <w:marRight w:val="0"/>
      <w:marTop w:val="0"/>
      <w:marBottom w:val="0"/>
      <w:divBdr>
        <w:top w:val="none" w:sz="0" w:space="0" w:color="auto"/>
        <w:left w:val="none" w:sz="0" w:space="0" w:color="auto"/>
        <w:bottom w:val="none" w:sz="0" w:space="0" w:color="auto"/>
        <w:right w:val="none" w:sz="0" w:space="0" w:color="auto"/>
      </w:divBdr>
    </w:div>
    <w:div w:id="1752043902">
      <w:bodyDiv w:val="1"/>
      <w:marLeft w:val="0"/>
      <w:marRight w:val="0"/>
      <w:marTop w:val="0"/>
      <w:marBottom w:val="0"/>
      <w:divBdr>
        <w:top w:val="none" w:sz="0" w:space="0" w:color="auto"/>
        <w:left w:val="none" w:sz="0" w:space="0" w:color="auto"/>
        <w:bottom w:val="none" w:sz="0" w:space="0" w:color="auto"/>
        <w:right w:val="none" w:sz="0" w:space="0" w:color="auto"/>
      </w:divBdr>
    </w:div>
    <w:div w:id="1767264138">
      <w:bodyDiv w:val="1"/>
      <w:marLeft w:val="0"/>
      <w:marRight w:val="0"/>
      <w:marTop w:val="0"/>
      <w:marBottom w:val="0"/>
      <w:divBdr>
        <w:top w:val="none" w:sz="0" w:space="0" w:color="auto"/>
        <w:left w:val="none" w:sz="0" w:space="0" w:color="auto"/>
        <w:bottom w:val="none" w:sz="0" w:space="0" w:color="auto"/>
        <w:right w:val="none" w:sz="0" w:space="0" w:color="auto"/>
      </w:divBdr>
    </w:div>
    <w:div w:id="1779256326">
      <w:bodyDiv w:val="1"/>
      <w:marLeft w:val="0"/>
      <w:marRight w:val="0"/>
      <w:marTop w:val="0"/>
      <w:marBottom w:val="0"/>
      <w:divBdr>
        <w:top w:val="none" w:sz="0" w:space="0" w:color="auto"/>
        <w:left w:val="none" w:sz="0" w:space="0" w:color="auto"/>
        <w:bottom w:val="none" w:sz="0" w:space="0" w:color="auto"/>
        <w:right w:val="none" w:sz="0" w:space="0" w:color="auto"/>
      </w:divBdr>
    </w:div>
    <w:div w:id="1831555474">
      <w:bodyDiv w:val="1"/>
      <w:marLeft w:val="0"/>
      <w:marRight w:val="0"/>
      <w:marTop w:val="0"/>
      <w:marBottom w:val="0"/>
      <w:divBdr>
        <w:top w:val="none" w:sz="0" w:space="0" w:color="auto"/>
        <w:left w:val="none" w:sz="0" w:space="0" w:color="auto"/>
        <w:bottom w:val="none" w:sz="0" w:space="0" w:color="auto"/>
        <w:right w:val="none" w:sz="0" w:space="0" w:color="auto"/>
      </w:divBdr>
    </w:div>
    <w:div w:id="1870949694">
      <w:bodyDiv w:val="1"/>
      <w:marLeft w:val="0"/>
      <w:marRight w:val="0"/>
      <w:marTop w:val="0"/>
      <w:marBottom w:val="0"/>
      <w:divBdr>
        <w:top w:val="none" w:sz="0" w:space="0" w:color="auto"/>
        <w:left w:val="none" w:sz="0" w:space="0" w:color="auto"/>
        <w:bottom w:val="none" w:sz="0" w:space="0" w:color="auto"/>
        <w:right w:val="none" w:sz="0" w:space="0" w:color="auto"/>
      </w:divBdr>
    </w:div>
    <w:div w:id="1889341736">
      <w:bodyDiv w:val="1"/>
      <w:marLeft w:val="0"/>
      <w:marRight w:val="0"/>
      <w:marTop w:val="0"/>
      <w:marBottom w:val="0"/>
      <w:divBdr>
        <w:top w:val="none" w:sz="0" w:space="0" w:color="auto"/>
        <w:left w:val="none" w:sz="0" w:space="0" w:color="auto"/>
        <w:bottom w:val="none" w:sz="0" w:space="0" w:color="auto"/>
        <w:right w:val="none" w:sz="0" w:space="0" w:color="auto"/>
      </w:divBdr>
    </w:div>
    <w:div w:id="1899629006">
      <w:bodyDiv w:val="1"/>
      <w:marLeft w:val="0"/>
      <w:marRight w:val="0"/>
      <w:marTop w:val="0"/>
      <w:marBottom w:val="0"/>
      <w:divBdr>
        <w:top w:val="none" w:sz="0" w:space="0" w:color="auto"/>
        <w:left w:val="none" w:sz="0" w:space="0" w:color="auto"/>
        <w:bottom w:val="none" w:sz="0" w:space="0" w:color="auto"/>
        <w:right w:val="none" w:sz="0" w:space="0" w:color="auto"/>
      </w:divBdr>
    </w:div>
    <w:div w:id="1971088878">
      <w:bodyDiv w:val="1"/>
      <w:marLeft w:val="0"/>
      <w:marRight w:val="0"/>
      <w:marTop w:val="0"/>
      <w:marBottom w:val="0"/>
      <w:divBdr>
        <w:top w:val="none" w:sz="0" w:space="0" w:color="auto"/>
        <w:left w:val="none" w:sz="0" w:space="0" w:color="auto"/>
        <w:bottom w:val="none" w:sz="0" w:space="0" w:color="auto"/>
        <w:right w:val="none" w:sz="0" w:space="0" w:color="auto"/>
      </w:divBdr>
    </w:div>
    <w:div w:id="2009402561">
      <w:bodyDiv w:val="1"/>
      <w:marLeft w:val="0"/>
      <w:marRight w:val="0"/>
      <w:marTop w:val="0"/>
      <w:marBottom w:val="0"/>
      <w:divBdr>
        <w:top w:val="none" w:sz="0" w:space="0" w:color="auto"/>
        <w:left w:val="none" w:sz="0" w:space="0" w:color="auto"/>
        <w:bottom w:val="none" w:sz="0" w:space="0" w:color="auto"/>
        <w:right w:val="none" w:sz="0" w:space="0" w:color="auto"/>
      </w:divBdr>
    </w:div>
    <w:div w:id="2014991082">
      <w:bodyDiv w:val="1"/>
      <w:marLeft w:val="0"/>
      <w:marRight w:val="0"/>
      <w:marTop w:val="0"/>
      <w:marBottom w:val="0"/>
      <w:divBdr>
        <w:top w:val="none" w:sz="0" w:space="0" w:color="auto"/>
        <w:left w:val="none" w:sz="0" w:space="0" w:color="auto"/>
        <w:bottom w:val="none" w:sz="0" w:space="0" w:color="auto"/>
        <w:right w:val="none" w:sz="0" w:space="0" w:color="auto"/>
      </w:divBdr>
    </w:div>
    <w:div w:id="2088989399">
      <w:bodyDiv w:val="1"/>
      <w:marLeft w:val="0"/>
      <w:marRight w:val="0"/>
      <w:marTop w:val="0"/>
      <w:marBottom w:val="0"/>
      <w:divBdr>
        <w:top w:val="none" w:sz="0" w:space="0" w:color="auto"/>
        <w:left w:val="none" w:sz="0" w:space="0" w:color="auto"/>
        <w:bottom w:val="none" w:sz="0" w:space="0" w:color="auto"/>
        <w:right w:val="none" w:sz="0" w:space="0" w:color="auto"/>
      </w:divBdr>
    </w:div>
    <w:div w:id="2091727849">
      <w:bodyDiv w:val="1"/>
      <w:marLeft w:val="0"/>
      <w:marRight w:val="0"/>
      <w:marTop w:val="0"/>
      <w:marBottom w:val="0"/>
      <w:divBdr>
        <w:top w:val="none" w:sz="0" w:space="0" w:color="auto"/>
        <w:left w:val="none" w:sz="0" w:space="0" w:color="auto"/>
        <w:bottom w:val="none" w:sz="0" w:space="0" w:color="auto"/>
        <w:right w:val="none" w:sz="0" w:space="0" w:color="auto"/>
      </w:divBdr>
    </w:div>
    <w:div w:id="2100172454">
      <w:bodyDiv w:val="1"/>
      <w:marLeft w:val="0"/>
      <w:marRight w:val="0"/>
      <w:marTop w:val="0"/>
      <w:marBottom w:val="0"/>
      <w:divBdr>
        <w:top w:val="none" w:sz="0" w:space="0" w:color="auto"/>
        <w:left w:val="none" w:sz="0" w:space="0" w:color="auto"/>
        <w:bottom w:val="none" w:sz="0" w:space="0" w:color="auto"/>
        <w:right w:val="none" w:sz="0" w:space="0" w:color="auto"/>
      </w:divBdr>
    </w:div>
    <w:div w:id="2118140415">
      <w:bodyDiv w:val="1"/>
      <w:marLeft w:val="0"/>
      <w:marRight w:val="0"/>
      <w:marTop w:val="0"/>
      <w:marBottom w:val="0"/>
      <w:divBdr>
        <w:top w:val="none" w:sz="0" w:space="0" w:color="auto"/>
        <w:left w:val="none" w:sz="0" w:space="0" w:color="auto"/>
        <w:bottom w:val="none" w:sz="0" w:space="0" w:color="auto"/>
        <w:right w:val="none" w:sz="0" w:space="0" w:color="auto"/>
      </w:divBdr>
    </w:div>
    <w:div w:id="21392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rs.gov/newsroom/filing-and-payment-deadlines-questions-and-answers" TargetMode="External"/><Relationship Id="rId18" Type="http://schemas.openxmlformats.org/officeDocument/2006/relationships/hyperlink" Target="https://www.irs.gov/pub/irs-drop/n-20-23.pdf" TargetMode="External"/><Relationship Id="rId26" Type="http://schemas.openxmlformats.org/officeDocument/2006/relationships/hyperlink" Target="https://www.americanbenefitscouncil.org/pub/9DBEDD63-1866-DAAC-99FB-265ECC598AED" TargetMode="External"/><Relationship Id="rId39" Type="http://schemas.openxmlformats.org/officeDocument/2006/relationships/hyperlink" Target="https://www.dol.gov/sites/dolgov/files/ebsa/about-ebsa/our-activities/resource-center/faqs/aca-part-43.pdf" TargetMode="External"/><Relationship Id="rId21" Type="http://schemas.openxmlformats.org/officeDocument/2006/relationships/hyperlink" Target="https://www.scotusblog.com/2019/12/argument-analysis-justices-appear-sympathetic-to-insurers-in-dispute-over-risk-corridor-compensation/" TargetMode="External"/><Relationship Id="rId34" Type="http://schemas.openxmlformats.org/officeDocument/2006/relationships/hyperlink" Target="https://benefitcomply.com/issue-brief-covid-19-look-back-measurement-method-implications/" TargetMode="External"/><Relationship Id="rId42" Type="http://schemas.openxmlformats.org/officeDocument/2006/relationships/hyperlink" Target="https://www.govinfo.gov/content/pkg/FR-2020-06-23/pdf/2020-13506.pdf" TargetMode="External"/><Relationship Id="rId47" Type="http://schemas.openxmlformats.org/officeDocument/2006/relationships/hyperlink" Target="https://www.irs.gov/pub/irs-drop/n-20-29.pdf" TargetMode="External"/><Relationship Id="rId50" Type="http://schemas.openxmlformats.org/officeDocument/2006/relationships/hyperlink" Target="https://benefitcomply.com/coronavirus/" TargetMode="External"/><Relationship Id="rId55" Type="http://schemas.openxmlformats.org/officeDocument/2006/relationships/hyperlink" Target="https://benefitcomply.com/issue-brief-cobra-merger-acquisition-ma-consideration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upremecourt.gov/opinions/19pdf/18-1023_m64o.pdf" TargetMode="External"/><Relationship Id="rId11" Type="http://schemas.openxmlformats.org/officeDocument/2006/relationships/footer" Target="footer2.xml"/><Relationship Id="rId24" Type="http://schemas.openxmlformats.org/officeDocument/2006/relationships/hyperlink" Target="https://benefitcomply.com/compliance-alert-families-first-coronavirus-response-act-ffcra-dol-temporary-rule/" TargetMode="External"/><Relationship Id="rId32" Type="http://schemas.openxmlformats.org/officeDocument/2006/relationships/hyperlink" Target="https://www.treasury.gov/tigta/auditreports/2020reports/202043028fr.pdf" TargetMode="External"/><Relationship Id="rId37" Type="http://schemas.openxmlformats.org/officeDocument/2006/relationships/hyperlink" Target="http://benefitcomply.com/%E2%80%A2-compliance-alert-tax-treatment-of-transportation-benefits-changes-under-new-law/" TargetMode="External"/><Relationship Id="rId40" Type="http://schemas.openxmlformats.org/officeDocument/2006/relationships/hyperlink" Target="https://www.commonwealthfund.org/publications/issue-briefs/2020/jun/implications-covid-19-pandemic-health-insurance-survey?mkt_tok=eyJpIjoiTldFek1HSTVNV1V6TWpnMiIsInQiOiJhUUwzb0l2aDh2UFducVp5Wmg5dzdITFNKVFhPN0tMTVcxdURkNWtcL2ZlU3dXQ2J4cEdrMmJjRXh3VHFpY2dUb3ZLd1FcL3g3MUh1a21qbDFDeW9DMjg1cjltbGJUc1NRQTJmTUlYOHBhNnE4NWZhS1BRNEV3ejVCN2ZRUzA3RlBNIn0%3D" TargetMode="External"/><Relationship Id="rId45" Type="http://schemas.openxmlformats.org/officeDocument/2006/relationships/hyperlink" Target="https://benefitcomply.com/compliance-alert-new-cobra-model-notices/" TargetMode="External"/><Relationship Id="rId53" Type="http://schemas.openxmlformats.org/officeDocument/2006/relationships/hyperlink" Target="https://benefitcomply.com/compliance-alert-updated-pcori-fees-released/" TargetMode="External"/><Relationship Id="rId58"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oter" Target="footer1.xml"/><Relationship Id="rId19" Type="http://schemas.openxmlformats.org/officeDocument/2006/relationships/hyperlink" Target="https://www.irs.gov/newsroom/filing-and-payment-deadlines-questions-and-answers" TargetMode="External"/><Relationship Id="rId31" Type="http://schemas.openxmlformats.org/officeDocument/2006/relationships/hyperlink" Target="https://www.americanbenefitscouncil.org/pub/9DBEDD63-1866-DAAC-99FB-265ECC598AED" TargetMode="External"/><Relationship Id="rId44" Type="http://schemas.openxmlformats.org/officeDocument/2006/relationships/hyperlink" Target="https://www.commonwealthfund.org/publications/issue-briefs/2020/jun/implications-covid-19-pandemic-health-insurance-survey?mkt_tok=eyJpIjoiTldFek1HSTVNV1V6TWpnMiIsInQiOiJhUUwzb0l2aDh2UFducVp5Wmg5dzdITFNKVFhPN0tMTVcxdURkNWtcL2ZlU3dXQ2J4cEdrMmJjRXh3VHFpY2dUb3ZLd1FcL3g3MUh1a21qbDFDeW9DMjg1cjltbGJUc1NRQTJmTUlYOHBhNnE4NWZhS1BRNEV3ejVCN2ZRUzA3RlBNIn0%3D" TargetMode="External"/><Relationship Id="rId52" Type="http://schemas.openxmlformats.org/officeDocument/2006/relationships/hyperlink" Target="https://benefitcomply.com/compliance-alert-reminder-pcori-fe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hrm.org/resourcesandtools/hr-topics/benefits/pages/states-order-insurers-to-let-employers-cover-furloughed-workers-coronavirus.aspx" TargetMode="External"/><Relationship Id="rId22" Type="http://schemas.openxmlformats.org/officeDocument/2006/relationships/hyperlink" Target="https://www.supremecourt.gov/opinions/19pdf/18-1023_m64o.pdf" TargetMode="External"/><Relationship Id="rId27" Type="http://schemas.openxmlformats.org/officeDocument/2006/relationships/hyperlink" Target="https://www.treasury.gov/tigta/auditreports/2020reports/202043028fr.pdf" TargetMode="External"/><Relationship Id="rId35" Type="http://schemas.openxmlformats.org/officeDocument/2006/relationships/hyperlink" Target="https://benefitcomply.com/compliance-alert-health-savings-accounts-hsas-common-questions/" TargetMode="External"/><Relationship Id="rId43" Type="http://schemas.openxmlformats.org/officeDocument/2006/relationships/hyperlink" Target="https://www.dol.gov/sites/dolgov/files/ebsa/about-ebsa/our-activities/resource-center/faqs/aca-part-43.pdf" TargetMode="External"/><Relationship Id="rId48" Type="http://schemas.openxmlformats.org/officeDocument/2006/relationships/hyperlink" Target="https://www.irs.gov/pub/irs-drop/n-20-33.pdf" TargetMode="External"/><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s://benefitcomply.com/compliance-alert-hsa-requirements-and-limits-for-2021/" TargetMode="External"/><Relationship Id="rId3" Type="http://schemas.openxmlformats.org/officeDocument/2006/relationships/customXml" Target="../customXml/item3.xml"/><Relationship Id="rId12" Type="http://schemas.openxmlformats.org/officeDocument/2006/relationships/hyperlink" Target="https://www.irs.gov/pub/irs-drop/n-20-23.pdf" TargetMode="External"/><Relationship Id="rId17" Type="http://schemas.openxmlformats.org/officeDocument/2006/relationships/hyperlink" Target="https://www.groom.com/resources/employers-get-bit-flurry-of-class-action-lawsuits-allege-deficiencies-in-cobra-election-notices/" TargetMode="External"/><Relationship Id="rId25" Type="http://schemas.openxmlformats.org/officeDocument/2006/relationships/hyperlink" Target="https://benefitcomply.com/compliance-alert-irs-releases-guidance-on-ffcra-tax-credit/" TargetMode="External"/><Relationship Id="rId33" Type="http://schemas.openxmlformats.org/officeDocument/2006/relationships/hyperlink" Target="https://www.dol.gov/sites/dolgov/files/EBSA/laws-and-regulations/laws/mental-health-parity/compliance-assistance-guide-appendix-a-mhpaea-proposed-updates.pdf" TargetMode="External"/><Relationship Id="rId38" Type="http://schemas.openxmlformats.org/officeDocument/2006/relationships/hyperlink" Target="https://www.govinfo.gov/content/pkg/FR-2020-06-23/pdf/2020-13506.pdf" TargetMode="External"/><Relationship Id="rId46" Type="http://schemas.openxmlformats.org/officeDocument/2006/relationships/hyperlink" Target="https://benefitcomply.com/return-to-work-employer-checklist/" TargetMode="External"/><Relationship Id="rId20" Type="http://schemas.openxmlformats.org/officeDocument/2006/relationships/hyperlink" Target="https://www.shrm.org/resourcesandtools/hr-topics/benefits/pages/states-order-insurers-to-let-employers-cover-furloughed-workers-coronavirus.aspx" TargetMode="External"/><Relationship Id="rId41" Type="http://schemas.openxmlformats.org/officeDocument/2006/relationships/hyperlink" Target="http://benefitcomply.com/%E2%80%A2-compliance-alert-tax-treatment-of-transportation-benefits-changes-under-new-law/" TargetMode="External"/><Relationship Id="rId54" Type="http://schemas.openxmlformats.org/officeDocument/2006/relationships/hyperlink" Target="https://benefitcomply.com/compliance-alert-agency-updat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scotusblog.com/2019/12/argument-analysis-justices-appear-sympathetic-to-insurers-in-dispute-over-risk-corridor-compensation/" TargetMode="External"/><Relationship Id="rId23" Type="http://schemas.openxmlformats.org/officeDocument/2006/relationships/hyperlink" Target="https://www.groom.com/resources/employers-get-bit-flurry-of-class-action-lawsuits-allege-deficiencies-in-cobra-election-notices/" TargetMode="External"/><Relationship Id="rId28" Type="http://schemas.openxmlformats.org/officeDocument/2006/relationships/hyperlink" Target="https://www.dol.gov/sites/dolgov/files/EBSA/laws-and-regulations/laws/mental-health-parity/compliance-assistance-guide-appendix-a-mhpaea-proposed-updates.pdf" TargetMode="External"/><Relationship Id="rId36" Type="http://schemas.openxmlformats.org/officeDocument/2006/relationships/hyperlink" Target="https://benefitcomply.com/compliance-alert-agency-guidance-national-emergency-extended-time-frames/" TargetMode="External"/><Relationship Id="rId49" Type="http://schemas.openxmlformats.org/officeDocument/2006/relationships/hyperlink" Target="https://benefitcomply.com/compliance-alert-agency-guidance-irs-notices-announce-increased-flexibility-for-certain-plans/" TargetMode="External"/><Relationship Id="rId5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AppData\Roaming\Microsoft\Templates\Client%20satisfaction%20survey%20report%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7D45BD4846E2428EB9F38F68954E8D"/>
        <w:category>
          <w:name w:val="General"/>
          <w:gallery w:val="placeholder"/>
        </w:category>
        <w:types>
          <w:type w:val="bbPlcHdr"/>
        </w:types>
        <w:behaviors>
          <w:behavior w:val="content"/>
        </w:behaviors>
        <w:guid w:val="{9B5F3BC9-B77B-EE45-A986-60DD13E017CF}"/>
      </w:docPartPr>
      <w:docPartBody>
        <w:p w:rsidR="00942F34" w:rsidRDefault="00AB1C8C" w:rsidP="00AB1C8C">
          <w:pPr>
            <w:pStyle w:val="807D45BD4846E2428EB9F38F68954E8D"/>
          </w:pPr>
          <w:r>
            <w:rPr>
              <w:lang w:val="en"/>
            </w:rPr>
            <w:t>focus</w:t>
          </w:r>
        </w:p>
      </w:docPartBody>
    </w:docPart>
    <w:docPart>
      <w:docPartPr>
        <w:name w:val="77DD6E8A713ED24886BA01C76841B757"/>
        <w:category>
          <w:name w:val="General"/>
          <w:gallery w:val="placeholder"/>
        </w:category>
        <w:types>
          <w:type w:val="bbPlcHdr"/>
        </w:types>
        <w:behaviors>
          <w:behavior w:val="content"/>
        </w:behaviors>
        <w:guid w:val="{E51F1326-DB35-8D4E-AF3C-B662E28B87E4}"/>
      </w:docPartPr>
      <w:docPartBody>
        <w:p w:rsidR="00942F34" w:rsidRDefault="00AB1C8C" w:rsidP="00AB1C8C">
          <w:pPr>
            <w:pStyle w:val="77DD6E8A713ED24886BA01C76841B757"/>
          </w:pPr>
          <w:r w:rsidRPr="005075CA">
            <w:t>ISSUE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B06040202020202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8C"/>
    <w:rsid w:val="0000144E"/>
    <w:rsid w:val="00075478"/>
    <w:rsid w:val="000C0F45"/>
    <w:rsid w:val="001C78A4"/>
    <w:rsid w:val="00256FD2"/>
    <w:rsid w:val="0070414A"/>
    <w:rsid w:val="00817030"/>
    <w:rsid w:val="00922DB4"/>
    <w:rsid w:val="00942F34"/>
    <w:rsid w:val="00AB1C8C"/>
    <w:rsid w:val="00C63AF1"/>
    <w:rsid w:val="00CF31DF"/>
    <w:rsid w:val="00DD3932"/>
    <w:rsid w:val="00DD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7D45BD4846E2428EB9F38F68954E8D">
    <w:name w:val="807D45BD4846E2428EB9F38F68954E8D"/>
    <w:rsid w:val="00AB1C8C"/>
  </w:style>
  <w:style w:type="paragraph" w:customStyle="1" w:styleId="F886CE50C390E048AA454A2BD9C487AF">
    <w:name w:val="F886CE50C390E048AA454A2BD9C487AF"/>
    <w:rsid w:val="00AB1C8C"/>
  </w:style>
  <w:style w:type="paragraph" w:customStyle="1" w:styleId="6AD9EFCB11BE8740B7B31D511DCF679E">
    <w:name w:val="6AD9EFCB11BE8740B7B31D511DCF679E"/>
    <w:rsid w:val="00AB1C8C"/>
  </w:style>
  <w:style w:type="paragraph" w:customStyle="1" w:styleId="E29829DCE68B5342BD0840A7DEF75941">
    <w:name w:val="E29829DCE68B5342BD0840A7DEF75941"/>
    <w:rsid w:val="00AB1C8C"/>
  </w:style>
  <w:style w:type="paragraph" w:customStyle="1" w:styleId="370524DFCCF67A4681B0538404EE20D0">
    <w:name w:val="370524DFCCF67A4681B0538404EE20D0"/>
    <w:rsid w:val="00AB1C8C"/>
  </w:style>
  <w:style w:type="paragraph" w:customStyle="1" w:styleId="ED771BFC8C55B94FAE72CD63D20ABC06">
    <w:name w:val="ED771BFC8C55B94FAE72CD63D20ABC06"/>
    <w:rsid w:val="00AB1C8C"/>
  </w:style>
  <w:style w:type="paragraph" w:customStyle="1" w:styleId="4DC6FC875F9F5849BEF99AFC856D48F9">
    <w:name w:val="4DC6FC875F9F5849BEF99AFC856D48F9"/>
    <w:rsid w:val="00AB1C8C"/>
  </w:style>
  <w:style w:type="paragraph" w:customStyle="1" w:styleId="49433B58F85BBF4295E1E266223BD3B3">
    <w:name w:val="49433B58F85BBF4295E1E266223BD3B3"/>
    <w:rsid w:val="00AB1C8C"/>
  </w:style>
  <w:style w:type="paragraph" w:customStyle="1" w:styleId="2368E1B90066B04F86F0E1834DF20F65">
    <w:name w:val="2368E1B90066B04F86F0E1834DF20F65"/>
    <w:rsid w:val="00AB1C8C"/>
  </w:style>
  <w:style w:type="paragraph" w:customStyle="1" w:styleId="57A4F8BBFE5D4B40B12EFA5E7A90B983">
    <w:name w:val="57A4F8BBFE5D4B40B12EFA5E7A90B983"/>
    <w:rsid w:val="00AB1C8C"/>
  </w:style>
  <w:style w:type="paragraph" w:customStyle="1" w:styleId="77DD6E8A713ED24886BA01C76841B757">
    <w:name w:val="77DD6E8A713ED24886BA01C76841B757"/>
    <w:rsid w:val="00AB1C8C"/>
  </w:style>
  <w:style w:type="paragraph" w:customStyle="1" w:styleId="E66B8DF8D1E2434884412258C7055563">
    <w:name w:val="E66B8DF8D1E2434884412258C7055563"/>
    <w:rsid w:val="00AB1C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52BA85-BC3B-4AC0-951D-288F94E91378}">
  <ds:schemaRefs>
    <ds:schemaRef ds:uri="http://schemas.openxmlformats.org/officeDocument/2006/bibliography"/>
  </ds:schemaRefs>
</ds:datastoreItem>
</file>

<file path=customXml/itemProps3.xml><?xml version="1.0" encoding="utf-8"?>
<ds:datastoreItem xmlns:ds="http://schemas.openxmlformats.org/officeDocument/2006/customXml" ds:itemID="{E2D53010-0FF8-448C-9025-17B08B4B78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C:\Users\Bob\AppData\Roaming\Microsoft\Templates\Client satisfaction survey report (Red design).dotx</Template>
  <TotalTime>1</TotalTime>
  <Pages>8</Pages>
  <Words>3146</Words>
  <Characters>18153</Characters>
  <Application>Microsoft Office Word</Application>
  <DocSecurity>0</DocSecurity>
  <Lines>342</Lines>
  <Paragraphs>112</Paragraphs>
  <ScaleCrop>false</ScaleCrop>
  <HeadingPairs>
    <vt:vector size="2" baseType="variant">
      <vt:variant>
        <vt:lpstr>Title</vt:lpstr>
      </vt:variant>
      <vt:variant>
        <vt:i4>1</vt:i4>
      </vt:variant>
    </vt:vector>
  </HeadingPairs>
  <TitlesOfParts>
    <vt:vector size="1" baseType="lpstr">
      <vt:lpstr>Benefit Comply Service Report</vt:lpstr>
    </vt:vector>
  </TitlesOfParts>
  <Company/>
  <LinksUpToDate>false</LinksUpToDate>
  <CharactersWithSpaces>21187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Comply Service Report</dc:title>
  <dc:subject/>
  <dc:creator>Bob</dc:creator>
  <cp:keywords/>
  <dc:description/>
  <cp:lastModifiedBy>Anthony Radecki</cp:lastModifiedBy>
  <cp:revision>3</cp:revision>
  <cp:lastPrinted>2019-10-18T17:57:00Z</cp:lastPrinted>
  <dcterms:created xsi:type="dcterms:W3CDTF">2020-07-02T19:42:00Z</dcterms:created>
  <dcterms:modified xsi:type="dcterms:W3CDTF">2020-07-02T19:44:00Z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TC039786259991</vt:lpwstr>
  </property>
</Properties>
</file>