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CF1B" w14:textId="35D3D46A" w:rsidR="00C62225" w:rsidRPr="009E5CED" w:rsidRDefault="00C62225" w:rsidP="00AD44D9">
      <w:pPr>
        <w:pStyle w:val="Heading1"/>
        <w:rPr>
          <w:sz w:val="20"/>
          <w:szCs w:val="20"/>
        </w:rPr>
      </w:pPr>
      <w:bookmarkStart w:id="0" w:name="_Toc302216887"/>
    </w:p>
    <w:tbl>
      <w:tblPr>
        <w:tblW w:w="5000" w:type="pct"/>
        <w:tblCellMar>
          <w:left w:w="0" w:type="dxa"/>
          <w:right w:w="0" w:type="dxa"/>
        </w:tblCellMar>
        <w:tblLook w:val="04A0" w:firstRow="1" w:lastRow="0" w:firstColumn="1" w:lastColumn="0" w:noHBand="0" w:noVBand="1"/>
      </w:tblPr>
      <w:tblGrid>
        <w:gridCol w:w="6420"/>
        <w:gridCol w:w="2940"/>
      </w:tblGrid>
      <w:tr w:rsidR="009A2C1C" w:rsidRPr="009E5CED" w14:paraId="64C5D50B" w14:textId="77777777" w:rsidTr="005A10A7">
        <w:trPr>
          <w:trHeight w:val="4032"/>
        </w:trPr>
        <w:tc>
          <w:tcPr>
            <w:tcW w:w="6178" w:type="dxa"/>
          </w:tcPr>
          <w:p w14:paraId="6A0F7481" w14:textId="7BBCEAA0" w:rsidR="00EF3652" w:rsidRDefault="005A10A7" w:rsidP="001A7F9F">
            <w:pPr>
              <w:pStyle w:val="TOC1"/>
              <w:rPr>
                <w:noProof/>
              </w:rPr>
            </w:pPr>
            <w:r w:rsidRPr="009E5CED">
              <w:rPr>
                <w:noProof/>
              </w:rPr>
              <mc:AlternateContent>
                <mc:Choice Requires="wps">
                  <w:drawing>
                    <wp:anchor distT="0" distB="0" distL="114300" distR="114300" simplePos="0" relativeHeight="251694080" behindDoc="0" locked="0" layoutInCell="1" allowOverlap="1" wp14:anchorId="6AEE4CF9" wp14:editId="45C4D8D8">
                      <wp:simplePos x="0" y="0"/>
                      <wp:positionH relativeFrom="margin">
                        <wp:posOffset>2060847</wp:posOffset>
                      </wp:positionH>
                      <wp:positionV relativeFrom="paragraph">
                        <wp:posOffset>128270</wp:posOffset>
                      </wp:positionV>
                      <wp:extent cx="4554220" cy="1362075"/>
                      <wp:effectExtent l="0" t="0" r="0" b="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13620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A5DB5E8" w14:textId="77777777" w:rsidR="00D35526" w:rsidRPr="00ED6BE5" w:rsidRDefault="00D35526" w:rsidP="00D35526">
                                  <w:pPr>
                                    <w:pStyle w:val="ContactInfo"/>
                                    <w:rPr>
                                      <w:rFonts w:ascii="Times New Roman" w:hAnsi="Times New Roman" w:cs="Times New Roman"/>
                                      <w:color w:val="0070C0"/>
                                      <w:sz w:val="144"/>
                                      <w:szCs w:val="144"/>
                                    </w:rPr>
                                  </w:pPr>
                                  <w:r w:rsidRPr="00ED6BE5">
                                    <w:rPr>
                                      <w:rFonts w:ascii="Times New Roman" w:hAnsi="Times New Roman" w:cs="Times New Roman"/>
                                      <w:color w:val="0070C0"/>
                                      <w:sz w:val="144"/>
                                      <w:szCs w:val="144"/>
                                    </w:rPr>
                                    <w:t>Compliance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EE4CF9" id="_x0000_t202" coordsize="21600,21600" o:spt="202" path="m,l,21600r21600,l21600,xe">
                      <v:stroke joinstyle="miter"/>
                      <v:path gradientshapeok="t" o:connecttype="rect"/>
                    </v:shapetype>
                    <v:shape id="Text Box 52" o:spid="_x0000_s1026" type="#_x0000_t202" style="position:absolute;margin-left:162.25pt;margin-top:10.1pt;width:358.6pt;height:107.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" filled="f" fillcolor="#fffffe" stroked="f" strokecolor="#212120" insetpen="t">
                      <v:textbox inset="2.88pt,2.88pt,2.88pt,2.88pt">
                        <w:txbxContent>
                          <w:p w14:paraId="7A5DB5E8" w14:textId="77777777" w:rsidR="00D35526" w:rsidRPr="00ED6BE5" w:rsidRDefault="00D35526" w:rsidP="00D35526">
                            <w:pPr>
                              <w:pStyle w:val="ContactInfo"/>
                              <w:rPr>
                                <w:rFonts w:ascii="Times New Roman" w:hAnsi="Times New Roman" w:cs="Times New Roman"/>
                                <w:color w:val="0070C0"/>
                                <w:sz w:val="144"/>
                                <w:szCs w:val="144"/>
                              </w:rPr>
                            </w:pPr>
                            <w:r w:rsidRPr="00ED6BE5">
                              <w:rPr>
                                <w:rFonts w:ascii="Times New Roman" w:hAnsi="Times New Roman" w:cs="Times New Roman"/>
                                <w:color w:val="0070C0"/>
                                <w:sz w:val="144"/>
                                <w:szCs w:val="144"/>
                              </w:rPr>
                              <w:t>Compliance</w:t>
                            </w:r>
                          </w:p>
                        </w:txbxContent>
                      </v:textbox>
                      <w10:wrap anchorx="margin"/>
                    </v:shape>
                  </w:pict>
                </mc:Fallback>
              </mc:AlternateContent>
            </w:r>
            <w:r w:rsidR="00D176FE" w:rsidRPr="009E5CED">
              <w:t>In this issue</w:t>
            </w:r>
            <w:r w:rsidR="00B77AC2" w:rsidRPr="009E5CED">
              <w:rPr>
                <w:caps/>
              </w:rPr>
              <w:fldChar w:fldCharType="begin"/>
            </w:r>
            <w:r w:rsidR="00B77AC2" w:rsidRPr="009E5CED">
              <w:instrText xml:space="preserve"> TOC \o "1-2" \h \z \u </w:instrText>
            </w:r>
            <w:r w:rsidR="00B77AC2" w:rsidRPr="009E5CED">
              <w:rPr>
                <w:caps/>
              </w:rPr>
              <w:fldChar w:fldCharType="separate"/>
            </w:r>
          </w:p>
          <w:p w14:paraId="34588FE7" w14:textId="26A07FB3" w:rsidR="00EF3652" w:rsidRPr="00EF3652" w:rsidRDefault="00EF3652">
            <w:pPr>
              <w:pStyle w:val="TOC1"/>
              <w:tabs>
                <w:tab w:val="right" w:leader="dot" w:pos="9350"/>
              </w:tabs>
              <w:rPr>
                <w:rFonts w:asciiTheme="minorHAnsi" w:hAnsiTheme="minorHAnsi" w:cstheme="minorBidi"/>
                <w:b w:val="0"/>
                <w:bCs w:val="0"/>
                <w:noProof/>
                <w:sz w:val="24"/>
                <w:szCs w:val="24"/>
                <w:lang w:eastAsia="en-US"/>
              </w:rPr>
            </w:pPr>
            <w:r w:rsidRPr="009E5CED">
              <w:rPr>
                <w:noProof/>
              </w:rPr>
              <mc:AlternateContent>
                <mc:Choice Requires="wps">
                  <w:drawing>
                    <wp:anchor distT="0" distB="0" distL="114300" distR="114300" simplePos="0" relativeHeight="251703296" behindDoc="0" locked="0" layoutInCell="1" allowOverlap="1" wp14:anchorId="394A66B3" wp14:editId="26881800">
                      <wp:simplePos x="0" y="0"/>
                      <wp:positionH relativeFrom="margin">
                        <wp:posOffset>2708275</wp:posOffset>
                      </wp:positionH>
                      <wp:positionV relativeFrom="paragraph">
                        <wp:posOffset>230700</wp:posOffset>
                      </wp:positionV>
                      <wp:extent cx="3323590" cy="1371600"/>
                      <wp:effectExtent l="0" t="0" r="0"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1371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sdt>
                                  <w:sdtPr>
                                    <w:rPr>
                                      <w:lang w:val="en"/>
                                    </w:rPr>
                                    <w:id w:val="-1749411840"/>
                                    <w:placeholder>
                                      <w:docPart w:val="00425432AF66B14BB3AE0386A5E99B7A"/>
                                    </w:placeholder>
                                    <w:temporary/>
                                    <w:showingPlcHdr/>
                                    <w15:appearance w15:val="hidden"/>
                                  </w:sdtPr>
                                  <w:sdtEndPr/>
                                  <w:sdtContent>
                                    <w:p w14:paraId="289AACC8" w14:textId="77777777" w:rsidR="00EF3652" w:rsidRDefault="00EF3652" w:rsidP="00EF3652">
                                      <w:pPr>
                                        <w:jc w:val="right"/>
                                        <w:rPr>
                                          <w:i/>
                                          <w:lang w:val="en"/>
                                        </w:rPr>
                                      </w:pPr>
                                      <w:r w:rsidRPr="00D35526">
                                        <w:rPr>
                                          <w:rFonts w:ascii="Times New Roman" w:hAnsi="Times New Roman" w:cs="Times New Roman"/>
                                          <w:i/>
                                          <w:iCs/>
                                          <w:color w:val="61ADBF" w:themeColor="accent4"/>
                                          <w:sz w:val="144"/>
                                          <w:szCs w:val="144"/>
                                          <w:lang w:val="en"/>
                                        </w:rPr>
                                        <w:t>focus</w:t>
                                      </w:r>
                                    </w:p>
                                  </w:sdtContent>
                                </w:sdt>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A66B3" id="Text Box 60" o:spid="_x0000_s1027" type="#_x0000_t202" style="position:absolute;margin-left:213.25pt;margin-top:18.15pt;width:261.7pt;height:10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" filled="f" fillcolor="#fffffe" stroked="f" strokecolor="#212120" insetpen="t">
                      <v:textbox inset="2.88pt,2.88pt,2.88pt,2.88pt">
                        <w:txbxContent>
                          <w:sdt>
                            <w:sdtPr>
                              <w:rPr>
                                <w:lang w:val="en"/>
                              </w:rPr>
                              <w:id w:val="-1749411840"/>
                              <w:placeholder>
                                <w:docPart w:val="00425432AF66B14BB3AE0386A5E99B7A"/>
                              </w:placeholder>
                              <w:temporary/>
                              <w:showingPlcHdr/>
                              <w15:appearance w15:val="hidden"/>
                            </w:sdtPr>
                            <w:sdtEndPr/>
                            <w:sdtContent>
                              <w:p w14:paraId="289AACC8" w14:textId="77777777" w:rsidR="00EF3652" w:rsidRDefault="00EF3652" w:rsidP="00EF3652">
                                <w:pPr>
                                  <w:jc w:val="right"/>
                                  <w:rPr>
                                    <w:i/>
                                    <w:lang w:val="en"/>
                                  </w:rPr>
                                </w:pPr>
                                <w:r w:rsidRPr="00D35526">
                                  <w:rPr>
                                    <w:rFonts w:ascii="Times New Roman" w:hAnsi="Times New Roman" w:cs="Times New Roman"/>
                                    <w:i/>
                                    <w:iCs/>
                                    <w:color w:val="61ADBF" w:themeColor="accent4"/>
                                    <w:sz w:val="144"/>
                                    <w:szCs w:val="144"/>
                                    <w:lang w:val="en"/>
                                  </w:rPr>
                                  <w:t>focus</w:t>
                                </w:r>
                              </w:p>
                            </w:sdtContent>
                          </w:sdt>
                        </w:txbxContent>
                      </v:textbox>
                      <w10:wrap anchorx="margin"/>
                    </v:shape>
                  </w:pict>
                </mc:Fallback>
              </mc:AlternateContent>
            </w:r>
            <w:hyperlink w:anchor="_Toc52954057" w:history="1">
              <w:r w:rsidRPr="00EF3652">
                <w:rPr>
                  <w:rStyle w:val="Hyperlink"/>
                  <w:noProof/>
                  <w:sz w:val="24"/>
                  <w:szCs w:val="24"/>
                </w:rPr>
                <w:t>Introduction</w:t>
              </w:r>
              <w:r w:rsidRPr="00EF3652">
                <w:rPr>
                  <w:noProof/>
                  <w:webHidden/>
                  <w:sz w:val="24"/>
                  <w:szCs w:val="24"/>
                </w:rPr>
                <w:tab/>
              </w:r>
              <w:r w:rsidRPr="00EF3652">
                <w:rPr>
                  <w:noProof/>
                  <w:webHidden/>
                  <w:sz w:val="24"/>
                  <w:szCs w:val="24"/>
                </w:rPr>
                <w:fldChar w:fldCharType="begin"/>
              </w:r>
              <w:r w:rsidRPr="00EF3652">
                <w:rPr>
                  <w:noProof/>
                  <w:webHidden/>
                  <w:sz w:val="24"/>
                  <w:szCs w:val="24"/>
                </w:rPr>
                <w:instrText xml:space="preserve"> PAGEREF _Toc52954057 \h </w:instrText>
              </w:r>
              <w:r w:rsidRPr="00EF3652">
                <w:rPr>
                  <w:noProof/>
                  <w:webHidden/>
                  <w:sz w:val="24"/>
                  <w:szCs w:val="24"/>
                </w:rPr>
              </w:r>
              <w:r w:rsidRPr="00EF3652">
                <w:rPr>
                  <w:noProof/>
                  <w:webHidden/>
                  <w:sz w:val="24"/>
                  <w:szCs w:val="24"/>
                </w:rPr>
                <w:fldChar w:fldCharType="separate"/>
              </w:r>
              <w:r>
                <w:rPr>
                  <w:noProof/>
                  <w:webHidden/>
                  <w:sz w:val="24"/>
                  <w:szCs w:val="24"/>
                </w:rPr>
                <w:t>1</w:t>
              </w:r>
              <w:r w:rsidRPr="00EF3652">
                <w:rPr>
                  <w:noProof/>
                  <w:webHidden/>
                  <w:sz w:val="24"/>
                  <w:szCs w:val="24"/>
                </w:rPr>
                <w:fldChar w:fldCharType="end"/>
              </w:r>
            </w:hyperlink>
          </w:p>
          <w:p w14:paraId="4495503C" w14:textId="07644859" w:rsidR="00EF3652" w:rsidRPr="00EF3652" w:rsidRDefault="00DF3BC5">
            <w:pPr>
              <w:pStyle w:val="TOC1"/>
              <w:tabs>
                <w:tab w:val="right" w:leader="dot" w:pos="9350"/>
              </w:tabs>
              <w:rPr>
                <w:rFonts w:asciiTheme="minorHAnsi" w:hAnsiTheme="minorHAnsi" w:cstheme="minorBidi"/>
                <w:b w:val="0"/>
                <w:bCs w:val="0"/>
                <w:noProof/>
                <w:sz w:val="24"/>
                <w:szCs w:val="24"/>
                <w:lang w:eastAsia="en-US"/>
              </w:rPr>
            </w:pPr>
            <w:hyperlink w:anchor="_Toc52954058" w:history="1">
              <w:r w:rsidR="00EF3652" w:rsidRPr="00EF3652">
                <w:rPr>
                  <w:rStyle w:val="Hyperlink"/>
                  <w:noProof/>
                  <w:sz w:val="24"/>
                  <w:szCs w:val="24"/>
                </w:rPr>
                <w:t>Employer Notice Flexibility During Open Enrollment</w:t>
              </w:r>
              <w:r w:rsidR="00EF3652" w:rsidRPr="00EF3652">
                <w:rPr>
                  <w:noProof/>
                  <w:webHidden/>
                  <w:sz w:val="24"/>
                  <w:szCs w:val="24"/>
                </w:rPr>
                <w:tab/>
                <w:t>1</w:t>
              </w:r>
            </w:hyperlink>
          </w:p>
          <w:p w14:paraId="2F33D3EE" w14:textId="60571D94" w:rsidR="00EF3652" w:rsidRPr="00EF3652" w:rsidRDefault="00DF3BC5">
            <w:pPr>
              <w:pStyle w:val="TOC1"/>
              <w:tabs>
                <w:tab w:val="right" w:leader="dot" w:pos="9350"/>
              </w:tabs>
              <w:rPr>
                <w:rFonts w:asciiTheme="minorHAnsi" w:hAnsiTheme="minorHAnsi" w:cstheme="minorBidi"/>
                <w:b w:val="0"/>
                <w:bCs w:val="0"/>
                <w:noProof/>
                <w:sz w:val="24"/>
                <w:szCs w:val="24"/>
                <w:lang w:eastAsia="en-US"/>
              </w:rPr>
            </w:pPr>
            <w:hyperlink w:anchor="_Toc52954059" w:history="1">
              <w:r w:rsidR="00EF3652" w:rsidRPr="00EF3652">
                <w:rPr>
                  <w:rStyle w:val="Hyperlink"/>
                  <w:noProof/>
                  <w:sz w:val="24"/>
                  <w:szCs w:val="24"/>
                </w:rPr>
                <w:t>In Other News…</w:t>
              </w:r>
              <w:r w:rsidR="00EF3652" w:rsidRPr="00EF3652">
                <w:rPr>
                  <w:noProof/>
                  <w:webHidden/>
                  <w:sz w:val="24"/>
                  <w:szCs w:val="24"/>
                </w:rPr>
                <w:tab/>
              </w:r>
              <w:r w:rsidR="00EF3652" w:rsidRPr="00EF3652">
                <w:rPr>
                  <w:noProof/>
                  <w:webHidden/>
                  <w:sz w:val="24"/>
                  <w:szCs w:val="24"/>
                </w:rPr>
                <w:fldChar w:fldCharType="begin"/>
              </w:r>
              <w:r w:rsidR="00EF3652" w:rsidRPr="00EF3652">
                <w:rPr>
                  <w:noProof/>
                  <w:webHidden/>
                  <w:sz w:val="24"/>
                  <w:szCs w:val="24"/>
                </w:rPr>
                <w:instrText xml:space="preserve"> PAGEREF _Toc52954059 \h </w:instrText>
              </w:r>
              <w:r w:rsidR="00EF3652" w:rsidRPr="00EF3652">
                <w:rPr>
                  <w:noProof/>
                  <w:webHidden/>
                  <w:sz w:val="24"/>
                  <w:szCs w:val="24"/>
                </w:rPr>
              </w:r>
              <w:r w:rsidR="00EF3652" w:rsidRPr="00EF3652">
                <w:rPr>
                  <w:noProof/>
                  <w:webHidden/>
                  <w:sz w:val="24"/>
                  <w:szCs w:val="24"/>
                </w:rPr>
                <w:fldChar w:fldCharType="separate"/>
              </w:r>
              <w:r w:rsidR="00EF3652">
                <w:rPr>
                  <w:noProof/>
                  <w:webHidden/>
                  <w:sz w:val="24"/>
                  <w:szCs w:val="24"/>
                </w:rPr>
                <w:t>3</w:t>
              </w:r>
              <w:r w:rsidR="00EF3652" w:rsidRPr="00EF3652">
                <w:rPr>
                  <w:noProof/>
                  <w:webHidden/>
                  <w:sz w:val="24"/>
                  <w:szCs w:val="24"/>
                </w:rPr>
                <w:fldChar w:fldCharType="end"/>
              </w:r>
            </w:hyperlink>
          </w:p>
          <w:p w14:paraId="502E9499" w14:textId="41D31AB0" w:rsidR="00EF3652" w:rsidRPr="00EF3652" w:rsidRDefault="00DF3BC5">
            <w:pPr>
              <w:pStyle w:val="TOC1"/>
              <w:tabs>
                <w:tab w:val="right" w:leader="dot" w:pos="9350"/>
              </w:tabs>
              <w:rPr>
                <w:rFonts w:asciiTheme="minorHAnsi" w:hAnsiTheme="minorHAnsi" w:cstheme="minorBidi"/>
                <w:b w:val="0"/>
                <w:bCs w:val="0"/>
                <w:noProof/>
                <w:sz w:val="24"/>
                <w:szCs w:val="24"/>
                <w:lang w:eastAsia="en-US"/>
              </w:rPr>
            </w:pPr>
            <w:hyperlink w:anchor="_Toc52954068" w:history="1">
              <w:r w:rsidR="00EF3652" w:rsidRPr="00EF3652">
                <w:rPr>
                  <w:rStyle w:val="Hyperlink"/>
                  <w:noProof/>
                  <w:sz w:val="24"/>
                  <w:szCs w:val="24"/>
                </w:rPr>
                <w:t>Quarterly Q&amp;A</w:t>
              </w:r>
              <w:r w:rsidR="00EF3652" w:rsidRPr="00EF3652">
                <w:rPr>
                  <w:noProof/>
                  <w:webHidden/>
                  <w:sz w:val="24"/>
                  <w:szCs w:val="24"/>
                </w:rPr>
                <w:tab/>
              </w:r>
              <w:r w:rsidR="00EF3652" w:rsidRPr="00EF3652">
                <w:rPr>
                  <w:noProof/>
                  <w:webHidden/>
                  <w:sz w:val="24"/>
                  <w:szCs w:val="24"/>
                </w:rPr>
                <w:fldChar w:fldCharType="begin"/>
              </w:r>
              <w:r w:rsidR="00EF3652" w:rsidRPr="00EF3652">
                <w:rPr>
                  <w:noProof/>
                  <w:webHidden/>
                  <w:sz w:val="24"/>
                  <w:szCs w:val="24"/>
                </w:rPr>
                <w:instrText xml:space="preserve"> PAGEREF _Toc52954068 \h </w:instrText>
              </w:r>
              <w:r w:rsidR="00EF3652" w:rsidRPr="00EF3652">
                <w:rPr>
                  <w:noProof/>
                  <w:webHidden/>
                  <w:sz w:val="24"/>
                  <w:szCs w:val="24"/>
                </w:rPr>
              </w:r>
              <w:r w:rsidR="00EF3652" w:rsidRPr="00EF3652">
                <w:rPr>
                  <w:noProof/>
                  <w:webHidden/>
                  <w:sz w:val="24"/>
                  <w:szCs w:val="24"/>
                </w:rPr>
                <w:fldChar w:fldCharType="separate"/>
              </w:r>
              <w:r w:rsidR="00EF3652">
                <w:rPr>
                  <w:noProof/>
                  <w:webHidden/>
                  <w:sz w:val="24"/>
                  <w:szCs w:val="24"/>
                </w:rPr>
                <w:t>5</w:t>
              </w:r>
              <w:r w:rsidR="00EF3652" w:rsidRPr="00EF3652">
                <w:rPr>
                  <w:noProof/>
                  <w:webHidden/>
                  <w:sz w:val="24"/>
                  <w:szCs w:val="24"/>
                </w:rPr>
                <w:fldChar w:fldCharType="end"/>
              </w:r>
            </w:hyperlink>
          </w:p>
          <w:p w14:paraId="75348926" w14:textId="6F0C16CE" w:rsidR="00B77AC2" w:rsidRPr="009E5CED" w:rsidRDefault="00B77AC2" w:rsidP="009A2C1C">
            <w:pPr>
              <w:ind w:right="3996"/>
              <w:rPr>
                <w:rFonts w:ascii="Arial" w:hAnsi="Arial" w:cs="Arial"/>
                <w:sz w:val="20"/>
                <w:szCs w:val="20"/>
              </w:rPr>
            </w:pPr>
            <w:r w:rsidRPr="009E5CED">
              <w:rPr>
                <w:rFonts w:ascii="Arial" w:hAnsi="Arial" w:cs="Arial"/>
                <w:sz w:val="20"/>
                <w:szCs w:val="20"/>
              </w:rPr>
              <w:fldChar w:fldCharType="end"/>
            </w:r>
          </w:p>
          <w:p w14:paraId="1CC58F13" w14:textId="1DFE8A8D" w:rsidR="000962F5" w:rsidRPr="009E5CED" w:rsidRDefault="000962F5" w:rsidP="00942529">
            <w:pPr>
              <w:ind w:right="3996"/>
              <w:rPr>
                <w:rFonts w:ascii="Arial" w:hAnsi="Arial" w:cs="Arial"/>
                <w:sz w:val="20"/>
                <w:szCs w:val="20"/>
              </w:rPr>
            </w:pPr>
          </w:p>
        </w:tc>
        <w:tc>
          <w:tcPr>
            <w:tcW w:w="3182" w:type="dxa"/>
          </w:tcPr>
          <w:p w14:paraId="620E970E" w14:textId="136DAC6B" w:rsidR="00B77AC2" w:rsidRPr="009E5CED" w:rsidRDefault="00B77AC2" w:rsidP="009A2C1C">
            <w:pPr>
              <w:pStyle w:val="IssueInfo"/>
              <w:ind w:right="3996"/>
              <w:rPr>
                <w:rFonts w:ascii="Arial" w:hAnsi="Arial" w:cs="Arial"/>
                <w:sz w:val="20"/>
                <w:szCs w:val="20"/>
              </w:rPr>
            </w:pPr>
            <w:r w:rsidRPr="009E5CED">
              <w:rPr>
                <w:rFonts w:ascii="Arial" w:hAnsi="Arial" w:cs="Arial"/>
                <w:color w:val="FFFFFF" w:themeColor="background1"/>
                <w:sz w:val="20"/>
                <w:szCs w:val="20"/>
              </w:rPr>
              <w:sym w:font="Wingdings" w:char="F0A1"/>
            </w:r>
          </w:p>
        </w:tc>
      </w:tr>
    </w:tbl>
    <w:p w14:paraId="31DB4584" w14:textId="77777777" w:rsidR="0020660C" w:rsidRPr="009E5CED" w:rsidRDefault="00962BC0" w:rsidP="00BB3AEB">
      <w:pPr>
        <w:pStyle w:val="Heading1"/>
        <w:rPr>
          <w:color w:val="0070C0"/>
          <w:sz w:val="32"/>
          <w:szCs w:val="32"/>
        </w:rPr>
      </w:pPr>
      <w:bookmarkStart w:id="1" w:name="_Toc52954057"/>
      <w:bookmarkEnd w:id="0"/>
      <w:r w:rsidRPr="009E5CED">
        <w:rPr>
          <w:color w:val="0070C0"/>
          <w:sz w:val="32"/>
          <w:szCs w:val="32"/>
        </w:rPr>
        <w:t>Introduction</w:t>
      </w:r>
      <w:bookmarkEnd w:id="1"/>
    </w:p>
    <w:p w14:paraId="5D80B7B8" w14:textId="67031919" w:rsidR="00962BC0" w:rsidRDefault="00962BC0" w:rsidP="00962BC0">
      <w:pPr>
        <w:rPr>
          <w:rFonts w:ascii="Arial" w:hAnsi="Arial" w:cs="Arial"/>
        </w:rPr>
      </w:pPr>
    </w:p>
    <w:p w14:paraId="7CE6C4B2" w14:textId="7AD74DC1" w:rsidR="00E704D0" w:rsidRPr="00FA12AA" w:rsidRDefault="006751E5" w:rsidP="00FA12AA">
      <w:pPr>
        <w:spacing w:line="276" w:lineRule="auto"/>
        <w:rPr>
          <w:rFonts w:ascii="Arial" w:hAnsi="Arial" w:cs="Arial"/>
          <w:sz w:val="20"/>
          <w:szCs w:val="20"/>
        </w:rPr>
      </w:pPr>
      <w:r w:rsidRPr="00FA12AA">
        <w:rPr>
          <w:rFonts w:ascii="Arial" w:hAnsi="Arial" w:cs="Arial"/>
          <w:sz w:val="20"/>
          <w:szCs w:val="20"/>
        </w:rPr>
        <w:t>This issue of Compliance Focus feels reminiscent of a simpler ti</w:t>
      </w:r>
      <w:r w:rsidR="0047422F" w:rsidRPr="00FA12AA">
        <w:rPr>
          <w:rFonts w:ascii="Arial" w:hAnsi="Arial" w:cs="Arial"/>
          <w:sz w:val="20"/>
          <w:szCs w:val="20"/>
        </w:rPr>
        <w:t>me</w:t>
      </w:r>
      <w:r w:rsidR="007D017A" w:rsidRPr="00FA12AA">
        <w:rPr>
          <w:rFonts w:ascii="Arial" w:hAnsi="Arial" w:cs="Arial"/>
          <w:sz w:val="20"/>
          <w:szCs w:val="20"/>
        </w:rPr>
        <w:t xml:space="preserve"> - before Covid</w:t>
      </w:r>
      <w:r w:rsidRPr="00FA12AA">
        <w:rPr>
          <w:rFonts w:ascii="Arial" w:hAnsi="Arial" w:cs="Arial"/>
          <w:sz w:val="20"/>
          <w:szCs w:val="20"/>
        </w:rPr>
        <w:t xml:space="preserve">-19, when employers just had to focus on the </w:t>
      </w:r>
      <w:r w:rsidR="0015726B" w:rsidRPr="00FA12AA">
        <w:rPr>
          <w:rFonts w:ascii="Arial" w:hAnsi="Arial" w:cs="Arial"/>
          <w:sz w:val="20"/>
          <w:szCs w:val="20"/>
        </w:rPr>
        <w:t xml:space="preserve">basics. </w:t>
      </w:r>
      <w:r w:rsidR="00ED50B1" w:rsidRPr="00FA12AA">
        <w:rPr>
          <w:rFonts w:ascii="Arial" w:hAnsi="Arial" w:cs="Arial"/>
          <w:sz w:val="20"/>
          <w:szCs w:val="20"/>
        </w:rPr>
        <w:t>Okay, so “the basics” as they relate to employer health and welfare benefits aren’t always so simple!</w:t>
      </w:r>
      <w:r w:rsidR="007D017A" w:rsidRPr="00FA12AA">
        <w:rPr>
          <w:rFonts w:ascii="Arial" w:hAnsi="Arial" w:cs="Arial"/>
          <w:sz w:val="20"/>
          <w:szCs w:val="20"/>
        </w:rPr>
        <w:t xml:space="preserve"> But they are</w:t>
      </w:r>
      <w:r w:rsidR="001D2EB5" w:rsidRPr="00FA12AA">
        <w:rPr>
          <w:rFonts w:ascii="Arial" w:hAnsi="Arial" w:cs="Arial"/>
          <w:sz w:val="20"/>
          <w:szCs w:val="20"/>
        </w:rPr>
        <w:t xml:space="preserve"> more familiar, and from that perspective, we hope the information provided in this issue brings a sense of relief after the flurry of laws, regulation, guidance, and changes over the past </w:t>
      </w:r>
      <w:r w:rsidR="00FA12AA">
        <w:rPr>
          <w:rFonts w:ascii="Arial" w:hAnsi="Arial" w:cs="Arial"/>
          <w:sz w:val="20"/>
          <w:szCs w:val="20"/>
        </w:rPr>
        <w:t>six</w:t>
      </w:r>
      <w:r w:rsidR="001D2EB5" w:rsidRPr="00FA12AA">
        <w:rPr>
          <w:rFonts w:ascii="Arial" w:hAnsi="Arial" w:cs="Arial"/>
          <w:sz w:val="20"/>
          <w:szCs w:val="20"/>
        </w:rPr>
        <w:t xml:space="preserve"> month</w:t>
      </w:r>
      <w:r w:rsidR="00FA12AA">
        <w:rPr>
          <w:rFonts w:ascii="Arial" w:hAnsi="Arial" w:cs="Arial"/>
          <w:sz w:val="20"/>
          <w:szCs w:val="20"/>
        </w:rPr>
        <w:t>s</w:t>
      </w:r>
      <w:r w:rsidR="001D2EB5" w:rsidRPr="00FA12AA">
        <w:rPr>
          <w:rFonts w:ascii="Arial" w:hAnsi="Arial" w:cs="Arial"/>
          <w:sz w:val="20"/>
          <w:szCs w:val="20"/>
        </w:rPr>
        <w:t>. Here</w:t>
      </w:r>
      <w:r w:rsidR="00654C07">
        <w:rPr>
          <w:rFonts w:ascii="Arial" w:hAnsi="Arial" w:cs="Arial"/>
          <w:sz w:val="20"/>
          <w:szCs w:val="20"/>
        </w:rPr>
        <w:t>,</w:t>
      </w:r>
      <w:r w:rsidR="001D2EB5" w:rsidRPr="00FA12AA">
        <w:rPr>
          <w:rFonts w:ascii="Arial" w:hAnsi="Arial" w:cs="Arial"/>
          <w:sz w:val="20"/>
          <w:szCs w:val="20"/>
        </w:rPr>
        <w:t xml:space="preserve"> we discuss how employers might take advantage of recent regulatory flexibility with respect to open enrollment notices and disclosure; we review the issue briefs/alerts we’ve issued over the past 3 months on an array of familiar topics (the ACA, MLR rebates, employer reporting, etc.)</w:t>
      </w:r>
      <w:r w:rsidR="00FA12AA">
        <w:rPr>
          <w:rFonts w:ascii="Arial" w:hAnsi="Arial" w:cs="Arial"/>
          <w:sz w:val="20"/>
          <w:szCs w:val="20"/>
        </w:rPr>
        <w:t xml:space="preserve">; </w:t>
      </w:r>
      <w:r w:rsidR="001D2EB5" w:rsidRPr="00FA12AA">
        <w:rPr>
          <w:rFonts w:ascii="Arial" w:hAnsi="Arial" w:cs="Arial"/>
          <w:sz w:val="20"/>
          <w:szCs w:val="20"/>
        </w:rPr>
        <w:t>and we answer one of the most common questions we receive about the different contribution rules for HSAs, FSAs and DCAPs.</w:t>
      </w:r>
      <w:r w:rsidR="00FE1A58">
        <w:rPr>
          <w:rFonts w:ascii="Arial" w:hAnsi="Arial" w:cs="Arial"/>
          <w:sz w:val="20"/>
          <w:szCs w:val="20"/>
        </w:rPr>
        <w:t xml:space="preserve"> </w:t>
      </w:r>
      <w:r w:rsidR="00654C07">
        <w:rPr>
          <w:rFonts w:ascii="Arial" w:hAnsi="Arial" w:cs="Arial"/>
          <w:sz w:val="20"/>
          <w:szCs w:val="20"/>
        </w:rPr>
        <w:t>You can also view some important benefits highlights from th</w:t>
      </w:r>
      <w:r w:rsidR="003532E0">
        <w:rPr>
          <w:rFonts w:ascii="Arial" w:hAnsi="Arial" w:cs="Arial"/>
          <w:sz w:val="20"/>
          <w:szCs w:val="20"/>
        </w:rPr>
        <w:t>is</w:t>
      </w:r>
      <w:r w:rsidR="00654C07">
        <w:rPr>
          <w:rFonts w:ascii="Arial" w:hAnsi="Arial" w:cs="Arial"/>
          <w:sz w:val="20"/>
          <w:szCs w:val="20"/>
        </w:rPr>
        <w:t xml:space="preserve"> </w:t>
      </w:r>
      <w:r w:rsidR="003532E0">
        <w:rPr>
          <w:rFonts w:ascii="Arial" w:hAnsi="Arial" w:cs="Arial"/>
          <w:sz w:val="20"/>
          <w:szCs w:val="20"/>
        </w:rPr>
        <w:t>quarter</w:t>
      </w:r>
      <w:r w:rsidR="00654C07">
        <w:rPr>
          <w:rFonts w:ascii="Arial" w:hAnsi="Arial" w:cs="Arial"/>
          <w:sz w:val="20"/>
          <w:szCs w:val="20"/>
        </w:rPr>
        <w:t>.</w:t>
      </w:r>
    </w:p>
    <w:p w14:paraId="51E05A5C" w14:textId="26F7618D" w:rsidR="00EB3E2A" w:rsidRPr="009E5CED" w:rsidRDefault="00EB3E2A" w:rsidP="00962BC0">
      <w:pPr>
        <w:rPr>
          <w:rFonts w:ascii="Arial" w:hAnsi="Arial" w:cs="Arial"/>
        </w:rPr>
      </w:pPr>
    </w:p>
    <w:p w14:paraId="7B6627CD" w14:textId="5DD71585" w:rsidR="00EB3E2A" w:rsidRPr="009E5CED" w:rsidRDefault="00583DDE" w:rsidP="00EB3E2A">
      <w:pPr>
        <w:pStyle w:val="Heading1"/>
        <w:rPr>
          <w:color w:val="0070C0"/>
          <w:sz w:val="32"/>
          <w:szCs w:val="32"/>
        </w:rPr>
      </w:pPr>
      <w:bookmarkStart w:id="2" w:name="_Toc52954058"/>
      <w:r w:rsidRPr="009E5CED">
        <w:rPr>
          <w:color w:val="0070C0"/>
          <w:sz w:val="32"/>
          <w:szCs w:val="32"/>
        </w:rPr>
        <w:t>Employer Notice Flexibility During Open Enrollment</w:t>
      </w:r>
      <w:bookmarkEnd w:id="2"/>
    </w:p>
    <w:p w14:paraId="5AC5A340" w14:textId="77777777" w:rsidR="003D1327" w:rsidRPr="009E5CED" w:rsidRDefault="003D1327" w:rsidP="009F0DA3">
      <w:pPr>
        <w:spacing w:line="276" w:lineRule="auto"/>
        <w:rPr>
          <w:rFonts w:ascii="Arial" w:hAnsi="Arial" w:cs="Arial"/>
          <w:sz w:val="20"/>
          <w:szCs w:val="20"/>
        </w:rPr>
      </w:pPr>
    </w:p>
    <w:p w14:paraId="6F3766C6" w14:textId="6CE78968" w:rsidR="003D1327" w:rsidRPr="00EF3652" w:rsidRDefault="003D1327" w:rsidP="009F0DA3">
      <w:pPr>
        <w:shd w:val="clear" w:color="auto" w:fill="FFFFFF"/>
        <w:spacing w:line="276" w:lineRule="auto"/>
        <w:jc w:val="both"/>
        <w:textAlignment w:val="baseline"/>
        <w:rPr>
          <w:rFonts w:ascii="Arial" w:eastAsia="Times New Roman" w:hAnsi="Arial" w:cs="Arial"/>
          <w:color w:val="262626" w:themeColor="text1" w:themeTint="D9"/>
          <w:sz w:val="20"/>
          <w:szCs w:val="20"/>
          <w:lang w:eastAsia="en-US"/>
        </w:rPr>
      </w:pPr>
      <w:r w:rsidRPr="00EF3652">
        <w:rPr>
          <w:rFonts w:ascii="Arial" w:eastAsia="Times New Roman" w:hAnsi="Arial" w:cs="Arial"/>
          <w:color w:val="262626" w:themeColor="text1" w:themeTint="D9"/>
          <w:sz w:val="20"/>
          <w:szCs w:val="20"/>
          <w:lang w:eastAsia="en-US"/>
        </w:rPr>
        <w:t>One of the good things to come out of the blizzard of rules and regulations that have been issued in response to the COVID-19 pandemic is DOL Notice 2020-1. In this notice, the DOL recognizes that employers face unique challenges this year when trying to provide required notices and disclosures to employees. </w:t>
      </w:r>
    </w:p>
    <w:p w14:paraId="098F4974" w14:textId="77777777" w:rsidR="009F0DA3" w:rsidRPr="00EF3652" w:rsidRDefault="009F0DA3" w:rsidP="009F0DA3">
      <w:pPr>
        <w:shd w:val="clear" w:color="auto" w:fill="FFFFFF"/>
        <w:spacing w:line="276" w:lineRule="auto"/>
        <w:jc w:val="both"/>
        <w:textAlignment w:val="baseline"/>
        <w:rPr>
          <w:rFonts w:ascii="Arial" w:eastAsia="Times New Roman" w:hAnsi="Arial" w:cs="Arial"/>
          <w:color w:val="262626" w:themeColor="text1" w:themeTint="D9"/>
          <w:sz w:val="20"/>
          <w:szCs w:val="20"/>
          <w:lang w:eastAsia="en-US"/>
        </w:rPr>
      </w:pPr>
    </w:p>
    <w:p w14:paraId="3B6E9EB5" w14:textId="5901A58E" w:rsidR="003D1327" w:rsidRPr="00EF3652" w:rsidRDefault="003D1327" w:rsidP="009F0DA3">
      <w:pPr>
        <w:shd w:val="clear" w:color="auto" w:fill="FFFFFF"/>
        <w:spacing w:line="276" w:lineRule="auto"/>
        <w:jc w:val="both"/>
        <w:textAlignment w:val="baseline"/>
        <w:rPr>
          <w:rFonts w:ascii="Arial" w:eastAsia="Times New Roman" w:hAnsi="Arial" w:cs="Arial"/>
          <w:color w:val="262626" w:themeColor="text1" w:themeTint="D9"/>
          <w:sz w:val="20"/>
          <w:szCs w:val="20"/>
          <w:lang w:eastAsia="en-US"/>
        </w:rPr>
      </w:pPr>
      <w:r w:rsidRPr="00EF3652">
        <w:rPr>
          <w:rFonts w:ascii="Arial" w:eastAsia="Times New Roman" w:hAnsi="Arial" w:cs="Arial"/>
          <w:color w:val="262626" w:themeColor="text1" w:themeTint="D9"/>
          <w:sz w:val="20"/>
          <w:szCs w:val="20"/>
          <w:lang w:eastAsia="en-US"/>
        </w:rPr>
        <w:t>In response, the DOL has provided flexibility in how notices and disclosures can be provided during the Outbreak Period. Remember that the Outbreak Period runs until 60 days after the national emergency is declared over by the Federal government.</w:t>
      </w:r>
    </w:p>
    <w:p w14:paraId="2F391E31" w14:textId="77777777" w:rsidR="009F0DA3" w:rsidRPr="00EF3652" w:rsidRDefault="009F0DA3" w:rsidP="009F0DA3">
      <w:pPr>
        <w:shd w:val="clear" w:color="auto" w:fill="FFFFFF"/>
        <w:spacing w:line="276" w:lineRule="auto"/>
        <w:jc w:val="both"/>
        <w:textAlignment w:val="baseline"/>
        <w:rPr>
          <w:rFonts w:ascii="Arial" w:eastAsia="Times New Roman" w:hAnsi="Arial" w:cs="Arial"/>
          <w:color w:val="262626" w:themeColor="text1" w:themeTint="D9"/>
          <w:sz w:val="20"/>
          <w:szCs w:val="20"/>
          <w:lang w:eastAsia="en-US"/>
        </w:rPr>
      </w:pPr>
    </w:p>
    <w:p w14:paraId="323CE5A4" w14:textId="3D47FCF7" w:rsidR="003D1327" w:rsidRPr="00EF3652" w:rsidRDefault="003D1327" w:rsidP="009F0DA3">
      <w:pPr>
        <w:shd w:val="clear" w:color="auto" w:fill="FFFFFF"/>
        <w:spacing w:line="276" w:lineRule="auto"/>
        <w:jc w:val="both"/>
        <w:textAlignment w:val="baseline"/>
        <w:rPr>
          <w:rFonts w:ascii="Arial" w:eastAsia="Times New Roman" w:hAnsi="Arial" w:cs="Arial"/>
          <w:color w:val="262626" w:themeColor="text1" w:themeTint="D9"/>
          <w:sz w:val="20"/>
          <w:szCs w:val="20"/>
          <w:lang w:eastAsia="en-US"/>
        </w:rPr>
      </w:pPr>
      <w:r w:rsidRPr="00EF3652">
        <w:rPr>
          <w:rFonts w:ascii="Arial" w:eastAsia="Times New Roman" w:hAnsi="Arial" w:cs="Arial"/>
          <w:color w:val="262626" w:themeColor="text1" w:themeTint="D9"/>
          <w:sz w:val="20"/>
          <w:szCs w:val="20"/>
          <w:lang w:eastAsia="en-US"/>
        </w:rPr>
        <w:t>During the Outbreak Period the DOL will not enforce the normal ERISA notice and disclosure requirements as long as “</w:t>
      </w:r>
      <w:r w:rsidRPr="00EF3652">
        <w:rPr>
          <w:rFonts w:ascii="Arial" w:eastAsia="Times New Roman" w:hAnsi="Arial" w:cs="Arial"/>
          <w:i/>
          <w:iCs/>
          <w:color w:val="262626" w:themeColor="text1" w:themeTint="D9"/>
          <w:sz w:val="20"/>
          <w:szCs w:val="20"/>
          <w:bdr w:val="none" w:sz="0" w:space="0" w:color="auto" w:frame="1"/>
          <w:lang w:eastAsia="en-US"/>
        </w:rPr>
        <w:t>the plan…act[s] in good faith and furnish[es] the notice, disclosure, or document as soon as administratively practicable under the circumstances. Good faith acts include use of electronic alternative means of communicating with plan participants and beneficiaries who the plan fiduciary reasonably believes have effective access to electronic means of communication, including email, text messages, and continuous access websites</w:t>
      </w:r>
      <w:r w:rsidRPr="00EF3652">
        <w:rPr>
          <w:rFonts w:ascii="Arial" w:eastAsia="Times New Roman" w:hAnsi="Arial" w:cs="Arial"/>
          <w:color w:val="262626" w:themeColor="text1" w:themeTint="D9"/>
          <w:sz w:val="20"/>
          <w:szCs w:val="20"/>
          <w:lang w:eastAsia="en-US"/>
        </w:rPr>
        <w:t>.”</w:t>
      </w:r>
    </w:p>
    <w:p w14:paraId="0DC06E4B" w14:textId="77777777" w:rsidR="009F0DA3" w:rsidRPr="00EF3652" w:rsidRDefault="009F0DA3" w:rsidP="009F0DA3">
      <w:pPr>
        <w:shd w:val="clear" w:color="auto" w:fill="FFFFFF"/>
        <w:spacing w:line="276" w:lineRule="auto"/>
        <w:jc w:val="both"/>
        <w:textAlignment w:val="baseline"/>
        <w:rPr>
          <w:rFonts w:ascii="Arial" w:eastAsia="Times New Roman" w:hAnsi="Arial" w:cs="Arial"/>
          <w:color w:val="262626" w:themeColor="text1" w:themeTint="D9"/>
          <w:sz w:val="20"/>
          <w:szCs w:val="20"/>
          <w:lang w:eastAsia="en-US"/>
        </w:rPr>
      </w:pPr>
    </w:p>
    <w:p w14:paraId="2402DB2E" w14:textId="2A53EF91" w:rsidR="00273D63" w:rsidRPr="00EF3652" w:rsidRDefault="003D1327" w:rsidP="009F0DA3">
      <w:pPr>
        <w:shd w:val="clear" w:color="auto" w:fill="FFFFFF"/>
        <w:spacing w:line="276" w:lineRule="auto"/>
        <w:jc w:val="both"/>
        <w:textAlignment w:val="baseline"/>
        <w:rPr>
          <w:rFonts w:ascii="Arial" w:eastAsia="Times New Roman" w:hAnsi="Arial" w:cs="Arial"/>
          <w:color w:val="262626" w:themeColor="text1" w:themeTint="D9"/>
          <w:sz w:val="20"/>
          <w:szCs w:val="20"/>
          <w:lang w:eastAsia="en-US"/>
        </w:rPr>
      </w:pPr>
      <w:r w:rsidRPr="00EF3652">
        <w:rPr>
          <w:rFonts w:ascii="Arial" w:eastAsia="Times New Roman" w:hAnsi="Arial" w:cs="Arial"/>
          <w:color w:val="262626" w:themeColor="text1" w:themeTint="D9"/>
          <w:sz w:val="20"/>
          <w:szCs w:val="20"/>
          <w:lang w:eastAsia="en-US"/>
        </w:rPr>
        <w:lastRenderedPageBreak/>
        <w:t>The DOL also states that the Department of Health and Human Services (HHS) has agreed to provide similar flexibility for requirements contained in the Public Health Service Act (PHSA) to plans not subject to ERISA, and the IRS will also take a similar approach to notice requirements under its jurisdiction.</w:t>
      </w:r>
    </w:p>
    <w:p w14:paraId="5FF7BC15" w14:textId="77777777" w:rsidR="009F0DA3" w:rsidRPr="00EF3652" w:rsidRDefault="009F0DA3" w:rsidP="009F0DA3">
      <w:pPr>
        <w:shd w:val="clear" w:color="auto" w:fill="FFFFFF"/>
        <w:jc w:val="both"/>
        <w:textAlignment w:val="baseline"/>
        <w:rPr>
          <w:rFonts w:ascii="Arial" w:eastAsia="Times New Roman" w:hAnsi="Arial" w:cs="Arial"/>
          <w:color w:val="262626" w:themeColor="text1" w:themeTint="D9"/>
          <w:sz w:val="20"/>
          <w:szCs w:val="20"/>
          <w:lang w:eastAsia="en-US"/>
        </w:rPr>
      </w:pPr>
    </w:p>
    <w:p w14:paraId="39F32DF1" w14:textId="4713DC50" w:rsidR="003D1327" w:rsidRPr="00EF3652" w:rsidRDefault="003D1327" w:rsidP="009F0DA3">
      <w:pPr>
        <w:shd w:val="clear" w:color="auto" w:fill="FFFFFF"/>
        <w:jc w:val="both"/>
        <w:textAlignment w:val="baseline"/>
        <w:rPr>
          <w:rFonts w:ascii="Arial" w:eastAsia="Times New Roman" w:hAnsi="Arial" w:cs="Arial"/>
          <w:color w:val="262626" w:themeColor="text1" w:themeTint="D9"/>
          <w:sz w:val="20"/>
          <w:szCs w:val="20"/>
          <w:lang w:eastAsia="en-US"/>
        </w:rPr>
      </w:pPr>
      <w:r w:rsidRPr="00EF3652">
        <w:rPr>
          <w:rFonts w:ascii="Arial" w:eastAsia="Times New Roman" w:hAnsi="Arial" w:cs="Arial"/>
          <w:b/>
          <w:bCs/>
          <w:color w:val="262626" w:themeColor="text1" w:themeTint="D9"/>
          <w:sz w:val="20"/>
          <w:szCs w:val="20"/>
          <w:bdr w:val="none" w:sz="0" w:space="0" w:color="auto" w:frame="1"/>
          <w:lang w:eastAsia="en-US"/>
        </w:rPr>
        <w:t>How Could this Help During Open Enrollment Season?</w:t>
      </w:r>
    </w:p>
    <w:p w14:paraId="522BEC43" w14:textId="77777777" w:rsidR="009F0DA3" w:rsidRPr="00EF3652" w:rsidRDefault="009F0DA3" w:rsidP="009F0DA3">
      <w:pPr>
        <w:shd w:val="clear" w:color="auto" w:fill="FFFFFF"/>
        <w:jc w:val="both"/>
        <w:textAlignment w:val="baseline"/>
        <w:rPr>
          <w:rFonts w:ascii="Arial" w:eastAsia="Times New Roman" w:hAnsi="Arial" w:cs="Arial"/>
          <w:color w:val="262626" w:themeColor="text1" w:themeTint="D9"/>
          <w:sz w:val="20"/>
          <w:szCs w:val="20"/>
          <w:lang w:eastAsia="en-US"/>
        </w:rPr>
      </w:pPr>
    </w:p>
    <w:p w14:paraId="4136599B" w14:textId="128CFFAA" w:rsidR="003D1327" w:rsidRPr="00EF3652" w:rsidRDefault="003D1327" w:rsidP="009F0DA3">
      <w:pPr>
        <w:shd w:val="clear" w:color="auto" w:fill="FFFFFF"/>
        <w:spacing w:line="276" w:lineRule="auto"/>
        <w:jc w:val="both"/>
        <w:textAlignment w:val="baseline"/>
        <w:rPr>
          <w:rFonts w:ascii="Arial" w:eastAsia="Times New Roman" w:hAnsi="Arial" w:cs="Arial"/>
          <w:color w:val="262626" w:themeColor="text1" w:themeTint="D9"/>
          <w:sz w:val="20"/>
          <w:szCs w:val="20"/>
          <w:lang w:eastAsia="en-US"/>
        </w:rPr>
      </w:pPr>
      <w:r w:rsidRPr="00EF3652">
        <w:rPr>
          <w:rFonts w:ascii="Arial" w:eastAsia="Times New Roman" w:hAnsi="Arial" w:cs="Arial"/>
          <w:color w:val="262626" w:themeColor="text1" w:themeTint="D9"/>
          <w:sz w:val="20"/>
          <w:szCs w:val="20"/>
          <w:lang w:eastAsia="en-US"/>
        </w:rPr>
        <w:t>Many employers have furloughed, but not laid off, large numbers of employees. Some of these employees may not have online access to the employer’s systems that meets the DOL electronic disclosure safe harbor requirements.</w:t>
      </w:r>
      <w:r w:rsidR="009F0DA3" w:rsidRPr="00EF3652">
        <w:rPr>
          <w:rFonts w:ascii="Arial" w:eastAsia="Times New Roman" w:hAnsi="Arial" w:cs="Arial"/>
          <w:color w:val="262626" w:themeColor="text1" w:themeTint="D9"/>
          <w:sz w:val="20"/>
          <w:szCs w:val="20"/>
          <w:lang w:eastAsia="en-US"/>
        </w:rPr>
        <w:t xml:space="preserve"> </w:t>
      </w:r>
      <w:r w:rsidRPr="00EF3652">
        <w:rPr>
          <w:rFonts w:ascii="Arial" w:eastAsia="Times New Roman" w:hAnsi="Arial" w:cs="Arial"/>
          <w:color w:val="262626" w:themeColor="text1" w:themeTint="D9"/>
          <w:sz w:val="20"/>
          <w:szCs w:val="20"/>
          <w:lang w:eastAsia="en-US"/>
        </w:rPr>
        <w:t>The flexibility to provide information in other means could help in this situation.</w:t>
      </w:r>
      <w:r w:rsidRPr="00EF3652">
        <w:rPr>
          <w:rFonts w:ascii="Arial" w:eastAsia="Times New Roman" w:hAnsi="Arial" w:cs="Arial"/>
          <w:noProof/>
          <w:color w:val="262626" w:themeColor="text1" w:themeTint="D9"/>
          <w:sz w:val="20"/>
          <w:szCs w:val="20"/>
          <w:lang w:eastAsia="en-US"/>
        </w:rPr>
        <w:t xml:space="preserve"> </w:t>
      </w:r>
    </w:p>
    <w:p w14:paraId="152480F6" w14:textId="77777777" w:rsidR="009F0DA3" w:rsidRPr="00EF3652" w:rsidRDefault="009F0DA3" w:rsidP="009F0DA3">
      <w:pPr>
        <w:shd w:val="clear" w:color="auto" w:fill="FFFFFF"/>
        <w:spacing w:line="276" w:lineRule="auto"/>
        <w:textAlignment w:val="baseline"/>
        <w:rPr>
          <w:rFonts w:ascii="Arial" w:eastAsia="Times New Roman" w:hAnsi="Arial" w:cs="Arial"/>
          <w:color w:val="262626" w:themeColor="text1" w:themeTint="D9"/>
          <w:sz w:val="20"/>
          <w:szCs w:val="20"/>
          <w:lang w:eastAsia="en-US"/>
        </w:rPr>
      </w:pPr>
    </w:p>
    <w:p w14:paraId="5D186E17" w14:textId="1454D2B7" w:rsidR="003D1327" w:rsidRPr="00EF3652" w:rsidRDefault="003D1327" w:rsidP="009F0DA3">
      <w:pPr>
        <w:shd w:val="clear" w:color="auto" w:fill="FFFFFF"/>
        <w:spacing w:line="276" w:lineRule="auto"/>
        <w:textAlignment w:val="baseline"/>
        <w:rPr>
          <w:rFonts w:ascii="Arial" w:eastAsia="Times New Roman" w:hAnsi="Arial" w:cs="Arial"/>
          <w:color w:val="262626" w:themeColor="text1" w:themeTint="D9"/>
          <w:sz w:val="20"/>
          <w:szCs w:val="20"/>
          <w:lang w:eastAsia="en-US"/>
        </w:rPr>
      </w:pPr>
      <w:r w:rsidRPr="00EF3652">
        <w:rPr>
          <w:rFonts w:ascii="Arial" w:eastAsia="Times New Roman" w:hAnsi="Arial" w:cs="Arial"/>
          <w:color w:val="262626" w:themeColor="text1" w:themeTint="D9"/>
          <w:sz w:val="20"/>
          <w:szCs w:val="20"/>
          <w:lang w:eastAsia="en-US"/>
        </w:rPr>
        <w:t>We are particularly interested in the ability to post the information on “continuous access websites.” For example, an employer could post their benefits book and Summary of Benefits and Coverage (SBC) on the company website, then inform employees that they believe have internet access where to find the information.</w:t>
      </w:r>
    </w:p>
    <w:p w14:paraId="66E19BAB" w14:textId="77777777" w:rsidR="009F0DA3" w:rsidRPr="00EF3652" w:rsidRDefault="009F0DA3" w:rsidP="009F0DA3">
      <w:pPr>
        <w:shd w:val="clear" w:color="auto" w:fill="FFFFFF"/>
        <w:spacing w:line="276" w:lineRule="auto"/>
        <w:textAlignment w:val="baseline"/>
        <w:rPr>
          <w:rFonts w:ascii="Arial" w:eastAsia="Times New Roman" w:hAnsi="Arial" w:cs="Arial"/>
          <w:color w:val="262626" w:themeColor="text1" w:themeTint="D9"/>
          <w:sz w:val="20"/>
          <w:szCs w:val="20"/>
          <w:lang w:eastAsia="en-US"/>
        </w:rPr>
      </w:pPr>
    </w:p>
    <w:p w14:paraId="0407E10A" w14:textId="364379A3" w:rsidR="00BD6B22" w:rsidRPr="00EF3652" w:rsidRDefault="003D1327" w:rsidP="00EF3652">
      <w:pPr>
        <w:shd w:val="clear" w:color="auto" w:fill="FFFFFF"/>
        <w:spacing w:line="276" w:lineRule="auto"/>
        <w:textAlignment w:val="baseline"/>
        <w:rPr>
          <w:rFonts w:ascii="Arial" w:eastAsia="Times New Roman" w:hAnsi="Arial" w:cs="Arial"/>
          <w:color w:val="262626" w:themeColor="text1" w:themeTint="D9"/>
          <w:sz w:val="20"/>
          <w:szCs w:val="20"/>
          <w:lang w:eastAsia="en-US"/>
        </w:rPr>
        <w:sectPr w:rsidR="00BD6B22" w:rsidRPr="00EF3652" w:rsidSect="002B480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80" w:right="1440" w:bottom="1080" w:left="1440" w:header="720" w:footer="720" w:gutter="0"/>
          <w:cols w:space="720"/>
          <w:docGrid w:linePitch="360"/>
        </w:sectPr>
      </w:pPr>
      <w:r w:rsidRPr="00EF3652">
        <w:rPr>
          <w:rFonts w:ascii="Arial" w:eastAsia="Times New Roman" w:hAnsi="Arial" w:cs="Arial"/>
          <w:color w:val="262626" w:themeColor="text1" w:themeTint="D9"/>
          <w:sz w:val="20"/>
          <w:szCs w:val="20"/>
          <w:lang w:eastAsia="en-US"/>
        </w:rPr>
        <w:t>Obviously, employers need to make a reasonable effort to provide important plan information to participants, but this flexibility and enforcement relief is welcome news for employers struggling with employee communications during these difficult times.</w:t>
      </w:r>
    </w:p>
    <w:bookmarkStart w:id="3" w:name="_Toc52954059"/>
    <w:p w14:paraId="495B0E12" w14:textId="4DF0A2F6" w:rsidR="004120F7" w:rsidRPr="009E5CED" w:rsidRDefault="00CF3B31" w:rsidP="00593C4D">
      <w:pPr>
        <w:pStyle w:val="Heading1"/>
        <w:spacing w:line="276" w:lineRule="auto"/>
        <w:rPr>
          <w:color w:val="0070C0"/>
          <w:sz w:val="32"/>
          <w:szCs w:val="32"/>
        </w:rPr>
      </w:pPr>
      <w:r w:rsidRPr="00593C4D">
        <w:rPr>
          <w:noProof/>
        </w:rPr>
        <w:lastRenderedPageBreak/>
        <mc:AlternateContent>
          <mc:Choice Requires="wps">
            <w:drawing>
              <wp:anchor distT="0" distB="0" distL="114300" distR="114300" simplePos="0" relativeHeight="251697152" behindDoc="0" locked="0" layoutInCell="1" allowOverlap="1" wp14:anchorId="23A8A657" wp14:editId="7AB789F0">
                <wp:simplePos x="0" y="0"/>
                <wp:positionH relativeFrom="column">
                  <wp:posOffset>3495675</wp:posOffset>
                </wp:positionH>
                <wp:positionV relativeFrom="paragraph">
                  <wp:posOffset>3175</wp:posOffset>
                </wp:positionV>
                <wp:extent cx="3008630" cy="8454390"/>
                <wp:effectExtent l="0" t="0" r="1270" b="3810"/>
                <wp:wrapSquare wrapText="bothSides"/>
                <wp:docPr id="1" name="Text Box 1"/>
                <wp:cNvGraphicFramePr/>
                <a:graphic xmlns:a="http://schemas.openxmlformats.org/drawingml/2006/main">
                  <a:graphicData uri="http://schemas.microsoft.com/office/word/2010/wordprocessingShape">
                    <wps:wsp>
                      <wps:cNvSpPr txBox="1"/>
                      <wps:spPr>
                        <a:xfrm>
                          <a:off x="0" y="0"/>
                          <a:ext cx="3008630" cy="8454390"/>
                        </a:xfrm>
                        <a:prstGeom prst="rect">
                          <a:avLst/>
                        </a:prstGeom>
                        <a:solidFill>
                          <a:srgbClr val="61ADBF">
                            <a:lumMod val="20000"/>
                            <a:lumOff val="80000"/>
                          </a:srgbClr>
                        </a:solidFill>
                        <a:ln w="6350">
                          <a:noFill/>
                        </a:ln>
                      </wps:spPr>
                      <wps:txbx>
                        <w:txbxContent>
                          <w:p w14:paraId="5D47EBDF" w14:textId="492DDDD9" w:rsidR="004D4130" w:rsidRPr="003005AF" w:rsidRDefault="00CF3B31" w:rsidP="003005AF">
                            <w:pPr>
                              <w:spacing w:line="276" w:lineRule="auto"/>
                              <w:ind w:left="360"/>
                              <w:rPr>
                                <w:rFonts w:ascii="Arial" w:hAnsi="Arial" w:cs="Arial"/>
                                <w:b/>
                                <w:bCs/>
                                <w:color w:val="0070C0"/>
                                <w:sz w:val="26"/>
                                <w:szCs w:val="26"/>
                              </w:rPr>
                            </w:pPr>
                            <w:r>
                              <w:rPr>
                                <w:rFonts w:ascii="Arial" w:hAnsi="Arial" w:cs="Arial"/>
                                <w:b/>
                                <w:bCs/>
                                <w:color w:val="0070C0"/>
                                <w:sz w:val="26"/>
                                <w:szCs w:val="26"/>
                              </w:rPr>
                              <w:br/>
                            </w:r>
                            <w:r w:rsidRPr="006000F7">
                              <w:rPr>
                                <w:rFonts w:ascii="Arial" w:hAnsi="Arial" w:cs="Arial"/>
                                <w:b/>
                                <w:bCs/>
                                <w:color w:val="0070C0"/>
                                <w:sz w:val="26"/>
                                <w:szCs w:val="26"/>
                              </w:rPr>
                              <w:t>BENEFITS NEWS</w:t>
                            </w:r>
                            <w:r>
                              <w:rPr>
                                <w:rFonts w:ascii="Arial" w:hAnsi="Arial" w:cs="Arial"/>
                                <w:b/>
                                <w:bCs/>
                                <w:color w:val="0070C0"/>
                                <w:sz w:val="26"/>
                                <w:szCs w:val="26"/>
                              </w:rPr>
                              <w:t xml:space="preserve"> </w:t>
                            </w:r>
                            <w:r w:rsidRPr="006000F7">
                              <w:rPr>
                                <w:rFonts w:ascii="Arial" w:hAnsi="Arial" w:cs="Arial"/>
                                <w:b/>
                                <w:bCs/>
                                <w:color w:val="0070C0"/>
                                <w:sz w:val="26"/>
                                <w:szCs w:val="26"/>
                              </w:rPr>
                              <w:t>HIGHLIGHTS</w:t>
                            </w:r>
                            <w:r>
                              <w:rPr>
                                <w:rFonts w:ascii="Arial" w:hAnsi="Arial" w:cs="Arial"/>
                                <w:b/>
                                <w:bCs/>
                                <w:color w:val="0070C0"/>
                                <w:sz w:val="26"/>
                                <w:szCs w:val="26"/>
                              </w:rPr>
                              <w:br/>
                            </w:r>
                          </w:p>
                          <w:p w14:paraId="0F06FCCA" w14:textId="0BF23710" w:rsidR="004D4130" w:rsidRDefault="004D4130" w:rsidP="004D4130">
                            <w:pPr>
                              <w:pStyle w:val="ListParagraph"/>
                              <w:numPr>
                                <w:ilvl w:val="0"/>
                                <w:numId w:val="33"/>
                              </w:numPr>
                              <w:rPr>
                                <w:rFonts w:ascii="Arial" w:eastAsia="Times New Roman" w:hAnsi="Arial" w:cs="Arial"/>
                                <w:color w:val="000000" w:themeColor="text1"/>
                                <w:sz w:val="18"/>
                                <w:szCs w:val="18"/>
                                <w:lang w:eastAsia="en-US"/>
                              </w:rPr>
                            </w:pPr>
                            <w:r w:rsidRPr="004D4130">
                              <w:rPr>
                                <w:rFonts w:ascii="Arial" w:eastAsia="Times New Roman" w:hAnsi="Arial" w:cs="Arial"/>
                                <w:color w:val="000000" w:themeColor="text1"/>
                                <w:sz w:val="18"/>
                                <w:szCs w:val="18"/>
                                <w:lang w:eastAsia="en-US"/>
                              </w:rPr>
                              <w:t xml:space="preserve">On July 8, the Internal Revenue Service (IRS) issued </w:t>
                            </w:r>
                            <w:hyperlink r:id="rId16" w:history="1">
                              <w:r w:rsidRPr="00EA3527">
                                <w:rPr>
                                  <w:rStyle w:val="Hyperlink"/>
                                  <w:rFonts w:ascii="Arial" w:eastAsia="Times New Roman" w:hAnsi="Arial" w:cs="Arial"/>
                                  <w:sz w:val="18"/>
                                  <w:szCs w:val="18"/>
                                  <w:lang w:eastAsia="en-US"/>
                                </w:rPr>
                                <w:t>Notice 2020-54</w:t>
                              </w:r>
                            </w:hyperlink>
                            <w:r w:rsidRPr="004D4130">
                              <w:rPr>
                                <w:rFonts w:ascii="Arial" w:eastAsia="Times New Roman" w:hAnsi="Arial" w:cs="Arial"/>
                                <w:color w:val="000000" w:themeColor="text1"/>
                                <w:sz w:val="18"/>
                                <w:szCs w:val="18"/>
                                <w:lang w:eastAsia="en-US"/>
                              </w:rPr>
                              <w:t>, requiring employers to report qualified sick leave and family leave wages paid to employees under the Families First Coronavirus Response Act (FFCRA) on 2020 W-2s in Box 14 or on a separate statement. The guidance also provides employees who are also self-employed with information necessary to claim qualified sick leave equivalent or qualified family leave equivalent credits under the FFCRA.</w:t>
                            </w:r>
                          </w:p>
                          <w:p w14:paraId="40DE77F4" w14:textId="77777777" w:rsidR="00897FDD" w:rsidRDefault="00897FDD" w:rsidP="00897FDD">
                            <w:pPr>
                              <w:pStyle w:val="ListParagraph"/>
                              <w:ind w:left="360"/>
                              <w:rPr>
                                <w:rFonts w:ascii="Arial" w:eastAsia="Times New Roman" w:hAnsi="Arial" w:cs="Arial"/>
                                <w:color w:val="000000" w:themeColor="text1"/>
                                <w:sz w:val="18"/>
                                <w:szCs w:val="18"/>
                                <w:lang w:eastAsia="en-US"/>
                              </w:rPr>
                            </w:pPr>
                          </w:p>
                          <w:p w14:paraId="465CDD41" w14:textId="4DE5B110" w:rsidR="00897FDD" w:rsidRPr="00897FDD" w:rsidRDefault="00897FDD" w:rsidP="00897FDD">
                            <w:pPr>
                              <w:pStyle w:val="ListParagraph"/>
                              <w:numPr>
                                <w:ilvl w:val="0"/>
                                <w:numId w:val="33"/>
                              </w:numPr>
                              <w:rPr>
                                <w:rFonts w:ascii="Arial" w:eastAsia="Times New Roman" w:hAnsi="Arial" w:cs="Arial"/>
                                <w:color w:val="000000" w:themeColor="text1"/>
                                <w:sz w:val="18"/>
                                <w:szCs w:val="18"/>
                                <w:lang w:eastAsia="en-US"/>
                              </w:rPr>
                            </w:pPr>
                            <w:r w:rsidRPr="00897FDD">
                              <w:rPr>
                                <w:rFonts w:ascii="Arial" w:eastAsia="Times New Roman" w:hAnsi="Arial" w:cs="Arial"/>
                                <w:color w:val="000000" w:themeColor="text1"/>
                                <w:sz w:val="18"/>
                                <w:szCs w:val="18"/>
                                <w:lang w:eastAsia="en-US"/>
                              </w:rPr>
                              <w:t xml:space="preserve">On July 13, the IRS released draft versions of the 2020 </w:t>
                            </w:r>
                            <w:hyperlink r:id="rId17" w:history="1">
                              <w:r w:rsidRPr="005D0F2E">
                                <w:rPr>
                                  <w:rStyle w:val="Hyperlink"/>
                                  <w:rFonts w:ascii="Arial" w:eastAsia="Times New Roman" w:hAnsi="Arial" w:cs="Arial"/>
                                  <w:sz w:val="18"/>
                                  <w:szCs w:val="18"/>
                                  <w:lang w:eastAsia="en-US"/>
                                </w:rPr>
                                <w:t>Forms 1094-C</w:t>
                              </w:r>
                            </w:hyperlink>
                            <w:r w:rsidRPr="00897FDD">
                              <w:rPr>
                                <w:rFonts w:ascii="Arial" w:eastAsia="Times New Roman" w:hAnsi="Arial" w:cs="Arial"/>
                                <w:color w:val="000000" w:themeColor="text1"/>
                                <w:sz w:val="18"/>
                                <w:szCs w:val="18"/>
                                <w:lang w:eastAsia="en-US"/>
                              </w:rPr>
                              <w:t xml:space="preserve"> and </w:t>
                            </w:r>
                            <w:hyperlink r:id="rId18" w:history="1">
                              <w:r w:rsidRPr="00AC5DBA">
                                <w:rPr>
                                  <w:rStyle w:val="Hyperlink"/>
                                  <w:rFonts w:ascii="Arial" w:eastAsia="Times New Roman" w:hAnsi="Arial" w:cs="Arial"/>
                                  <w:sz w:val="18"/>
                                  <w:szCs w:val="18"/>
                                  <w:lang w:eastAsia="en-US"/>
                                </w:rPr>
                                <w:t>1095-C</w:t>
                              </w:r>
                            </w:hyperlink>
                            <w:r w:rsidRPr="00897FDD">
                              <w:rPr>
                                <w:rFonts w:ascii="Arial" w:eastAsia="Times New Roman" w:hAnsi="Arial" w:cs="Arial"/>
                                <w:color w:val="000000" w:themeColor="text1"/>
                                <w:sz w:val="18"/>
                                <w:szCs w:val="18"/>
                                <w:lang w:eastAsia="en-US"/>
                              </w:rPr>
                              <w:t>. The 1095-C has been modified for 2020 to accommodate offers of coverage for an Individual Coverage Health Reimbursement Arrangement (ICHRA), including eight new Line 14 codes.</w:t>
                            </w:r>
                          </w:p>
                          <w:p w14:paraId="4473CDA8" w14:textId="77777777" w:rsidR="00EA3527" w:rsidRPr="00897FDD" w:rsidRDefault="00EA3527" w:rsidP="00897FDD">
                            <w:pPr>
                              <w:pStyle w:val="ListParagraph"/>
                              <w:ind w:left="360"/>
                              <w:rPr>
                                <w:rFonts w:ascii="Arial" w:eastAsia="Times New Roman" w:hAnsi="Arial" w:cs="Arial"/>
                                <w:color w:val="000000" w:themeColor="text1"/>
                                <w:sz w:val="18"/>
                                <w:szCs w:val="18"/>
                                <w:lang w:eastAsia="en-US"/>
                              </w:rPr>
                            </w:pPr>
                          </w:p>
                          <w:p w14:paraId="6542012A" w14:textId="3F34DFD2" w:rsidR="00D4084B" w:rsidRDefault="00BD3F02" w:rsidP="00D4084B">
                            <w:pPr>
                              <w:pStyle w:val="ListParagraph"/>
                              <w:numPr>
                                <w:ilvl w:val="0"/>
                                <w:numId w:val="33"/>
                              </w:numPr>
                              <w:rPr>
                                <w:rFonts w:ascii="Arial" w:eastAsia="Times New Roman" w:hAnsi="Arial" w:cs="Arial"/>
                                <w:color w:val="000000" w:themeColor="text1"/>
                                <w:sz w:val="18"/>
                                <w:szCs w:val="18"/>
                                <w:lang w:eastAsia="en-US"/>
                              </w:rPr>
                            </w:pPr>
                            <w:r w:rsidRPr="00BD3F02">
                              <w:rPr>
                                <w:rFonts w:ascii="Arial" w:eastAsia="Times New Roman" w:hAnsi="Arial" w:cs="Arial"/>
                                <w:color w:val="000000" w:themeColor="text1"/>
                                <w:sz w:val="18"/>
                                <w:szCs w:val="18"/>
                                <w:lang w:eastAsia="en-US"/>
                              </w:rPr>
                              <w:t xml:space="preserve">On July 15, the IRS and Employee Benefits Security Administration (EBSA) and the Department of Health and Human Services (HHS) issued </w:t>
                            </w:r>
                            <w:hyperlink r:id="rId19" w:history="1">
                              <w:r w:rsidRPr="00F37F4B">
                                <w:rPr>
                                  <w:rStyle w:val="Hyperlink"/>
                                  <w:rFonts w:ascii="Arial" w:eastAsia="Times New Roman" w:hAnsi="Arial" w:cs="Arial"/>
                                  <w:sz w:val="18"/>
                                  <w:szCs w:val="18"/>
                                  <w:lang w:eastAsia="en-US"/>
                                </w:rPr>
                                <w:t>a proposed rule</w:t>
                              </w:r>
                            </w:hyperlink>
                            <w:r w:rsidRPr="00BD3F02">
                              <w:rPr>
                                <w:rFonts w:ascii="Arial" w:eastAsia="Times New Roman" w:hAnsi="Arial" w:cs="Arial"/>
                                <w:color w:val="000000" w:themeColor="text1"/>
                                <w:sz w:val="18"/>
                                <w:szCs w:val="18"/>
                                <w:lang w:eastAsia="en-US"/>
                              </w:rPr>
                              <w:t xml:space="preserve"> that would amend the 2015 final grandfathering regulations to provide greater flexibility for making changes to fixed-amount cost-sharing requirements without jeopardizing grandfathered status if those changes are necessary to satisfy IRS requirements for high deductible health plans (HDHPs). The Departments concurrently issued a set of </w:t>
                            </w:r>
                            <w:hyperlink r:id="rId20" w:history="1">
                              <w:r w:rsidRPr="002F33C8">
                                <w:rPr>
                                  <w:rStyle w:val="Hyperlink"/>
                                  <w:rFonts w:ascii="Arial" w:eastAsia="Times New Roman" w:hAnsi="Arial" w:cs="Arial"/>
                                  <w:sz w:val="18"/>
                                  <w:szCs w:val="18"/>
                                  <w:lang w:eastAsia="en-US"/>
                                </w:rPr>
                                <w:t>Frequently Asked Questions (FAQs)</w:t>
                              </w:r>
                            </w:hyperlink>
                            <w:r w:rsidRPr="00BD3F02">
                              <w:rPr>
                                <w:rFonts w:ascii="Arial" w:eastAsia="Times New Roman" w:hAnsi="Arial" w:cs="Arial"/>
                                <w:color w:val="000000" w:themeColor="text1"/>
                                <w:sz w:val="18"/>
                                <w:szCs w:val="18"/>
                                <w:lang w:eastAsia="en-US"/>
                              </w:rPr>
                              <w:t xml:space="preserve"> regarding the proposed rule.</w:t>
                            </w:r>
                          </w:p>
                          <w:p w14:paraId="17ABCE1B" w14:textId="77777777" w:rsidR="00BB0219" w:rsidRPr="00BB0219" w:rsidRDefault="00BB0219" w:rsidP="00BB0219">
                            <w:pPr>
                              <w:pStyle w:val="ListParagraph"/>
                              <w:rPr>
                                <w:rFonts w:ascii="Arial" w:eastAsia="Times New Roman" w:hAnsi="Arial" w:cs="Arial"/>
                                <w:color w:val="000000" w:themeColor="text1"/>
                                <w:sz w:val="18"/>
                                <w:szCs w:val="18"/>
                                <w:lang w:eastAsia="en-US"/>
                              </w:rPr>
                            </w:pPr>
                          </w:p>
                          <w:p w14:paraId="3DC7D87C" w14:textId="77777777" w:rsidR="009D47D0" w:rsidRDefault="00BB0219" w:rsidP="00BB0219">
                            <w:pPr>
                              <w:pStyle w:val="ListParagraph"/>
                              <w:numPr>
                                <w:ilvl w:val="0"/>
                                <w:numId w:val="33"/>
                              </w:numPr>
                              <w:spacing w:line="276" w:lineRule="auto"/>
                              <w:rPr>
                                <w:rFonts w:ascii="Arial" w:eastAsia="Times New Roman" w:hAnsi="Arial" w:cs="Arial"/>
                                <w:color w:val="000000" w:themeColor="text1"/>
                                <w:sz w:val="18"/>
                                <w:szCs w:val="18"/>
                                <w:lang w:eastAsia="en-US"/>
                              </w:rPr>
                            </w:pPr>
                            <w:r w:rsidRPr="00EB6F83">
                              <w:rPr>
                                <w:rFonts w:ascii="Arial" w:eastAsia="Times New Roman" w:hAnsi="Arial" w:cs="Arial"/>
                                <w:color w:val="000000" w:themeColor="text1"/>
                                <w:sz w:val="18"/>
                                <w:szCs w:val="18"/>
                                <w:lang w:eastAsia="en-US"/>
                              </w:rPr>
                              <w:t xml:space="preserve">On July 16, the DOL </w:t>
                            </w:r>
                            <w:hyperlink r:id="rId21" w:history="1">
                              <w:r w:rsidRPr="00A83224">
                                <w:rPr>
                                  <w:rStyle w:val="Hyperlink"/>
                                  <w:rFonts w:ascii="Arial" w:eastAsia="Times New Roman" w:hAnsi="Arial" w:cs="Arial"/>
                                  <w:sz w:val="18"/>
                                  <w:szCs w:val="18"/>
                                  <w:lang w:eastAsia="en-US"/>
                                </w:rPr>
                                <w:t>announced</w:t>
                              </w:r>
                            </w:hyperlink>
                            <w:r w:rsidRPr="00EB6F83">
                              <w:rPr>
                                <w:rFonts w:ascii="Arial" w:eastAsia="Times New Roman" w:hAnsi="Arial" w:cs="Arial"/>
                                <w:color w:val="000000" w:themeColor="text1"/>
                                <w:sz w:val="18"/>
                                <w:szCs w:val="18"/>
                                <w:lang w:eastAsia="en-US"/>
                              </w:rPr>
                              <w:t xml:space="preserve"> that its Wage and Hour Division (WHD) made revisions to its optional-use FMLA forms that simplify and streamline the completion process. Changes included revisions to the Combined Eligibility Notice/Notice of Rights and Responsibilities; the Designation Notice; the Certification of Health Care Provider form; and Certification of Military Family Leave form. The updated forms can be found </w:t>
                            </w:r>
                            <w:hyperlink r:id="rId22" w:history="1">
                              <w:r w:rsidRPr="00A83224">
                                <w:rPr>
                                  <w:rStyle w:val="Hyperlink"/>
                                  <w:rFonts w:ascii="Arial" w:eastAsia="Times New Roman" w:hAnsi="Arial" w:cs="Arial"/>
                                  <w:sz w:val="18"/>
                                  <w:szCs w:val="18"/>
                                  <w:lang w:eastAsia="en-US"/>
                                </w:rPr>
                                <w:t>here</w:t>
                              </w:r>
                            </w:hyperlink>
                            <w:r w:rsidRPr="00EB6F83">
                              <w:rPr>
                                <w:rFonts w:ascii="Arial" w:eastAsia="Times New Roman" w:hAnsi="Arial" w:cs="Arial"/>
                                <w:color w:val="000000" w:themeColor="text1"/>
                                <w:sz w:val="18"/>
                                <w:szCs w:val="18"/>
                                <w:lang w:eastAsia="en-US"/>
                              </w:rPr>
                              <w:t>.</w:t>
                            </w:r>
                          </w:p>
                          <w:p w14:paraId="6A7B4FA8" w14:textId="77777777" w:rsidR="00BB0219" w:rsidRDefault="00BB0219" w:rsidP="00BB0219">
                            <w:pPr>
                              <w:pStyle w:val="ListParagraph"/>
                              <w:ind w:left="360"/>
                              <w:rPr>
                                <w:rFonts w:ascii="Arial" w:eastAsia="Times New Roman" w:hAnsi="Arial" w:cs="Arial"/>
                                <w:color w:val="000000" w:themeColor="text1"/>
                                <w:sz w:val="18"/>
                                <w:szCs w:val="18"/>
                                <w:lang w:eastAsia="en-US"/>
                              </w:rPr>
                            </w:pPr>
                          </w:p>
                          <w:p w14:paraId="2EFBA5CD" w14:textId="77777777" w:rsidR="00D4084B" w:rsidRPr="00D4084B" w:rsidRDefault="00D4084B" w:rsidP="00D4084B">
                            <w:pPr>
                              <w:rPr>
                                <w:rFonts w:ascii="Arial" w:eastAsia="Times New Roman" w:hAnsi="Arial" w:cs="Arial"/>
                                <w:color w:val="000000" w:themeColor="text1"/>
                                <w:sz w:val="18"/>
                                <w:szCs w:val="18"/>
                                <w:lang w:eastAsia="en-US"/>
                              </w:rPr>
                            </w:pPr>
                          </w:p>
                          <w:p w14:paraId="7EE0E43B" w14:textId="77777777" w:rsidR="00CF3B31" w:rsidRPr="007B59C6" w:rsidRDefault="00CF3B31" w:rsidP="00CF3B31">
                            <w:pPr>
                              <w:pStyle w:val="ListParagraph"/>
                              <w:rPr>
                                <w:rFonts w:ascii="Arial" w:eastAsia="Times New Roman" w:hAnsi="Arial" w:cs="Arial"/>
                                <w:color w:val="000000" w:themeColor="text1"/>
                                <w:sz w:val="18"/>
                                <w:szCs w:val="18"/>
                                <w:lang w:eastAsia="en-US"/>
                              </w:rPr>
                            </w:pPr>
                          </w:p>
                          <w:p w14:paraId="04289455" w14:textId="77777777" w:rsidR="00CF3B31" w:rsidRPr="007B0C57" w:rsidRDefault="00CF3B31" w:rsidP="00CF3B31">
                            <w:pPr>
                              <w:rPr>
                                <w:rFonts w:ascii="Arial" w:eastAsia="Times New Roman" w:hAnsi="Arial" w:cs="Arial"/>
                                <w:color w:val="000000" w:themeColor="text1"/>
                                <w:sz w:val="18"/>
                                <w:szCs w:val="18"/>
                                <w:lang w:eastAsia="en-US"/>
                              </w:rPr>
                            </w:pPr>
                          </w:p>
                          <w:p w14:paraId="5EED3AAB" w14:textId="77777777" w:rsidR="00CF3B31" w:rsidRPr="005C7A6D" w:rsidRDefault="00CF3B31" w:rsidP="00CF3B31">
                            <w:pPr>
                              <w:pStyle w:val="ListParagraph"/>
                              <w:spacing w:line="360" w:lineRule="auto"/>
                              <w:ind w:left="360"/>
                              <w:rPr>
                                <w:rFonts w:ascii="Arial" w:eastAsia="Times New Roman" w:hAnsi="Arial" w:cs="Arial"/>
                                <w:color w:val="000000" w:themeColor="text1"/>
                                <w:sz w:val="18"/>
                                <w:szCs w:val="18"/>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8A657" id="Text Box 1" o:spid="_x0000_s1028" type="#_x0000_t202" style="position:absolute;margin-left:275.25pt;margin-top:.25pt;width:236.9pt;height:66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" fillcolor="#dfeff2" stroked="f" strokeweight=".5pt">
                <v:textbox>
                  <w:txbxContent>
                    <w:p w14:paraId="5D47EBDF" w14:textId="492DDDD9" w:rsidR="004D4130" w:rsidRPr="003005AF" w:rsidRDefault="00CF3B31" w:rsidP="003005AF">
                      <w:pPr>
                        <w:spacing w:line="276" w:lineRule="auto"/>
                        <w:ind w:left="360"/>
                        <w:rPr>
                          <w:rFonts w:ascii="Arial" w:hAnsi="Arial" w:cs="Arial"/>
                          <w:b/>
                          <w:bCs/>
                          <w:color w:val="0070C0"/>
                          <w:sz w:val="26"/>
                          <w:szCs w:val="26"/>
                        </w:rPr>
                      </w:pPr>
                      <w:r>
                        <w:rPr>
                          <w:rFonts w:ascii="Arial" w:hAnsi="Arial" w:cs="Arial"/>
                          <w:b/>
                          <w:bCs/>
                          <w:color w:val="0070C0"/>
                          <w:sz w:val="26"/>
                          <w:szCs w:val="26"/>
                        </w:rPr>
                        <w:br/>
                      </w:r>
                      <w:r w:rsidRPr="006000F7">
                        <w:rPr>
                          <w:rFonts w:ascii="Arial" w:hAnsi="Arial" w:cs="Arial"/>
                          <w:b/>
                          <w:bCs/>
                          <w:color w:val="0070C0"/>
                          <w:sz w:val="26"/>
                          <w:szCs w:val="26"/>
                        </w:rPr>
                        <w:t>BENEFITS NEWS</w:t>
                      </w:r>
                      <w:r>
                        <w:rPr>
                          <w:rFonts w:ascii="Arial" w:hAnsi="Arial" w:cs="Arial"/>
                          <w:b/>
                          <w:bCs/>
                          <w:color w:val="0070C0"/>
                          <w:sz w:val="26"/>
                          <w:szCs w:val="26"/>
                        </w:rPr>
                        <w:t xml:space="preserve"> </w:t>
                      </w:r>
                      <w:r w:rsidRPr="006000F7">
                        <w:rPr>
                          <w:rFonts w:ascii="Arial" w:hAnsi="Arial" w:cs="Arial"/>
                          <w:b/>
                          <w:bCs/>
                          <w:color w:val="0070C0"/>
                          <w:sz w:val="26"/>
                          <w:szCs w:val="26"/>
                        </w:rPr>
                        <w:t>HIGHLIGHTS</w:t>
                      </w:r>
                      <w:r>
                        <w:rPr>
                          <w:rFonts w:ascii="Arial" w:hAnsi="Arial" w:cs="Arial"/>
                          <w:b/>
                          <w:bCs/>
                          <w:color w:val="0070C0"/>
                          <w:sz w:val="26"/>
                          <w:szCs w:val="26"/>
                        </w:rPr>
                        <w:br/>
                      </w:r>
                    </w:p>
                    <w:p w14:paraId="0F06FCCA" w14:textId="0BF23710" w:rsidR="004D4130" w:rsidRDefault="004D4130" w:rsidP="004D4130">
                      <w:pPr>
                        <w:pStyle w:val="ListParagraph"/>
                        <w:numPr>
                          <w:ilvl w:val="0"/>
                          <w:numId w:val="33"/>
                        </w:numPr>
                        <w:rPr>
                          <w:rFonts w:ascii="Arial" w:eastAsia="Times New Roman" w:hAnsi="Arial" w:cs="Arial"/>
                          <w:color w:val="000000" w:themeColor="text1"/>
                          <w:sz w:val="18"/>
                          <w:szCs w:val="18"/>
                          <w:lang w:eastAsia="en-US"/>
                        </w:rPr>
                      </w:pPr>
                      <w:r w:rsidRPr="004D4130">
                        <w:rPr>
                          <w:rFonts w:ascii="Arial" w:eastAsia="Times New Roman" w:hAnsi="Arial" w:cs="Arial"/>
                          <w:color w:val="000000" w:themeColor="text1"/>
                          <w:sz w:val="18"/>
                          <w:szCs w:val="18"/>
                          <w:lang w:eastAsia="en-US"/>
                        </w:rPr>
                        <w:t xml:space="preserve">On July 8, the Internal Revenue Service (IRS) issued </w:t>
                      </w:r>
                      <w:hyperlink r:id="rId23" w:history="1">
                        <w:r w:rsidRPr="00EA3527">
                          <w:rPr>
                            <w:rStyle w:val="Hyperlink"/>
                            <w:rFonts w:ascii="Arial" w:eastAsia="Times New Roman" w:hAnsi="Arial" w:cs="Arial"/>
                            <w:sz w:val="18"/>
                            <w:szCs w:val="18"/>
                            <w:lang w:eastAsia="en-US"/>
                          </w:rPr>
                          <w:t>Notice 2020-54</w:t>
                        </w:r>
                      </w:hyperlink>
                      <w:r w:rsidRPr="004D4130">
                        <w:rPr>
                          <w:rFonts w:ascii="Arial" w:eastAsia="Times New Roman" w:hAnsi="Arial" w:cs="Arial"/>
                          <w:color w:val="000000" w:themeColor="text1"/>
                          <w:sz w:val="18"/>
                          <w:szCs w:val="18"/>
                          <w:lang w:eastAsia="en-US"/>
                        </w:rPr>
                        <w:t>, requiring employers to report qualified sick leave and family leave wages paid to employees under the Families First Coronavirus Response Act (FFCRA) on 2020 W-2s in Box 14 or on a separate statement. The guidance also provides employees who are also self-employed with information necessary to claim qualified sick leave equivalent or qualified family leave equivalent credits under the FFCRA.</w:t>
                      </w:r>
                    </w:p>
                    <w:p w14:paraId="40DE77F4" w14:textId="77777777" w:rsidR="00897FDD" w:rsidRDefault="00897FDD" w:rsidP="00897FDD">
                      <w:pPr>
                        <w:pStyle w:val="ListParagraph"/>
                        <w:ind w:left="360"/>
                        <w:rPr>
                          <w:rFonts w:ascii="Arial" w:eastAsia="Times New Roman" w:hAnsi="Arial" w:cs="Arial"/>
                          <w:color w:val="000000" w:themeColor="text1"/>
                          <w:sz w:val="18"/>
                          <w:szCs w:val="18"/>
                          <w:lang w:eastAsia="en-US"/>
                        </w:rPr>
                      </w:pPr>
                    </w:p>
                    <w:p w14:paraId="465CDD41" w14:textId="4DE5B110" w:rsidR="00897FDD" w:rsidRPr="00897FDD" w:rsidRDefault="00897FDD" w:rsidP="00897FDD">
                      <w:pPr>
                        <w:pStyle w:val="ListParagraph"/>
                        <w:numPr>
                          <w:ilvl w:val="0"/>
                          <w:numId w:val="33"/>
                        </w:numPr>
                        <w:rPr>
                          <w:rFonts w:ascii="Arial" w:eastAsia="Times New Roman" w:hAnsi="Arial" w:cs="Arial"/>
                          <w:color w:val="000000" w:themeColor="text1"/>
                          <w:sz w:val="18"/>
                          <w:szCs w:val="18"/>
                          <w:lang w:eastAsia="en-US"/>
                        </w:rPr>
                      </w:pPr>
                      <w:r w:rsidRPr="00897FDD">
                        <w:rPr>
                          <w:rFonts w:ascii="Arial" w:eastAsia="Times New Roman" w:hAnsi="Arial" w:cs="Arial"/>
                          <w:color w:val="000000" w:themeColor="text1"/>
                          <w:sz w:val="18"/>
                          <w:szCs w:val="18"/>
                          <w:lang w:eastAsia="en-US"/>
                        </w:rPr>
                        <w:t xml:space="preserve">On July 13, the IRS released draft versions of the 2020 </w:t>
                      </w:r>
                      <w:hyperlink r:id="rId24" w:history="1">
                        <w:r w:rsidRPr="005D0F2E">
                          <w:rPr>
                            <w:rStyle w:val="Hyperlink"/>
                            <w:rFonts w:ascii="Arial" w:eastAsia="Times New Roman" w:hAnsi="Arial" w:cs="Arial"/>
                            <w:sz w:val="18"/>
                            <w:szCs w:val="18"/>
                            <w:lang w:eastAsia="en-US"/>
                          </w:rPr>
                          <w:t>Forms 1094-C</w:t>
                        </w:r>
                      </w:hyperlink>
                      <w:r w:rsidRPr="00897FDD">
                        <w:rPr>
                          <w:rFonts w:ascii="Arial" w:eastAsia="Times New Roman" w:hAnsi="Arial" w:cs="Arial"/>
                          <w:color w:val="000000" w:themeColor="text1"/>
                          <w:sz w:val="18"/>
                          <w:szCs w:val="18"/>
                          <w:lang w:eastAsia="en-US"/>
                        </w:rPr>
                        <w:t xml:space="preserve"> and </w:t>
                      </w:r>
                      <w:hyperlink r:id="rId25" w:history="1">
                        <w:r w:rsidRPr="00AC5DBA">
                          <w:rPr>
                            <w:rStyle w:val="Hyperlink"/>
                            <w:rFonts w:ascii="Arial" w:eastAsia="Times New Roman" w:hAnsi="Arial" w:cs="Arial"/>
                            <w:sz w:val="18"/>
                            <w:szCs w:val="18"/>
                            <w:lang w:eastAsia="en-US"/>
                          </w:rPr>
                          <w:t>1095-C</w:t>
                        </w:r>
                      </w:hyperlink>
                      <w:r w:rsidRPr="00897FDD">
                        <w:rPr>
                          <w:rFonts w:ascii="Arial" w:eastAsia="Times New Roman" w:hAnsi="Arial" w:cs="Arial"/>
                          <w:color w:val="000000" w:themeColor="text1"/>
                          <w:sz w:val="18"/>
                          <w:szCs w:val="18"/>
                          <w:lang w:eastAsia="en-US"/>
                        </w:rPr>
                        <w:t>. The 1095-C has been modified for 2020 to accommodate offers of coverage for an Individual Coverage Health Reimbursement Arrangement (ICHRA), including eight new Line 14 codes.</w:t>
                      </w:r>
                    </w:p>
                    <w:p w14:paraId="4473CDA8" w14:textId="77777777" w:rsidR="00EA3527" w:rsidRPr="00897FDD" w:rsidRDefault="00EA3527" w:rsidP="00897FDD">
                      <w:pPr>
                        <w:pStyle w:val="ListParagraph"/>
                        <w:ind w:left="360"/>
                        <w:rPr>
                          <w:rFonts w:ascii="Arial" w:eastAsia="Times New Roman" w:hAnsi="Arial" w:cs="Arial"/>
                          <w:color w:val="000000" w:themeColor="text1"/>
                          <w:sz w:val="18"/>
                          <w:szCs w:val="18"/>
                          <w:lang w:eastAsia="en-US"/>
                        </w:rPr>
                      </w:pPr>
                    </w:p>
                    <w:p w14:paraId="6542012A" w14:textId="3F34DFD2" w:rsidR="00D4084B" w:rsidRDefault="00BD3F02" w:rsidP="00D4084B">
                      <w:pPr>
                        <w:pStyle w:val="ListParagraph"/>
                        <w:numPr>
                          <w:ilvl w:val="0"/>
                          <w:numId w:val="33"/>
                        </w:numPr>
                        <w:rPr>
                          <w:rFonts w:ascii="Arial" w:eastAsia="Times New Roman" w:hAnsi="Arial" w:cs="Arial"/>
                          <w:color w:val="000000" w:themeColor="text1"/>
                          <w:sz w:val="18"/>
                          <w:szCs w:val="18"/>
                          <w:lang w:eastAsia="en-US"/>
                        </w:rPr>
                      </w:pPr>
                      <w:r w:rsidRPr="00BD3F02">
                        <w:rPr>
                          <w:rFonts w:ascii="Arial" w:eastAsia="Times New Roman" w:hAnsi="Arial" w:cs="Arial"/>
                          <w:color w:val="000000" w:themeColor="text1"/>
                          <w:sz w:val="18"/>
                          <w:szCs w:val="18"/>
                          <w:lang w:eastAsia="en-US"/>
                        </w:rPr>
                        <w:t xml:space="preserve">On July 15, the IRS and Employee Benefits Security Administration (EBSA) and the Department of Health and Human Services (HHS) issued </w:t>
                      </w:r>
                      <w:hyperlink r:id="rId26" w:history="1">
                        <w:r w:rsidRPr="00F37F4B">
                          <w:rPr>
                            <w:rStyle w:val="Hyperlink"/>
                            <w:rFonts w:ascii="Arial" w:eastAsia="Times New Roman" w:hAnsi="Arial" w:cs="Arial"/>
                            <w:sz w:val="18"/>
                            <w:szCs w:val="18"/>
                            <w:lang w:eastAsia="en-US"/>
                          </w:rPr>
                          <w:t>a proposed rule</w:t>
                        </w:r>
                      </w:hyperlink>
                      <w:r w:rsidRPr="00BD3F02">
                        <w:rPr>
                          <w:rFonts w:ascii="Arial" w:eastAsia="Times New Roman" w:hAnsi="Arial" w:cs="Arial"/>
                          <w:color w:val="000000" w:themeColor="text1"/>
                          <w:sz w:val="18"/>
                          <w:szCs w:val="18"/>
                          <w:lang w:eastAsia="en-US"/>
                        </w:rPr>
                        <w:t xml:space="preserve"> that would amend the 2015 final grandfathering regulations to provide greater flexibility for making changes to fixed-amount cost-sharing requirements without jeopardizing grandfathered status if those changes are necessary to satisfy IRS requirements for high deductible health plans (HDHPs). The Departments concurrently issued a set of </w:t>
                      </w:r>
                      <w:hyperlink r:id="rId27" w:history="1">
                        <w:r w:rsidRPr="002F33C8">
                          <w:rPr>
                            <w:rStyle w:val="Hyperlink"/>
                            <w:rFonts w:ascii="Arial" w:eastAsia="Times New Roman" w:hAnsi="Arial" w:cs="Arial"/>
                            <w:sz w:val="18"/>
                            <w:szCs w:val="18"/>
                            <w:lang w:eastAsia="en-US"/>
                          </w:rPr>
                          <w:t>Frequently Asked Questions (FAQs)</w:t>
                        </w:r>
                      </w:hyperlink>
                      <w:r w:rsidRPr="00BD3F02">
                        <w:rPr>
                          <w:rFonts w:ascii="Arial" w:eastAsia="Times New Roman" w:hAnsi="Arial" w:cs="Arial"/>
                          <w:color w:val="000000" w:themeColor="text1"/>
                          <w:sz w:val="18"/>
                          <w:szCs w:val="18"/>
                          <w:lang w:eastAsia="en-US"/>
                        </w:rPr>
                        <w:t xml:space="preserve"> regarding the proposed rule.</w:t>
                      </w:r>
                    </w:p>
                    <w:p w14:paraId="17ABCE1B" w14:textId="77777777" w:rsidR="00BB0219" w:rsidRPr="00BB0219" w:rsidRDefault="00BB0219" w:rsidP="00BB0219">
                      <w:pPr>
                        <w:pStyle w:val="ListParagraph"/>
                        <w:rPr>
                          <w:rFonts w:ascii="Arial" w:eastAsia="Times New Roman" w:hAnsi="Arial" w:cs="Arial"/>
                          <w:color w:val="000000" w:themeColor="text1"/>
                          <w:sz w:val="18"/>
                          <w:szCs w:val="18"/>
                          <w:lang w:eastAsia="en-US"/>
                        </w:rPr>
                      </w:pPr>
                    </w:p>
                    <w:p w14:paraId="3DC7D87C" w14:textId="77777777" w:rsidR="009D47D0" w:rsidRDefault="00BB0219" w:rsidP="00BB0219">
                      <w:pPr>
                        <w:pStyle w:val="ListParagraph"/>
                        <w:numPr>
                          <w:ilvl w:val="0"/>
                          <w:numId w:val="33"/>
                        </w:numPr>
                        <w:spacing w:line="276" w:lineRule="auto"/>
                        <w:rPr>
                          <w:rFonts w:ascii="Arial" w:eastAsia="Times New Roman" w:hAnsi="Arial" w:cs="Arial"/>
                          <w:color w:val="000000" w:themeColor="text1"/>
                          <w:sz w:val="18"/>
                          <w:szCs w:val="18"/>
                          <w:lang w:eastAsia="en-US"/>
                        </w:rPr>
                      </w:pPr>
                      <w:r w:rsidRPr="00EB6F83">
                        <w:rPr>
                          <w:rFonts w:ascii="Arial" w:eastAsia="Times New Roman" w:hAnsi="Arial" w:cs="Arial"/>
                          <w:color w:val="000000" w:themeColor="text1"/>
                          <w:sz w:val="18"/>
                          <w:szCs w:val="18"/>
                          <w:lang w:eastAsia="en-US"/>
                        </w:rPr>
                        <w:t xml:space="preserve">On July 16, the DOL </w:t>
                      </w:r>
                      <w:hyperlink r:id="rId28" w:history="1">
                        <w:r w:rsidRPr="00A83224">
                          <w:rPr>
                            <w:rStyle w:val="Hyperlink"/>
                            <w:rFonts w:ascii="Arial" w:eastAsia="Times New Roman" w:hAnsi="Arial" w:cs="Arial"/>
                            <w:sz w:val="18"/>
                            <w:szCs w:val="18"/>
                            <w:lang w:eastAsia="en-US"/>
                          </w:rPr>
                          <w:t>announced</w:t>
                        </w:r>
                      </w:hyperlink>
                      <w:r w:rsidRPr="00EB6F83">
                        <w:rPr>
                          <w:rFonts w:ascii="Arial" w:eastAsia="Times New Roman" w:hAnsi="Arial" w:cs="Arial"/>
                          <w:color w:val="000000" w:themeColor="text1"/>
                          <w:sz w:val="18"/>
                          <w:szCs w:val="18"/>
                          <w:lang w:eastAsia="en-US"/>
                        </w:rPr>
                        <w:t xml:space="preserve"> that its Wage and Hour Division (WHD) made revisions to its optional-use FMLA forms that simplify and streamline the completion process. Changes included revisions to the Combined Eligibility Notice/Notice of Rights and Responsibilities; the Designation Notice; the Certification of Health Care Provider form; and Certification of Military Family Leave form. The updated forms can be found </w:t>
                      </w:r>
                      <w:hyperlink r:id="rId29" w:history="1">
                        <w:r w:rsidRPr="00A83224">
                          <w:rPr>
                            <w:rStyle w:val="Hyperlink"/>
                            <w:rFonts w:ascii="Arial" w:eastAsia="Times New Roman" w:hAnsi="Arial" w:cs="Arial"/>
                            <w:sz w:val="18"/>
                            <w:szCs w:val="18"/>
                            <w:lang w:eastAsia="en-US"/>
                          </w:rPr>
                          <w:t>here</w:t>
                        </w:r>
                      </w:hyperlink>
                      <w:r w:rsidRPr="00EB6F83">
                        <w:rPr>
                          <w:rFonts w:ascii="Arial" w:eastAsia="Times New Roman" w:hAnsi="Arial" w:cs="Arial"/>
                          <w:color w:val="000000" w:themeColor="text1"/>
                          <w:sz w:val="18"/>
                          <w:szCs w:val="18"/>
                          <w:lang w:eastAsia="en-US"/>
                        </w:rPr>
                        <w:t>.</w:t>
                      </w:r>
                    </w:p>
                    <w:p w14:paraId="6A7B4FA8" w14:textId="77777777" w:rsidR="00BB0219" w:rsidRDefault="00BB0219" w:rsidP="00BB0219">
                      <w:pPr>
                        <w:pStyle w:val="ListParagraph"/>
                        <w:ind w:left="360"/>
                        <w:rPr>
                          <w:rFonts w:ascii="Arial" w:eastAsia="Times New Roman" w:hAnsi="Arial" w:cs="Arial"/>
                          <w:color w:val="000000" w:themeColor="text1"/>
                          <w:sz w:val="18"/>
                          <w:szCs w:val="18"/>
                          <w:lang w:eastAsia="en-US"/>
                        </w:rPr>
                      </w:pPr>
                    </w:p>
                    <w:p w14:paraId="2EFBA5CD" w14:textId="77777777" w:rsidR="00D4084B" w:rsidRPr="00D4084B" w:rsidRDefault="00D4084B" w:rsidP="00D4084B">
                      <w:pPr>
                        <w:rPr>
                          <w:rFonts w:ascii="Arial" w:eastAsia="Times New Roman" w:hAnsi="Arial" w:cs="Arial"/>
                          <w:color w:val="000000" w:themeColor="text1"/>
                          <w:sz w:val="18"/>
                          <w:szCs w:val="18"/>
                          <w:lang w:eastAsia="en-US"/>
                        </w:rPr>
                      </w:pPr>
                    </w:p>
                    <w:p w14:paraId="7EE0E43B" w14:textId="77777777" w:rsidR="00CF3B31" w:rsidRPr="007B59C6" w:rsidRDefault="00CF3B31" w:rsidP="00CF3B31">
                      <w:pPr>
                        <w:pStyle w:val="ListParagraph"/>
                        <w:rPr>
                          <w:rFonts w:ascii="Arial" w:eastAsia="Times New Roman" w:hAnsi="Arial" w:cs="Arial"/>
                          <w:color w:val="000000" w:themeColor="text1"/>
                          <w:sz w:val="18"/>
                          <w:szCs w:val="18"/>
                          <w:lang w:eastAsia="en-US"/>
                        </w:rPr>
                      </w:pPr>
                    </w:p>
                    <w:p w14:paraId="04289455" w14:textId="77777777" w:rsidR="00CF3B31" w:rsidRPr="007B0C57" w:rsidRDefault="00CF3B31" w:rsidP="00CF3B31">
                      <w:pPr>
                        <w:rPr>
                          <w:rFonts w:ascii="Arial" w:eastAsia="Times New Roman" w:hAnsi="Arial" w:cs="Arial"/>
                          <w:color w:val="000000" w:themeColor="text1"/>
                          <w:sz w:val="18"/>
                          <w:szCs w:val="18"/>
                          <w:lang w:eastAsia="en-US"/>
                        </w:rPr>
                      </w:pPr>
                    </w:p>
                    <w:p w14:paraId="5EED3AAB" w14:textId="77777777" w:rsidR="00CF3B31" w:rsidRPr="005C7A6D" w:rsidRDefault="00CF3B31" w:rsidP="00CF3B31">
                      <w:pPr>
                        <w:pStyle w:val="ListParagraph"/>
                        <w:spacing w:line="360" w:lineRule="auto"/>
                        <w:ind w:left="360"/>
                        <w:rPr>
                          <w:rFonts w:ascii="Arial" w:eastAsia="Times New Roman" w:hAnsi="Arial" w:cs="Arial"/>
                          <w:color w:val="000000" w:themeColor="text1"/>
                          <w:sz w:val="18"/>
                          <w:szCs w:val="18"/>
                          <w:lang w:eastAsia="en-US"/>
                        </w:rPr>
                      </w:pPr>
                    </w:p>
                  </w:txbxContent>
                </v:textbox>
                <w10:wrap type="square"/>
              </v:shape>
            </w:pict>
          </mc:Fallback>
        </mc:AlternateContent>
      </w:r>
      <w:r w:rsidR="00D65FCB" w:rsidRPr="009E5CED">
        <w:rPr>
          <w:color w:val="0070C0"/>
          <w:sz w:val="32"/>
          <w:szCs w:val="32"/>
        </w:rPr>
        <w:t>In Other News…</w:t>
      </w:r>
      <w:bookmarkEnd w:id="3"/>
    </w:p>
    <w:p w14:paraId="4DA94610" w14:textId="7CCEB83C" w:rsidR="009010CA" w:rsidRPr="009010CA" w:rsidRDefault="00C65FEF" w:rsidP="009010CA">
      <w:pPr>
        <w:pStyle w:val="Heading2"/>
        <w:numPr>
          <w:ilvl w:val="0"/>
          <w:numId w:val="0"/>
        </w:numPr>
        <w:spacing w:line="276" w:lineRule="auto"/>
        <w:rPr>
          <w:i/>
          <w:iCs/>
        </w:rPr>
      </w:pPr>
      <w:bookmarkStart w:id="4" w:name="_Toc27560137"/>
      <w:bookmarkStart w:id="5" w:name="_Toc44580996"/>
      <w:r w:rsidRPr="009E5CED">
        <w:rPr>
          <w:i/>
          <w:iCs/>
        </w:rPr>
        <w:br/>
      </w:r>
      <w:bookmarkStart w:id="6" w:name="_Toc52954060"/>
      <w:r w:rsidR="005C01C7" w:rsidRPr="009E5CED">
        <w:rPr>
          <w:i/>
          <w:iCs/>
        </w:rPr>
        <w:t>Recap of</w:t>
      </w:r>
      <w:r w:rsidR="00AE4C42" w:rsidRPr="009E5CED">
        <w:rPr>
          <w:i/>
          <w:iCs/>
        </w:rPr>
        <w:t xml:space="preserve"> </w:t>
      </w:r>
      <w:r w:rsidR="001D5400" w:rsidRPr="009E5CED">
        <w:rPr>
          <w:i/>
          <w:iCs/>
        </w:rPr>
        <w:t>3rd</w:t>
      </w:r>
      <w:r w:rsidR="005C01C7" w:rsidRPr="009E5CED">
        <w:rPr>
          <w:i/>
          <w:iCs/>
        </w:rPr>
        <w:t xml:space="preserve"> Quarter Issue Briefs and Alerts</w:t>
      </w:r>
      <w:bookmarkEnd w:id="4"/>
      <w:bookmarkEnd w:id="5"/>
      <w:bookmarkEnd w:id="6"/>
    </w:p>
    <w:p w14:paraId="118CB34C" w14:textId="36145894" w:rsidR="00B62E66" w:rsidRPr="009E5CED" w:rsidRDefault="00B62E66" w:rsidP="009E5CED">
      <w:pPr>
        <w:pStyle w:val="Heading2"/>
        <w:numPr>
          <w:ilvl w:val="0"/>
          <w:numId w:val="0"/>
        </w:numPr>
        <w:shd w:val="clear" w:color="auto" w:fill="FFFFFF"/>
        <w:spacing w:after="0" w:line="360" w:lineRule="atLeast"/>
        <w:ind w:left="360" w:hanging="360"/>
        <w:rPr>
          <w:color w:val="333333"/>
        </w:rPr>
      </w:pPr>
      <w:bookmarkStart w:id="7" w:name="_Toc52954061"/>
      <w:r w:rsidRPr="009E5CED">
        <w:rPr>
          <w:rStyle w:val="Strong"/>
          <w:b/>
          <w:bCs/>
          <w:color w:val="333333"/>
        </w:rPr>
        <w:t>Supreme Court Ruling – Contraceptive Exemption</w:t>
      </w:r>
      <w:bookmarkEnd w:id="7"/>
    </w:p>
    <w:p w14:paraId="4031CF44" w14:textId="77777777" w:rsidR="007252DA" w:rsidRPr="009E5CED" w:rsidRDefault="007252DA" w:rsidP="009E5CED">
      <w:pPr>
        <w:rPr>
          <w:rStyle w:val="Strong"/>
          <w:rFonts w:ascii="Arial" w:hAnsi="Arial" w:cs="Arial"/>
          <w:b/>
          <w:bCs/>
          <w:color w:val="333333"/>
          <w:sz w:val="20"/>
          <w:szCs w:val="20"/>
        </w:rPr>
      </w:pPr>
    </w:p>
    <w:p w14:paraId="4E546E30" w14:textId="70E0116B" w:rsidR="00CC6110" w:rsidRPr="009E5CED" w:rsidRDefault="00B62E66" w:rsidP="009E5CED">
      <w:pPr>
        <w:spacing w:line="276" w:lineRule="auto"/>
        <w:rPr>
          <w:rFonts w:ascii="Arial" w:hAnsi="Arial" w:cs="Arial"/>
          <w:color w:val="555555"/>
          <w:sz w:val="20"/>
          <w:szCs w:val="20"/>
          <w:shd w:val="clear" w:color="auto" w:fill="FFFFFF"/>
        </w:rPr>
      </w:pPr>
      <w:r w:rsidRPr="009E5CED">
        <w:rPr>
          <w:rFonts w:ascii="Arial" w:hAnsi="Arial" w:cs="Arial"/>
          <w:color w:val="555555"/>
          <w:sz w:val="20"/>
          <w:szCs w:val="20"/>
          <w:shd w:val="clear" w:color="auto" w:fill="FFFFFF"/>
        </w:rPr>
        <w:t>After several years of debate, the Supreme Court ruled in favor of the HHS final rules allowing for an exemption for employers with a religious or moral objection to providing coverage for contraceptive coverage. The exemption, at least for now, is available to most non-governmental organizations who would prefer not to provide group health plan coverage for contraceptives.</w:t>
      </w:r>
    </w:p>
    <w:p w14:paraId="5F09346C" w14:textId="77777777" w:rsidR="00B62E66" w:rsidRPr="009E5CED" w:rsidRDefault="00B62E66" w:rsidP="009E5CED">
      <w:pPr>
        <w:spacing w:line="276" w:lineRule="auto"/>
        <w:rPr>
          <w:rFonts w:ascii="Arial" w:hAnsi="Arial" w:cs="Arial"/>
          <w:color w:val="3D3D3D"/>
          <w:sz w:val="20"/>
          <w:szCs w:val="20"/>
          <w:shd w:val="clear" w:color="auto" w:fill="FFFFFF"/>
        </w:rPr>
      </w:pPr>
    </w:p>
    <w:p w14:paraId="26CA5FA8" w14:textId="044B770D" w:rsidR="00BC56BB" w:rsidRPr="009E5CED" w:rsidRDefault="00CC6110" w:rsidP="009E5CED">
      <w:pPr>
        <w:spacing w:line="276" w:lineRule="auto"/>
        <w:rPr>
          <w:rFonts w:ascii="Arial" w:hAnsi="Arial" w:cs="Arial"/>
          <w:sz w:val="20"/>
          <w:szCs w:val="20"/>
        </w:rPr>
      </w:pPr>
      <w:r w:rsidRPr="009E5CED">
        <w:rPr>
          <w:rFonts w:ascii="Arial" w:hAnsi="Arial" w:cs="Arial"/>
          <w:color w:val="3D3D3D"/>
          <w:sz w:val="20"/>
          <w:szCs w:val="20"/>
          <w:shd w:val="clear" w:color="auto" w:fill="FFFFFF"/>
        </w:rPr>
        <w:t xml:space="preserve">More here: </w:t>
      </w:r>
      <w:hyperlink r:id="rId30" w:history="1">
        <w:r w:rsidR="00BC56BB" w:rsidRPr="009E5CED">
          <w:rPr>
            <w:rStyle w:val="Hyperlink"/>
            <w:rFonts w:ascii="Arial" w:hAnsi="Arial" w:cs="Arial"/>
            <w:sz w:val="20"/>
            <w:szCs w:val="20"/>
          </w:rPr>
          <w:t>https://benefitcomply.com/supreme-court-ruling-contraceptive-exemption/</w:t>
        </w:r>
      </w:hyperlink>
    </w:p>
    <w:p w14:paraId="41DFAF38" w14:textId="5E22E0AC" w:rsidR="003F78DB" w:rsidRPr="009E5CED" w:rsidRDefault="003F78DB" w:rsidP="009E5CED">
      <w:pPr>
        <w:pStyle w:val="Heading3"/>
        <w:shd w:val="clear" w:color="auto" w:fill="FFFFFF"/>
        <w:spacing w:after="0" w:line="300" w:lineRule="atLeast"/>
        <w:rPr>
          <w:rFonts w:ascii="Arial" w:hAnsi="Arial" w:cs="Arial"/>
          <w:i w:val="0"/>
          <w:iCs w:val="0"/>
          <w:color w:val="333333"/>
          <w:sz w:val="20"/>
          <w:szCs w:val="20"/>
          <w:lang w:eastAsia="en-US"/>
        </w:rPr>
      </w:pPr>
      <w:r w:rsidRPr="009E5CED">
        <w:rPr>
          <w:rStyle w:val="Strong"/>
          <w:rFonts w:ascii="Arial" w:hAnsi="Arial" w:cs="Arial"/>
          <w:i w:val="0"/>
          <w:iCs w:val="0"/>
          <w:color w:val="333333"/>
          <w:sz w:val="20"/>
          <w:szCs w:val="20"/>
        </w:rPr>
        <w:t>Record Retention Requirements &amp; Considerations</w:t>
      </w:r>
    </w:p>
    <w:p w14:paraId="11DEA151" w14:textId="77777777" w:rsidR="001600D5" w:rsidRPr="001600D5" w:rsidRDefault="001600D5" w:rsidP="00917383">
      <w:pPr>
        <w:shd w:val="clear" w:color="auto" w:fill="FFFFFF"/>
        <w:spacing w:before="100" w:beforeAutospacing="1" w:line="276" w:lineRule="auto"/>
        <w:rPr>
          <w:rFonts w:ascii="Arial" w:eastAsia="Times New Roman" w:hAnsi="Arial" w:cs="Arial"/>
          <w:color w:val="555555"/>
          <w:sz w:val="20"/>
          <w:szCs w:val="20"/>
          <w:lang w:eastAsia="en-US"/>
        </w:rPr>
      </w:pPr>
      <w:r w:rsidRPr="001600D5">
        <w:rPr>
          <w:rFonts w:ascii="Arial" w:eastAsia="Times New Roman" w:hAnsi="Arial" w:cs="Arial"/>
          <w:color w:val="555555"/>
          <w:sz w:val="20"/>
          <w:szCs w:val="20"/>
          <w:lang w:eastAsia="en-US"/>
        </w:rPr>
        <w:t>Employers often ask, “How long should I retain my employee benefits–related records?” It comes as no surprise that there is not an easy answer to this question because of the applicability of different laws, regulations, and situations specific to a particular business. For example, depending on the type of records being retained, ERISA, the ACA, and the Internal Revenue Code all impose specified record retention requirements. In addition, states may also impose document retention standards. Finally, having records necessary to defend the employer in the event of a lawsuit must also be considered.</w:t>
      </w:r>
    </w:p>
    <w:p w14:paraId="24DF4FA2" w14:textId="77777777" w:rsidR="001600D5" w:rsidRPr="001600D5" w:rsidRDefault="001600D5" w:rsidP="00917383">
      <w:pPr>
        <w:shd w:val="clear" w:color="auto" w:fill="FFFFFF"/>
        <w:spacing w:before="100" w:beforeAutospacing="1" w:line="276" w:lineRule="auto"/>
        <w:rPr>
          <w:rFonts w:ascii="Arial" w:eastAsia="Times New Roman" w:hAnsi="Arial" w:cs="Arial"/>
          <w:color w:val="555555"/>
          <w:sz w:val="20"/>
          <w:szCs w:val="20"/>
          <w:lang w:eastAsia="en-US"/>
        </w:rPr>
      </w:pPr>
      <w:r w:rsidRPr="001600D5">
        <w:rPr>
          <w:rFonts w:ascii="Arial" w:eastAsia="Times New Roman" w:hAnsi="Arial" w:cs="Arial"/>
          <w:color w:val="555555"/>
          <w:sz w:val="20"/>
          <w:szCs w:val="20"/>
          <w:lang w:eastAsia="en-US"/>
        </w:rPr>
        <w:t>Very few employers are going to align record-keeping procedures specifically with each existing requirement. Rather, most will create an easier-to-administer approach that maintains most records for a minimum specified period. Understanding the details of certain requirements will help employers better design an approach that is manageable and that minimizes risk to the employer.</w:t>
      </w:r>
    </w:p>
    <w:p w14:paraId="342CF78F" w14:textId="67B12DF3" w:rsidR="007A6C33" w:rsidRPr="009E5CED" w:rsidRDefault="001600D5" w:rsidP="00917383">
      <w:pPr>
        <w:spacing w:line="276" w:lineRule="auto"/>
        <w:rPr>
          <w:rFonts w:ascii="Arial" w:hAnsi="Arial" w:cs="Arial"/>
          <w:sz w:val="20"/>
          <w:szCs w:val="20"/>
        </w:rPr>
      </w:pPr>
      <w:r w:rsidRPr="009E5CED">
        <w:rPr>
          <w:rFonts w:ascii="Arial" w:hAnsi="Arial" w:cs="Arial"/>
          <w:sz w:val="20"/>
          <w:szCs w:val="20"/>
        </w:rPr>
        <w:t xml:space="preserve">More here: </w:t>
      </w:r>
      <w:hyperlink r:id="rId31" w:history="1">
        <w:r w:rsidRPr="009E5CED">
          <w:rPr>
            <w:rStyle w:val="Hyperlink"/>
            <w:rFonts w:ascii="Arial" w:hAnsi="Arial" w:cs="Arial"/>
            <w:sz w:val="20"/>
            <w:szCs w:val="20"/>
          </w:rPr>
          <w:t>https://benefitcomply.com/record-retention-requirements-considerations/</w:t>
        </w:r>
      </w:hyperlink>
    </w:p>
    <w:p w14:paraId="0C7EEC10" w14:textId="19AD8FE0" w:rsidR="001600D5" w:rsidRPr="009E5CED" w:rsidRDefault="001600D5" w:rsidP="009E5CED">
      <w:pPr>
        <w:spacing w:line="276" w:lineRule="auto"/>
        <w:rPr>
          <w:rFonts w:ascii="Arial" w:hAnsi="Arial" w:cs="Arial"/>
          <w:sz w:val="20"/>
          <w:szCs w:val="20"/>
        </w:rPr>
      </w:pPr>
    </w:p>
    <w:p w14:paraId="400135BB" w14:textId="0358F811" w:rsidR="000345BB" w:rsidRDefault="000345BB" w:rsidP="009E5CED">
      <w:pPr>
        <w:pStyle w:val="Heading2"/>
        <w:numPr>
          <w:ilvl w:val="0"/>
          <w:numId w:val="0"/>
        </w:numPr>
        <w:shd w:val="clear" w:color="auto" w:fill="FFFFFF"/>
        <w:spacing w:after="0" w:line="360" w:lineRule="atLeast"/>
        <w:ind w:left="360" w:hanging="360"/>
        <w:rPr>
          <w:rStyle w:val="Strong"/>
          <w:b/>
          <w:bCs/>
          <w:color w:val="333333"/>
        </w:rPr>
      </w:pPr>
    </w:p>
    <w:p w14:paraId="3AC0D723" w14:textId="6CBEBC27" w:rsidR="000345BB" w:rsidRDefault="000345BB" w:rsidP="009E5CED">
      <w:pPr>
        <w:pStyle w:val="Heading2"/>
        <w:numPr>
          <w:ilvl w:val="0"/>
          <w:numId w:val="0"/>
        </w:numPr>
        <w:shd w:val="clear" w:color="auto" w:fill="FFFFFF"/>
        <w:spacing w:after="0" w:line="360" w:lineRule="atLeast"/>
        <w:ind w:left="360" w:hanging="360"/>
        <w:rPr>
          <w:rStyle w:val="Strong"/>
          <w:b/>
          <w:bCs/>
          <w:color w:val="333333"/>
        </w:rPr>
      </w:pPr>
    </w:p>
    <w:p w14:paraId="0735399C" w14:textId="15916007" w:rsidR="000345BB" w:rsidRDefault="000345BB" w:rsidP="009E5CED">
      <w:pPr>
        <w:pStyle w:val="Heading2"/>
        <w:numPr>
          <w:ilvl w:val="0"/>
          <w:numId w:val="0"/>
        </w:numPr>
        <w:shd w:val="clear" w:color="auto" w:fill="FFFFFF"/>
        <w:spacing w:after="0" w:line="360" w:lineRule="atLeast"/>
        <w:ind w:left="360" w:hanging="360"/>
        <w:rPr>
          <w:rStyle w:val="Strong"/>
          <w:b/>
          <w:bCs/>
          <w:color w:val="333333"/>
        </w:rPr>
      </w:pPr>
    </w:p>
    <w:p w14:paraId="4D43C5A2" w14:textId="77777777" w:rsidR="000345BB" w:rsidRDefault="000345BB" w:rsidP="009E5CED">
      <w:pPr>
        <w:pStyle w:val="Heading2"/>
        <w:numPr>
          <w:ilvl w:val="0"/>
          <w:numId w:val="0"/>
        </w:numPr>
        <w:shd w:val="clear" w:color="auto" w:fill="FFFFFF"/>
        <w:spacing w:after="0" w:line="360" w:lineRule="atLeast"/>
        <w:ind w:left="360" w:hanging="360"/>
        <w:rPr>
          <w:rStyle w:val="Strong"/>
          <w:b/>
          <w:bCs/>
          <w:color w:val="333333"/>
        </w:rPr>
      </w:pPr>
    </w:p>
    <w:p w14:paraId="25E2BDCE" w14:textId="77AD67C6" w:rsidR="000345BB" w:rsidRDefault="000345BB" w:rsidP="009E5CED">
      <w:pPr>
        <w:pStyle w:val="Heading2"/>
        <w:numPr>
          <w:ilvl w:val="0"/>
          <w:numId w:val="0"/>
        </w:numPr>
        <w:shd w:val="clear" w:color="auto" w:fill="FFFFFF"/>
        <w:spacing w:after="0" w:line="360" w:lineRule="atLeast"/>
        <w:ind w:left="360" w:hanging="360"/>
        <w:rPr>
          <w:rStyle w:val="Strong"/>
          <w:b/>
          <w:bCs/>
          <w:color w:val="333333"/>
        </w:rPr>
      </w:pPr>
    </w:p>
    <w:p w14:paraId="1CAED521" w14:textId="77777777" w:rsidR="000345BB" w:rsidRDefault="000345BB" w:rsidP="009E5CED">
      <w:pPr>
        <w:pStyle w:val="Heading2"/>
        <w:numPr>
          <w:ilvl w:val="0"/>
          <w:numId w:val="0"/>
        </w:numPr>
        <w:shd w:val="clear" w:color="auto" w:fill="FFFFFF"/>
        <w:spacing w:after="0" w:line="360" w:lineRule="atLeast"/>
        <w:ind w:left="360" w:hanging="360"/>
        <w:rPr>
          <w:rStyle w:val="Strong"/>
          <w:b/>
          <w:bCs/>
          <w:color w:val="333333"/>
        </w:rPr>
      </w:pPr>
    </w:p>
    <w:bookmarkStart w:id="8" w:name="_Toc52954062"/>
    <w:p w14:paraId="3FD9FB05" w14:textId="133CA42A" w:rsidR="004A3FAC" w:rsidRPr="009E5CED" w:rsidRDefault="00EF3652" w:rsidP="009E5CED">
      <w:pPr>
        <w:pStyle w:val="Heading2"/>
        <w:numPr>
          <w:ilvl w:val="0"/>
          <w:numId w:val="0"/>
        </w:numPr>
        <w:shd w:val="clear" w:color="auto" w:fill="FFFFFF"/>
        <w:spacing w:after="0" w:line="360" w:lineRule="atLeast"/>
        <w:ind w:left="360" w:hanging="360"/>
        <w:rPr>
          <w:color w:val="333333"/>
        </w:rPr>
      </w:pPr>
      <w:r w:rsidRPr="00593C4D">
        <w:rPr>
          <w:noProof/>
        </w:rPr>
        <w:lastRenderedPageBreak/>
        <mc:AlternateContent>
          <mc:Choice Requires="wps">
            <w:drawing>
              <wp:anchor distT="0" distB="0" distL="114300" distR="114300" simplePos="0" relativeHeight="251701248" behindDoc="0" locked="0" layoutInCell="1" allowOverlap="1" wp14:anchorId="6B2FBB2D" wp14:editId="3BF0ED75">
                <wp:simplePos x="0" y="0"/>
                <wp:positionH relativeFrom="column">
                  <wp:posOffset>3495675</wp:posOffset>
                </wp:positionH>
                <wp:positionV relativeFrom="page">
                  <wp:posOffset>685800</wp:posOffset>
                </wp:positionV>
                <wp:extent cx="3008630" cy="8672195"/>
                <wp:effectExtent l="0" t="0" r="1270" b="1905"/>
                <wp:wrapSquare wrapText="bothSides"/>
                <wp:docPr id="8" name="Text Box 8"/>
                <wp:cNvGraphicFramePr/>
                <a:graphic xmlns:a="http://schemas.openxmlformats.org/drawingml/2006/main">
                  <a:graphicData uri="http://schemas.microsoft.com/office/word/2010/wordprocessingShape">
                    <wps:wsp>
                      <wps:cNvSpPr txBox="1"/>
                      <wps:spPr>
                        <a:xfrm>
                          <a:off x="0" y="0"/>
                          <a:ext cx="3008630" cy="8672195"/>
                        </a:xfrm>
                        <a:prstGeom prst="rect">
                          <a:avLst/>
                        </a:prstGeom>
                        <a:solidFill>
                          <a:srgbClr val="61ADBF">
                            <a:lumMod val="20000"/>
                            <a:lumOff val="80000"/>
                          </a:srgbClr>
                        </a:solidFill>
                        <a:ln w="6350">
                          <a:noFill/>
                        </a:ln>
                      </wps:spPr>
                      <wps:txbx>
                        <w:txbxContent>
                          <w:p w14:paraId="13A697C5" w14:textId="77777777" w:rsidR="00D10BC1" w:rsidRDefault="00D10BC1" w:rsidP="00D10BC1">
                            <w:pPr>
                              <w:pStyle w:val="ListParagraph"/>
                              <w:ind w:left="360"/>
                              <w:rPr>
                                <w:rFonts w:ascii="Arial" w:eastAsia="Times New Roman" w:hAnsi="Arial" w:cs="Arial"/>
                                <w:color w:val="000000" w:themeColor="text1"/>
                                <w:sz w:val="18"/>
                                <w:szCs w:val="18"/>
                                <w:lang w:eastAsia="en-US"/>
                              </w:rPr>
                            </w:pPr>
                            <w:r>
                              <w:rPr>
                                <w:rFonts w:ascii="Arial" w:hAnsi="Arial" w:cs="Arial"/>
                                <w:b/>
                                <w:bCs/>
                                <w:color w:val="0070C0"/>
                                <w:sz w:val="26"/>
                                <w:szCs w:val="26"/>
                              </w:rPr>
                              <w:br/>
                            </w:r>
                          </w:p>
                          <w:p w14:paraId="79192B0B" w14:textId="77777777" w:rsidR="00D10BC1" w:rsidRPr="004D4130" w:rsidRDefault="00D10BC1" w:rsidP="00D10BC1">
                            <w:pPr>
                              <w:pStyle w:val="ListParagraph"/>
                              <w:ind w:left="360"/>
                              <w:rPr>
                                <w:rFonts w:ascii="Arial" w:eastAsia="Times New Roman" w:hAnsi="Arial" w:cs="Arial"/>
                                <w:color w:val="000000" w:themeColor="text1"/>
                                <w:sz w:val="18"/>
                                <w:szCs w:val="18"/>
                                <w:lang w:eastAsia="en-US"/>
                              </w:rPr>
                            </w:pPr>
                          </w:p>
                          <w:p w14:paraId="559533F7" w14:textId="77777777" w:rsidR="00D10BC1" w:rsidRDefault="00D10BC1" w:rsidP="00D10BC1">
                            <w:pPr>
                              <w:pStyle w:val="ListParagraph"/>
                              <w:numPr>
                                <w:ilvl w:val="0"/>
                                <w:numId w:val="33"/>
                              </w:numPr>
                              <w:rPr>
                                <w:rFonts w:ascii="Arial" w:eastAsia="Times New Roman" w:hAnsi="Arial" w:cs="Arial"/>
                                <w:color w:val="000000" w:themeColor="text1"/>
                                <w:sz w:val="18"/>
                                <w:szCs w:val="18"/>
                                <w:lang w:eastAsia="en-US"/>
                              </w:rPr>
                            </w:pPr>
                            <w:r w:rsidRPr="00EC5E10">
                              <w:rPr>
                                <w:rFonts w:ascii="Arial" w:eastAsia="Times New Roman" w:hAnsi="Arial" w:cs="Arial"/>
                                <w:color w:val="000000" w:themeColor="text1"/>
                                <w:sz w:val="18"/>
                                <w:szCs w:val="18"/>
                                <w:lang w:eastAsia="en-US"/>
                              </w:rPr>
                              <w:t xml:space="preserve">On July 23, the Department of Health and Human Services (HHS) extended the COVID-19 public health emergency for an additional 90 days (i.e., until October 23, 2020). The public health emergency was originally declared by HHS in late January 2020 and first renewed in April. For more information on the implications of this emergency, and the difference between it and President Trump’s National Emergency, see our blog post </w:t>
                            </w:r>
                            <w:hyperlink r:id="rId32" w:history="1">
                              <w:r w:rsidRPr="00EC5E10">
                                <w:rPr>
                                  <w:rStyle w:val="Hyperlink"/>
                                  <w:rFonts w:ascii="Arial" w:eastAsia="Times New Roman" w:hAnsi="Arial" w:cs="Arial"/>
                                  <w:sz w:val="18"/>
                                  <w:szCs w:val="18"/>
                                  <w:lang w:eastAsia="en-US"/>
                                </w:rPr>
                                <w:t>here</w:t>
                              </w:r>
                            </w:hyperlink>
                            <w:r w:rsidRPr="00EC5E10">
                              <w:rPr>
                                <w:rFonts w:ascii="Arial" w:eastAsia="Times New Roman" w:hAnsi="Arial" w:cs="Arial"/>
                                <w:color w:val="000000" w:themeColor="text1"/>
                                <w:sz w:val="18"/>
                                <w:szCs w:val="18"/>
                                <w:lang w:eastAsia="en-US"/>
                              </w:rPr>
                              <w:t>.</w:t>
                            </w:r>
                          </w:p>
                          <w:p w14:paraId="57F76505" w14:textId="77777777" w:rsidR="00D10BC1" w:rsidRPr="007B0C57" w:rsidRDefault="00D10BC1" w:rsidP="00D10BC1">
                            <w:pPr>
                              <w:rPr>
                                <w:rFonts w:ascii="Arial" w:eastAsia="Times New Roman" w:hAnsi="Arial" w:cs="Arial"/>
                                <w:color w:val="000000" w:themeColor="text1"/>
                                <w:sz w:val="18"/>
                                <w:szCs w:val="18"/>
                                <w:lang w:eastAsia="en-US"/>
                              </w:rPr>
                            </w:pPr>
                          </w:p>
                          <w:p w14:paraId="48EB45EF" w14:textId="77777777" w:rsidR="00D10BC1" w:rsidRDefault="00D10BC1" w:rsidP="00D10BC1">
                            <w:pPr>
                              <w:pStyle w:val="ListParagraph"/>
                              <w:numPr>
                                <w:ilvl w:val="0"/>
                                <w:numId w:val="33"/>
                              </w:numPr>
                              <w:rPr>
                                <w:rFonts w:ascii="Arial" w:eastAsia="Times New Roman" w:hAnsi="Arial" w:cs="Arial"/>
                                <w:color w:val="000000" w:themeColor="text1"/>
                                <w:sz w:val="18"/>
                                <w:szCs w:val="18"/>
                                <w:lang w:eastAsia="en-US"/>
                              </w:rPr>
                            </w:pPr>
                            <w:r w:rsidRPr="002978C5">
                              <w:rPr>
                                <w:rFonts w:ascii="Arial" w:eastAsia="Times New Roman" w:hAnsi="Arial" w:cs="Arial"/>
                                <w:color w:val="000000" w:themeColor="text1"/>
                                <w:sz w:val="18"/>
                                <w:szCs w:val="18"/>
                                <w:lang w:eastAsia="en-US"/>
                              </w:rPr>
                              <w:t xml:space="preserve">On July 27, HHS </w:t>
                            </w:r>
                            <w:hyperlink r:id="rId33" w:history="1">
                              <w:r w:rsidRPr="002978C5">
                                <w:rPr>
                                  <w:rStyle w:val="Hyperlink"/>
                                  <w:rFonts w:ascii="Arial" w:eastAsia="Times New Roman" w:hAnsi="Arial" w:cs="Arial"/>
                                  <w:sz w:val="18"/>
                                  <w:szCs w:val="18"/>
                                  <w:lang w:eastAsia="en-US"/>
                                </w:rPr>
                                <w:t>issued a press release</w:t>
                              </w:r>
                            </w:hyperlink>
                            <w:r w:rsidRPr="002978C5">
                              <w:rPr>
                                <w:rFonts w:ascii="Arial" w:eastAsia="Times New Roman" w:hAnsi="Arial" w:cs="Arial"/>
                                <w:color w:val="000000" w:themeColor="text1"/>
                                <w:sz w:val="18"/>
                                <w:szCs w:val="18"/>
                                <w:lang w:eastAsia="en-US"/>
                              </w:rPr>
                              <w:t xml:space="preserve"> regarding a $1 million payment by a health care provider for a privacy breach stemming from the theft of an unencrypted laptop that contained the protected health information (PHI) of over 20K patients. The Office of Civil Rights (OCR) investigated the incident and concluded that the provider had failed to encrypt ePHI on laptops even after determining that it was reasonable and appropriate to do so. In addition, the provider had failed to implement device/media controls and execute a business associate agreement with a vendor.  In addition to the fine, the provider is required to comply with a corrective action plan.</w:t>
                            </w:r>
                          </w:p>
                          <w:p w14:paraId="04E6C8DB" w14:textId="77777777" w:rsidR="00D10BC1" w:rsidRPr="00426B00" w:rsidRDefault="00D10BC1" w:rsidP="00D10BC1">
                            <w:pPr>
                              <w:pStyle w:val="ListParagraph"/>
                              <w:rPr>
                                <w:rFonts w:ascii="Arial" w:eastAsia="Times New Roman" w:hAnsi="Arial" w:cs="Arial"/>
                                <w:color w:val="000000" w:themeColor="text1"/>
                                <w:sz w:val="18"/>
                                <w:szCs w:val="18"/>
                                <w:lang w:eastAsia="en-US"/>
                              </w:rPr>
                            </w:pPr>
                          </w:p>
                          <w:p w14:paraId="24B423AC" w14:textId="77777777" w:rsidR="00D10BC1" w:rsidRDefault="00D10BC1" w:rsidP="00D10BC1">
                            <w:pPr>
                              <w:pStyle w:val="ListParagraph"/>
                              <w:numPr>
                                <w:ilvl w:val="0"/>
                                <w:numId w:val="33"/>
                              </w:numPr>
                              <w:rPr>
                                <w:rFonts w:ascii="Arial" w:eastAsia="Times New Roman" w:hAnsi="Arial" w:cs="Arial"/>
                                <w:color w:val="000000" w:themeColor="text1"/>
                                <w:sz w:val="18"/>
                                <w:szCs w:val="18"/>
                                <w:lang w:eastAsia="en-US"/>
                              </w:rPr>
                            </w:pPr>
                            <w:r w:rsidRPr="00426B00">
                              <w:rPr>
                                <w:rFonts w:ascii="Arial" w:eastAsia="Times New Roman" w:hAnsi="Arial" w:cs="Arial"/>
                                <w:color w:val="000000" w:themeColor="text1"/>
                                <w:sz w:val="18"/>
                                <w:szCs w:val="18"/>
                                <w:lang w:eastAsia="en-US"/>
                              </w:rPr>
                              <w:t xml:space="preserve">On July 29, the Treasury Department and IRS issued </w:t>
                            </w:r>
                            <w:hyperlink r:id="rId34" w:history="1">
                              <w:r w:rsidRPr="00DF1B8E">
                                <w:rPr>
                                  <w:rStyle w:val="Hyperlink"/>
                                  <w:rFonts w:ascii="Arial" w:eastAsia="Times New Roman" w:hAnsi="Arial" w:cs="Arial"/>
                                  <w:sz w:val="18"/>
                                  <w:szCs w:val="18"/>
                                  <w:lang w:eastAsia="en-US"/>
                                </w:rPr>
                                <w:t>temporary</w:t>
                              </w:r>
                            </w:hyperlink>
                            <w:r w:rsidRPr="00426B00">
                              <w:rPr>
                                <w:rFonts w:ascii="Arial" w:eastAsia="Times New Roman" w:hAnsi="Arial" w:cs="Arial"/>
                                <w:color w:val="000000" w:themeColor="text1"/>
                                <w:sz w:val="18"/>
                                <w:szCs w:val="18"/>
                                <w:lang w:eastAsia="en-US"/>
                              </w:rPr>
                              <w:t xml:space="preserve"> and</w:t>
                            </w:r>
                            <w:r>
                              <w:rPr>
                                <w:rFonts w:ascii="Arial" w:eastAsia="Times New Roman" w:hAnsi="Arial" w:cs="Arial"/>
                                <w:color w:val="000000" w:themeColor="text1"/>
                                <w:sz w:val="18"/>
                                <w:szCs w:val="18"/>
                                <w:lang w:eastAsia="en-US"/>
                              </w:rPr>
                              <w:t xml:space="preserve"> </w:t>
                            </w:r>
                            <w:hyperlink r:id="rId35" w:history="1">
                              <w:r w:rsidRPr="00DF1B8E">
                                <w:rPr>
                                  <w:rStyle w:val="Hyperlink"/>
                                  <w:rFonts w:ascii="Arial" w:eastAsia="Times New Roman" w:hAnsi="Arial" w:cs="Arial"/>
                                  <w:sz w:val="18"/>
                                  <w:szCs w:val="18"/>
                                  <w:lang w:eastAsia="en-US"/>
                                </w:rPr>
                                <w:t>proposed</w:t>
                              </w:r>
                            </w:hyperlink>
                            <w:r w:rsidRPr="00426B00">
                              <w:rPr>
                                <w:rFonts w:ascii="Arial" w:eastAsia="Times New Roman" w:hAnsi="Arial" w:cs="Arial"/>
                                <w:color w:val="000000" w:themeColor="text1"/>
                                <w:sz w:val="18"/>
                                <w:szCs w:val="18"/>
                                <w:lang w:eastAsia="en-US"/>
                              </w:rPr>
                              <w:t xml:space="preserve"> regulations addressing the reconciliation of advance payments of refundable employment tax credits provided under the Families First Coronavirus Response Act (FFCRA) and the Coronavirus Aid, Relief, and Economic Security Act (CARES Act), including the process for recapturing excess payments when necessary.</w:t>
                            </w:r>
                          </w:p>
                          <w:p w14:paraId="2DC9341C" w14:textId="77777777" w:rsidR="00D10BC1" w:rsidRPr="00A904FF" w:rsidRDefault="00D10BC1" w:rsidP="00D10BC1">
                            <w:pPr>
                              <w:pStyle w:val="ListParagraph"/>
                              <w:rPr>
                                <w:rFonts w:ascii="Arial" w:eastAsia="Times New Roman" w:hAnsi="Arial" w:cs="Arial"/>
                                <w:color w:val="000000" w:themeColor="text1"/>
                                <w:sz w:val="18"/>
                                <w:szCs w:val="18"/>
                                <w:lang w:eastAsia="en-US"/>
                              </w:rPr>
                            </w:pPr>
                          </w:p>
                          <w:p w14:paraId="1AE0D99C" w14:textId="77777777" w:rsidR="00D10BC1" w:rsidRPr="00DE61D6" w:rsidRDefault="00D10BC1" w:rsidP="00D10BC1">
                            <w:pPr>
                              <w:pStyle w:val="ListParagraph"/>
                              <w:numPr>
                                <w:ilvl w:val="0"/>
                                <w:numId w:val="33"/>
                              </w:numPr>
                              <w:rPr>
                                <w:rFonts w:ascii="Arial" w:eastAsia="Times New Roman" w:hAnsi="Arial" w:cs="Arial"/>
                                <w:color w:val="000000" w:themeColor="text1"/>
                                <w:sz w:val="18"/>
                                <w:szCs w:val="18"/>
                                <w:lang w:eastAsia="en-US"/>
                              </w:rPr>
                            </w:pPr>
                            <w:r w:rsidRPr="00A904FF">
                              <w:rPr>
                                <w:rFonts w:ascii="Arial" w:eastAsia="Times New Roman" w:hAnsi="Arial" w:cs="Arial"/>
                                <w:color w:val="000000" w:themeColor="text1"/>
                                <w:sz w:val="18"/>
                                <w:szCs w:val="18"/>
                                <w:lang w:eastAsia="en-US"/>
                              </w:rPr>
                              <w:t xml:space="preserve">In its Summer Cybersecurity Newsletter, the Office of Civil Rights (OCR) </w:t>
                            </w:r>
                            <w:hyperlink r:id="rId36" w:anchor="footnote8_bdqzath" w:history="1">
                              <w:r w:rsidRPr="00D10BC1">
                                <w:rPr>
                                  <w:rStyle w:val="Hyperlink"/>
                                  <w:rFonts w:ascii="Arial" w:eastAsia="Times New Roman" w:hAnsi="Arial" w:cs="Arial"/>
                                  <w:sz w:val="18"/>
                                  <w:szCs w:val="18"/>
                                  <w:lang w:eastAsia="en-US"/>
                                </w:rPr>
                                <w:t>highlights</w:t>
                              </w:r>
                            </w:hyperlink>
                            <w:r w:rsidRPr="00A904FF">
                              <w:rPr>
                                <w:rFonts w:ascii="Arial" w:eastAsia="Times New Roman" w:hAnsi="Arial" w:cs="Arial"/>
                                <w:color w:val="000000" w:themeColor="text1"/>
                                <w:sz w:val="18"/>
                                <w:szCs w:val="18"/>
                                <w:lang w:eastAsia="en-US"/>
                              </w:rPr>
                              <w:t xml:space="preserve"> the importance of developing and maintaining an IT asset inventory to help monitor its environment, ensure software is up to date, and effectively  guard against malicious intrusion. OCR also notes that maintenance of an asset inventory also helps organizations comply with the Security Rule’s requirement to “implement policies and procedures that govern the receipt and removal of hardware and electronic medial that contain ePHI into and out of a facility, and the movement of these items within the facility.”</w:t>
                            </w:r>
                          </w:p>
                          <w:p w14:paraId="69BF688E" w14:textId="3F08FB6E" w:rsidR="00D10BC1" w:rsidRDefault="00D10BC1" w:rsidP="00D10BC1">
                            <w:pPr>
                              <w:spacing w:line="276" w:lineRule="auto"/>
                              <w:ind w:left="360"/>
                              <w:rPr>
                                <w:rFonts w:ascii="Arial" w:eastAsia="Times New Roman" w:hAnsi="Arial" w:cs="Arial"/>
                                <w:color w:val="000000" w:themeColor="text1"/>
                                <w:sz w:val="18"/>
                                <w:szCs w:val="18"/>
                                <w:lang w:eastAsia="en-US"/>
                              </w:rPr>
                            </w:pPr>
                          </w:p>
                          <w:p w14:paraId="6F1B0E4A" w14:textId="77777777" w:rsidR="00D10BC1" w:rsidRPr="00D4084B" w:rsidRDefault="00D10BC1" w:rsidP="00D10BC1">
                            <w:pPr>
                              <w:rPr>
                                <w:rFonts w:ascii="Arial" w:eastAsia="Times New Roman" w:hAnsi="Arial" w:cs="Arial"/>
                                <w:color w:val="000000" w:themeColor="text1"/>
                                <w:sz w:val="18"/>
                                <w:szCs w:val="18"/>
                                <w:lang w:eastAsia="en-US"/>
                              </w:rPr>
                            </w:pPr>
                          </w:p>
                          <w:p w14:paraId="7C000CA3" w14:textId="77777777" w:rsidR="00D10BC1" w:rsidRPr="007B59C6" w:rsidRDefault="00D10BC1" w:rsidP="00D10BC1">
                            <w:pPr>
                              <w:pStyle w:val="ListParagraph"/>
                              <w:rPr>
                                <w:rFonts w:ascii="Arial" w:eastAsia="Times New Roman" w:hAnsi="Arial" w:cs="Arial"/>
                                <w:color w:val="000000" w:themeColor="text1"/>
                                <w:sz w:val="18"/>
                                <w:szCs w:val="18"/>
                                <w:lang w:eastAsia="en-US"/>
                              </w:rPr>
                            </w:pPr>
                          </w:p>
                          <w:p w14:paraId="28F1CED0" w14:textId="77777777" w:rsidR="00D10BC1" w:rsidRPr="007B0C57" w:rsidRDefault="00D10BC1" w:rsidP="00D10BC1">
                            <w:pPr>
                              <w:rPr>
                                <w:rFonts w:ascii="Arial" w:eastAsia="Times New Roman" w:hAnsi="Arial" w:cs="Arial"/>
                                <w:color w:val="000000" w:themeColor="text1"/>
                                <w:sz w:val="18"/>
                                <w:szCs w:val="18"/>
                                <w:lang w:eastAsia="en-US"/>
                              </w:rPr>
                            </w:pPr>
                          </w:p>
                          <w:p w14:paraId="5F97D64E" w14:textId="77777777" w:rsidR="00D10BC1" w:rsidRPr="005C7A6D" w:rsidRDefault="00D10BC1" w:rsidP="00D10BC1">
                            <w:pPr>
                              <w:pStyle w:val="ListParagraph"/>
                              <w:spacing w:line="360" w:lineRule="auto"/>
                              <w:ind w:left="360"/>
                              <w:rPr>
                                <w:rFonts w:ascii="Arial" w:eastAsia="Times New Roman" w:hAnsi="Arial" w:cs="Arial"/>
                                <w:color w:val="000000" w:themeColor="text1"/>
                                <w:sz w:val="18"/>
                                <w:szCs w:val="18"/>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FBB2D" id="Text Box 8" o:spid="_x0000_s1029" type="#_x0000_t202" style="position:absolute;left:0;text-align:left;margin-left:275.25pt;margin-top:54pt;width:236.9pt;height:68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" fillcolor="#dfeff2" stroked="f" strokeweight=".5pt">
                <v:textbox>
                  <w:txbxContent>
                    <w:p w14:paraId="13A697C5" w14:textId="77777777" w:rsidR="00D10BC1" w:rsidRDefault="00D10BC1" w:rsidP="00D10BC1">
                      <w:pPr>
                        <w:pStyle w:val="ListParagraph"/>
                        <w:ind w:left="360"/>
                        <w:rPr>
                          <w:rFonts w:ascii="Arial" w:eastAsia="Times New Roman" w:hAnsi="Arial" w:cs="Arial"/>
                          <w:color w:val="000000" w:themeColor="text1"/>
                          <w:sz w:val="18"/>
                          <w:szCs w:val="18"/>
                          <w:lang w:eastAsia="en-US"/>
                        </w:rPr>
                      </w:pPr>
                      <w:r>
                        <w:rPr>
                          <w:rFonts w:ascii="Arial" w:hAnsi="Arial" w:cs="Arial"/>
                          <w:b/>
                          <w:bCs/>
                          <w:color w:val="0070C0"/>
                          <w:sz w:val="26"/>
                          <w:szCs w:val="26"/>
                        </w:rPr>
                        <w:br/>
                      </w:r>
                    </w:p>
                    <w:p w14:paraId="79192B0B" w14:textId="77777777" w:rsidR="00D10BC1" w:rsidRPr="004D4130" w:rsidRDefault="00D10BC1" w:rsidP="00D10BC1">
                      <w:pPr>
                        <w:pStyle w:val="ListParagraph"/>
                        <w:ind w:left="360"/>
                        <w:rPr>
                          <w:rFonts w:ascii="Arial" w:eastAsia="Times New Roman" w:hAnsi="Arial" w:cs="Arial"/>
                          <w:color w:val="000000" w:themeColor="text1"/>
                          <w:sz w:val="18"/>
                          <w:szCs w:val="18"/>
                          <w:lang w:eastAsia="en-US"/>
                        </w:rPr>
                      </w:pPr>
                    </w:p>
                    <w:p w14:paraId="559533F7" w14:textId="77777777" w:rsidR="00D10BC1" w:rsidRDefault="00D10BC1" w:rsidP="00D10BC1">
                      <w:pPr>
                        <w:pStyle w:val="ListParagraph"/>
                        <w:numPr>
                          <w:ilvl w:val="0"/>
                          <w:numId w:val="33"/>
                        </w:numPr>
                        <w:rPr>
                          <w:rFonts w:ascii="Arial" w:eastAsia="Times New Roman" w:hAnsi="Arial" w:cs="Arial"/>
                          <w:color w:val="000000" w:themeColor="text1"/>
                          <w:sz w:val="18"/>
                          <w:szCs w:val="18"/>
                          <w:lang w:eastAsia="en-US"/>
                        </w:rPr>
                      </w:pPr>
                      <w:r w:rsidRPr="00EC5E10">
                        <w:rPr>
                          <w:rFonts w:ascii="Arial" w:eastAsia="Times New Roman" w:hAnsi="Arial" w:cs="Arial"/>
                          <w:color w:val="000000" w:themeColor="text1"/>
                          <w:sz w:val="18"/>
                          <w:szCs w:val="18"/>
                          <w:lang w:eastAsia="en-US"/>
                        </w:rPr>
                        <w:t xml:space="preserve">On July 23, the Department of Health and Human Services (HHS) extended the COVID-19 public health emergency for an additional 90 days (i.e., until October 23, 2020). The public health emergency was originally declared by HHS in late January 2020 and first renewed in April. For more information on the implications of this emergency, and the difference between it and President Trump’s National Emergency, see our blog post </w:t>
                      </w:r>
                      <w:hyperlink r:id="rId37" w:history="1">
                        <w:r w:rsidRPr="00EC5E10">
                          <w:rPr>
                            <w:rStyle w:val="Hyperlink"/>
                            <w:rFonts w:ascii="Arial" w:eastAsia="Times New Roman" w:hAnsi="Arial" w:cs="Arial"/>
                            <w:sz w:val="18"/>
                            <w:szCs w:val="18"/>
                            <w:lang w:eastAsia="en-US"/>
                          </w:rPr>
                          <w:t>here</w:t>
                        </w:r>
                      </w:hyperlink>
                      <w:r w:rsidRPr="00EC5E10">
                        <w:rPr>
                          <w:rFonts w:ascii="Arial" w:eastAsia="Times New Roman" w:hAnsi="Arial" w:cs="Arial"/>
                          <w:color w:val="000000" w:themeColor="text1"/>
                          <w:sz w:val="18"/>
                          <w:szCs w:val="18"/>
                          <w:lang w:eastAsia="en-US"/>
                        </w:rPr>
                        <w:t>.</w:t>
                      </w:r>
                    </w:p>
                    <w:p w14:paraId="57F76505" w14:textId="77777777" w:rsidR="00D10BC1" w:rsidRPr="007B0C57" w:rsidRDefault="00D10BC1" w:rsidP="00D10BC1">
                      <w:pPr>
                        <w:rPr>
                          <w:rFonts w:ascii="Arial" w:eastAsia="Times New Roman" w:hAnsi="Arial" w:cs="Arial"/>
                          <w:color w:val="000000" w:themeColor="text1"/>
                          <w:sz w:val="18"/>
                          <w:szCs w:val="18"/>
                          <w:lang w:eastAsia="en-US"/>
                        </w:rPr>
                      </w:pPr>
                    </w:p>
                    <w:p w14:paraId="48EB45EF" w14:textId="77777777" w:rsidR="00D10BC1" w:rsidRDefault="00D10BC1" w:rsidP="00D10BC1">
                      <w:pPr>
                        <w:pStyle w:val="ListParagraph"/>
                        <w:numPr>
                          <w:ilvl w:val="0"/>
                          <w:numId w:val="33"/>
                        </w:numPr>
                        <w:rPr>
                          <w:rFonts w:ascii="Arial" w:eastAsia="Times New Roman" w:hAnsi="Arial" w:cs="Arial"/>
                          <w:color w:val="000000" w:themeColor="text1"/>
                          <w:sz w:val="18"/>
                          <w:szCs w:val="18"/>
                          <w:lang w:eastAsia="en-US"/>
                        </w:rPr>
                      </w:pPr>
                      <w:r w:rsidRPr="002978C5">
                        <w:rPr>
                          <w:rFonts w:ascii="Arial" w:eastAsia="Times New Roman" w:hAnsi="Arial" w:cs="Arial"/>
                          <w:color w:val="000000" w:themeColor="text1"/>
                          <w:sz w:val="18"/>
                          <w:szCs w:val="18"/>
                          <w:lang w:eastAsia="en-US"/>
                        </w:rPr>
                        <w:t xml:space="preserve">On July 27, HHS </w:t>
                      </w:r>
                      <w:hyperlink r:id="rId38" w:history="1">
                        <w:r w:rsidRPr="002978C5">
                          <w:rPr>
                            <w:rStyle w:val="Hyperlink"/>
                            <w:rFonts w:ascii="Arial" w:eastAsia="Times New Roman" w:hAnsi="Arial" w:cs="Arial"/>
                            <w:sz w:val="18"/>
                            <w:szCs w:val="18"/>
                            <w:lang w:eastAsia="en-US"/>
                          </w:rPr>
                          <w:t>issued a press release</w:t>
                        </w:r>
                      </w:hyperlink>
                      <w:r w:rsidRPr="002978C5">
                        <w:rPr>
                          <w:rFonts w:ascii="Arial" w:eastAsia="Times New Roman" w:hAnsi="Arial" w:cs="Arial"/>
                          <w:color w:val="000000" w:themeColor="text1"/>
                          <w:sz w:val="18"/>
                          <w:szCs w:val="18"/>
                          <w:lang w:eastAsia="en-US"/>
                        </w:rPr>
                        <w:t xml:space="preserve"> regarding a $1 million payment by a health care provider for a privacy breach stemming from the theft of an unencrypted laptop that contained the protected health information (PHI) of over 20K patients. The Office of Civil Rights (OCR) investigated the incident and concluded that the provider had failed to encrypt ePHI on laptops even after determining that it was reasonable and appropriate to do so. In addition, the provider had failed to implement device/media controls and execute a business associate agreement with a vendor.  In addition to the fine, the provider is required to comply with a corrective action plan.</w:t>
                      </w:r>
                    </w:p>
                    <w:p w14:paraId="04E6C8DB" w14:textId="77777777" w:rsidR="00D10BC1" w:rsidRPr="00426B00" w:rsidRDefault="00D10BC1" w:rsidP="00D10BC1">
                      <w:pPr>
                        <w:pStyle w:val="ListParagraph"/>
                        <w:rPr>
                          <w:rFonts w:ascii="Arial" w:eastAsia="Times New Roman" w:hAnsi="Arial" w:cs="Arial"/>
                          <w:color w:val="000000" w:themeColor="text1"/>
                          <w:sz w:val="18"/>
                          <w:szCs w:val="18"/>
                          <w:lang w:eastAsia="en-US"/>
                        </w:rPr>
                      </w:pPr>
                    </w:p>
                    <w:p w14:paraId="24B423AC" w14:textId="77777777" w:rsidR="00D10BC1" w:rsidRDefault="00D10BC1" w:rsidP="00D10BC1">
                      <w:pPr>
                        <w:pStyle w:val="ListParagraph"/>
                        <w:numPr>
                          <w:ilvl w:val="0"/>
                          <w:numId w:val="33"/>
                        </w:numPr>
                        <w:rPr>
                          <w:rFonts w:ascii="Arial" w:eastAsia="Times New Roman" w:hAnsi="Arial" w:cs="Arial"/>
                          <w:color w:val="000000" w:themeColor="text1"/>
                          <w:sz w:val="18"/>
                          <w:szCs w:val="18"/>
                          <w:lang w:eastAsia="en-US"/>
                        </w:rPr>
                      </w:pPr>
                      <w:r w:rsidRPr="00426B00">
                        <w:rPr>
                          <w:rFonts w:ascii="Arial" w:eastAsia="Times New Roman" w:hAnsi="Arial" w:cs="Arial"/>
                          <w:color w:val="000000" w:themeColor="text1"/>
                          <w:sz w:val="18"/>
                          <w:szCs w:val="18"/>
                          <w:lang w:eastAsia="en-US"/>
                        </w:rPr>
                        <w:t xml:space="preserve">On July 29, the Treasury Department and IRS issued </w:t>
                      </w:r>
                      <w:hyperlink r:id="rId39" w:history="1">
                        <w:r w:rsidRPr="00DF1B8E">
                          <w:rPr>
                            <w:rStyle w:val="Hyperlink"/>
                            <w:rFonts w:ascii="Arial" w:eastAsia="Times New Roman" w:hAnsi="Arial" w:cs="Arial"/>
                            <w:sz w:val="18"/>
                            <w:szCs w:val="18"/>
                            <w:lang w:eastAsia="en-US"/>
                          </w:rPr>
                          <w:t>temporary</w:t>
                        </w:r>
                      </w:hyperlink>
                      <w:r w:rsidRPr="00426B00">
                        <w:rPr>
                          <w:rFonts w:ascii="Arial" w:eastAsia="Times New Roman" w:hAnsi="Arial" w:cs="Arial"/>
                          <w:color w:val="000000" w:themeColor="text1"/>
                          <w:sz w:val="18"/>
                          <w:szCs w:val="18"/>
                          <w:lang w:eastAsia="en-US"/>
                        </w:rPr>
                        <w:t xml:space="preserve"> and</w:t>
                      </w:r>
                      <w:r>
                        <w:rPr>
                          <w:rFonts w:ascii="Arial" w:eastAsia="Times New Roman" w:hAnsi="Arial" w:cs="Arial"/>
                          <w:color w:val="000000" w:themeColor="text1"/>
                          <w:sz w:val="18"/>
                          <w:szCs w:val="18"/>
                          <w:lang w:eastAsia="en-US"/>
                        </w:rPr>
                        <w:t xml:space="preserve"> </w:t>
                      </w:r>
                      <w:hyperlink r:id="rId40" w:history="1">
                        <w:r w:rsidRPr="00DF1B8E">
                          <w:rPr>
                            <w:rStyle w:val="Hyperlink"/>
                            <w:rFonts w:ascii="Arial" w:eastAsia="Times New Roman" w:hAnsi="Arial" w:cs="Arial"/>
                            <w:sz w:val="18"/>
                            <w:szCs w:val="18"/>
                            <w:lang w:eastAsia="en-US"/>
                          </w:rPr>
                          <w:t>proposed</w:t>
                        </w:r>
                      </w:hyperlink>
                      <w:r w:rsidRPr="00426B00">
                        <w:rPr>
                          <w:rFonts w:ascii="Arial" w:eastAsia="Times New Roman" w:hAnsi="Arial" w:cs="Arial"/>
                          <w:color w:val="000000" w:themeColor="text1"/>
                          <w:sz w:val="18"/>
                          <w:szCs w:val="18"/>
                          <w:lang w:eastAsia="en-US"/>
                        </w:rPr>
                        <w:t xml:space="preserve"> regulations addressing the reconciliation of advance payments of refundable employment tax credits provided under the Families First Coronavirus Response Act (FFCRA) and the Coronavirus Aid, Relief, and Economic Security Act (CARES Act), including the process for recapturing excess payments when necessary.</w:t>
                      </w:r>
                    </w:p>
                    <w:p w14:paraId="2DC9341C" w14:textId="77777777" w:rsidR="00D10BC1" w:rsidRPr="00A904FF" w:rsidRDefault="00D10BC1" w:rsidP="00D10BC1">
                      <w:pPr>
                        <w:pStyle w:val="ListParagraph"/>
                        <w:rPr>
                          <w:rFonts w:ascii="Arial" w:eastAsia="Times New Roman" w:hAnsi="Arial" w:cs="Arial"/>
                          <w:color w:val="000000" w:themeColor="text1"/>
                          <w:sz w:val="18"/>
                          <w:szCs w:val="18"/>
                          <w:lang w:eastAsia="en-US"/>
                        </w:rPr>
                      </w:pPr>
                    </w:p>
                    <w:p w14:paraId="1AE0D99C" w14:textId="77777777" w:rsidR="00D10BC1" w:rsidRPr="00DE61D6" w:rsidRDefault="00D10BC1" w:rsidP="00D10BC1">
                      <w:pPr>
                        <w:pStyle w:val="ListParagraph"/>
                        <w:numPr>
                          <w:ilvl w:val="0"/>
                          <w:numId w:val="33"/>
                        </w:numPr>
                        <w:rPr>
                          <w:rFonts w:ascii="Arial" w:eastAsia="Times New Roman" w:hAnsi="Arial" w:cs="Arial"/>
                          <w:color w:val="000000" w:themeColor="text1"/>
                          <w:sz w:val="18"/>
                          <w:szCs w:val="18"/>
                          <w:lang w:eastAsia="en-US"/>
                        </w:rPr>
                      </w:pPr>
                      <w:r w:rsidRPr="00A904FF">
                        <w:rPr>
                          <w:rFonts w:ascii="Arial" w:eastAsia="Times New Roman" w:hAnsi="Arial" w:cs="Arial"/>
                          <w:color w:val="000000" w:themeColor="text1"/>
                          <w:sz w:val="18"/>
                          <w:szCs w:val="18"/>
                          <w:lang w:eastAsia="en-US"/>
                        </w:rPr>
                        <w:t xml:space="preserve">In its Summer Cybersecurity Newsletter, the Office of Civil Rights (OCR) </w:t>
                      </w:r>
                      <w:hyperlink r:id="rId41" w:anchor="footnote8_bdqzath" w:history="1">
                        <w:r w:rsidRPr="00D10BC1">
                          <w:rPr>
                            <w:rStyle w:val="Hyperlink"/>
                            <w:rFonts w:ascii="Arial" w:eastAsia="Times New Roman" w:hAnsi="Arial" w:cs="Arial"/>
                            <w:sz w:val="18"/>
                            <w:szCs w:val="18"/>
                            <w:lang w:eastAsia="en-US"/>
                          </w:rPr>
                          <w:t>highlights</w:t>
                        </w:r>
                      </w:hyperlink>
                      <w:r w:rsidRPr="00A904FF">
                        <w:rPr>
                          <w:rFonts w:ascii="Arial" w:eastAsia="Times New Roman" w:hAnsi="Arial" w:cs="Arial"/>
                          <w:color w:val="000000" w:themeColor="text1"/>
                          <w:sz w:val="18"/>
                          <w:szCs w:val="18"/>
                          <w:lang w:eastAsia="en-US"/>
                        </w:rPr>
                        <w:t xml:space="preserve"> the importance of developing and maintaining an IT asset inventory to help monitor its environment, ensure software is up to date, and effectively  guard against malicious intrusion. OCR also notes that maintenance of an asset inventory also helps organizations comply with the Security Rule’s requirement to “implement policies and procedures that govern the receipt and removal of hardware and electronic medial that contain ePHI into and out of a facility, and the movement of these items within the facility.”</w:t>
                      </w:r>
                    </w:p>
                    <w:p w14:paraId="69BF688E" w14:textId="3F08FB6E" w:rsidR="00D10BC1" w:rsidRDefault="00D10BC1" w:rsidP="00D10BC1">
                      <w:pPr>
                        <w:spacing w:line="276" w:lineRule="auto"/>
                        <w:ind w:left="360"/>
                        <w:rPr>
                          <w:rFonts w:ascii="Arial" w:eastAsia="Times New Roman" w:hAnsi="Arial" w:cs="Arial"/>
                          <w:color w:val="000000" w:themeColor="text1"/>
                          <w:sz w:val="18"/>
                          <w:szCs w:val="18"/>
                          <w:lang w:eastAsia="en-US"/>
                        </w:rPr>
                      </w:pPr>
                    </w:p>
                    <w:p w14:paraId="6F1B0E4A" w14:textId="77777777" w:rsidR="00D10BC1" w:rsidRPr="00D4084B" w:rsidRDefault="00D10BC1" w:rsidP="00D10BC1">
                      <w:pPr>
                        <w:rPr>
                          <w:rFonts w:ascii="Arial" w:eastAsia="Times New Roman" w:hAnsi="Arial" w:cs="Arial"/>
                          <w:color w:val="000000" w:themeColor="text1"/>
                          <w:sz w:val="18"/>
                          <w:szCs w:val="18"/>
                          <w:lang w:eastAsia="en-US"/>
                        </w:rPr>
                      </w:pPr>
                    </w:p>
                    <w:p w14:paraId="7C000CA3" w14:textId="77777777" w:rsidR="00D10BC1" w:rsidRPr="007B59C6" w:rsidRDefault="00D10BC1" w:rsidP="00D10BC1">
                      <w:pPr>
                        <w:pStyle w:val="ListParagraph"/>
                        <w:rPr>
                          <w:rFonts w:ascii="Arial" w:eastAsia="Times New Roman" w:hAnsi="Arial" w:cs="Arial"/>
                          <w:color w:val="000000" w:themeColor="text1"/>
                          <w:sz w:val="18"/>
                          <w:szCs w:val="18"/>
                          <w:lang w:eastAsia="en-US"/>
                        </w:rPr>
                      </w:pPr>
                    </w:p>
                    <w:p w14:paraId="28F1CED0" w14:textId="77777777" w:rsidR="00D10BC1" w:rsidRPr="007B0C57" w:rsidRDefault="00D10BC1" w:rsidP="00D10BC1">
                      <w:pPr>
                        <w:rPr>
                          <w:rFonts w:ascii="Arial" w:eastAsia="Times New Roman" w:hAnsi="Arial" w:cs="Arial"/>
                          <w:color w:val="000000" w:themeColor="text1"/>
                          <w:sz w:val="18"/>
                          <w:szCs w:val="18"/>
                          <w:lang w:eastAsia="en-US"/>
                        </w:rPr>
                      </w:pPr>
                    </w:p>
                    <w:p w14:paraId="5F97D64E" w14:textId="77777777" w:rsidR="00D10BC1" w:rsidRPr="005C7A6D" w:rsidRDefault="00D10BC1" w:rsidP="00D10BC1">
                      <w:pPr>
                        <w:pStyle w:val="ListParagraph"/>
                        <w:spacing w:line="360" w:lineRule="auto"/>
                        <w:ind w:left="360"/>
                        <w:rPr>
                          <w:rFonts w:ascii="Arial" w:eastAsia="Times New Roman" w:hAnsi="Arial" w:cs="Arial"/>
                          <w:color w:val="000000" w:themeColor="text1"/>
                          <w:sz w:val="18"/>
                          <w:szCs w:val="18"/>
                          <w:lang w:eastAsia="en-US"/>
                        </w:rPr>
                      </w:pPr>
                    </w:p>
                  </w:txbxContent>
                </v:textbox>
                <w10:wrap type="square" anchory="page"/>
              </v:shape>
            </w:pict>
          </mc:Fallback>
        </mc:AlternateContent>
      </w:r>
      <w:r w:rsidR="004A3FAC" w:rsidRPr="009E5CED">
        <w:rPr>
          <w:rStyle w:val="Strong"/>
          <w:b/>
          <w:bCs/>
          <w:color w:val="333333"/>
        </w:rPr>
        <w:t>2021 “Affordability” Percentage</w:t>
      </w:r>
      <w:bookmarkEnd w:id="8"/>
    </w:p>
    <w:p w14:paraId="6F41A32E" w14:textId="3C225B5A" w:rsidR="000D2BC5" w:rsidRPr="009E5CED" w:rsidRDefault="00A70AF4" w:rsidP="00062C5A">
      <w:pPr>
        <w:spacing w:line="276" w:lineRule="auto"/>
        <w:rPr>
          <w:rFonts w:ascii="Arial" w:hAnsi="Arial" w:cs="Arial"/>
          <w:color w:val="555555"/>
          <w:sz w:val="20"/>
          <w:szCs w:val="20"/>
          <w:shd w:val="clear" w:color="auto" w:fill="FFFFFF"/>
        </w:rPr>
      </w:pPr>
      <w:r w:rsidRPr="00593C4D">
        <w:rPr>
          <w:noProof/>
        </w:rPr>
        <mc:AlternateContent>
          <mc:Choice Requires="wps">
            <w:drawing>
              <wp:anchor distT="0" distB="0" distL="114300" distR="114300" simplePos="0" relativeHeight="251699200" behindDoc="0" locked="0" layoutInCell="1" allowOverlap="1" wp14:anchorId="0D25D213" wp14:editId="24D26398">
                <wp:simplePos x="0" y="0"/>
                <wp:positionH relativeFrom="column">
                  <wp:posOffset>3481705</wp:posOffset>
                </wp:positionH>
                <wp:positionV relativeFrom="page">
                  <wp:posOffset>685800</wp:posOffset>
                </wp:positionV>
                <wp:extent cx="3008630" cy="8651240"/>
                <wp:effectExtent l="0" t="0" r="1270" b="0"/>
                <wp:wrapSquare wrapText="bothSides"/>
                <wp:docPr id="7" name="Text Box 7"/>
                <wp:cNvGraphicFramePr/>
                <a:graphic xmlns:a="http://schemas.openxmlformats.org/drawingml/2006/main">
                  <a:graphicData uri="http://schemas.microsoft.com/office/word/2010/wordprocessingShape">
                    <wps:wsp>
                      <wps:cNvSpPr txBox="1"/>
                      <wps:spPr>
                        <a:xfrm>
                          <a:off x="0" y="0"/>
                          <a:ext cx="3008630" cy="8651240"/>
                        </a:xfrm>
                        <a:prstGeom prst="rect">
                          <a:avLst/>
                        </a:prstGeom>
                        <a:solidFill>
                          <a:srgbClr val="61ADBF">
                            <a:lumMod val="20000"/>
                            <a:lumOff val="80000"/>
                          </a:srgbClr>
                        </a:solidFill>
                        <a:ln w="6350">
                          <a:noFill/>
                        </a:ln>
                      </wps:spPr>
                      <wps:txbx>
                        <w:txbxContent>
                          <w:p w14:paraId="0175B550" w14:textId="77777777" w:rsidR="00EB6F83" w:rsidRDefault="00EB6F83" w:rsidP="00EB6F83">
                            <w:pPr>
                              <w:pStyle w:val="ListParagraph"/>
                              <w:ind w:left="360"/>
                              <w:rPr>
                                <w:rFonts w:ascii="Arial" w:eastAsia="Times New Roman" w:hAnsi="Arial" w:cs="Arial"/>
                                <w:color w:val="000000" w:themeColor="text1"/>
                                <w:sz w:val="18"/>
                                <w:szCs w:val="18"/>
                                <w:lang w:eastAsia="en-US"/>
                              </w:rPr>
                            </w:pPr>
                          </w:p>
                          <w:p w14:paraId="4840899E" w14:textId="77777777" w:rsidR="00D4084B" w:rsidRPr="004D4130" w:rsidRDefault="00D4084B" w:rsidP="00D4084B">
                            <w:pPr>
                              <w:pStyle w:val="ListParagraph"/>
                              <w:ind w:left="360"/>
                              <w:rPr>
                                <w:rFonts w:ascii="Arial" w:eastAsia="Times New Roman" w:hAnsi="Arial" w:cs="Arial"/>
                                <w:color w:val="000000" w:themeColor="text1"/>
                                <w:sz w:val="18"/>
                                <w:szCs w:val="18"/>
                                <w:lang w:eastAsia="en-US"/>
                              </w:rPr>
                            </w:pPr>
                          </w:p>
                          <w:p w14:paraId="76730C9F" w14:textId="2D3542E7" w:rsidR="00ED0C88" w:rsidRDefault="00EC5E10" w:rsidP="00D4084B">
                            <w:pPr>
                              <w:pStyle w:val="ListParagraph"/>
                              <w:numPr>
                                <w:ilvl w:val="0"/>
                                <w:numId w:val="33"/>
                              </w:numPr>
                              <w:rPr>
                                <w:rFonts w:ascii="Arial" w:eastAsia="Times New Roman" w:hAnsi="Arial" w:cs="Arial"/>
                                <w:color w:val="000000" w:themeColor="text1"/>
                                <w:sz w:val="18"/>
                                <w:szCs w:val="18"/>
                                <w:lang w:eastAsia="en-US"/>
                              </w:rPr>
                            </w:pPr>
                            <w:r w:rsidRPr="00EC5E10">
                              <w:rPr>
                                <w:rFonts w:ascii="Arial" w:eastAsia="Times New Roman" w:hAnsi="Arial" w:cs="Arial"/>
                                <w:color w:val="000000" w:themeColor="text1"/>
                                <w:sz w:val="18"/>
                                <w:szCs w:val="18"/>
                                <w:lang w:eastAsia="en-US"/>
                              </w:rPr>
                              <w:t xml:space="preserve">On July 23, the Department of Health and Human Services (HHS) extended the COVID-19 public health emergency for an additional 90 days (i.e., until October 23, 2020). The public health emergency was originally declared by HHS in late January 2020 and first renewed in April. For more information on the implications of this emergency, and the difference between it and President Trump’s National Emergency, see our blog post </w:t>
                            </w:r>
                            <w:hyperlink r:id="rId42" w:history="1">
                              <w:r w:rsidRPr="00EC5E10">
                                <w:rPr>
                                  <w:rStyle w:val="Hyperlink"/>
                                  <w:rFonts w:ascii="Arial" w:eastAsia="Times New Roman" w:hAnsi="Arial" w:cs="Arial"/>
                                  <w:sz w:val="18"/>
                                  <w:szCs w:val="18"/>
                                  <w:lang w:eastAsia="en-US"/>
                                </w:rPr>
                                <w:t>here</w:t>
                              </w:r>
                            </w:hyperlink>
                            <w:r w:rsidRPr="00EC5E10">
                              <w:rPr>
                                <w:rFonts w:ascii="Arial" w:eastAsia="Times New Roman" w:hAnsi="Arial" w:cs="Arial"/>
                                <w:color w:val="000000" w:themeColor="text1"/>
                                <w:sz w:val="18"/>
                                <w:szCs w:val="18"/>
                                <w:lang w:eastAsia="en-US"/>
                              </w:rPr>
                              <w:t>.</w:t>
                            </w:r>
                          </w:p>
                          <w:p w14:paraId="6F5467B7" w14:textId="77777777" w:rsidR="00C12F10" w:rsidRDefault="00C12F10" w:rsidP="00C12F10">
                            <w:pPr>
                              <w:pStyle w:val="ListParagraph"/>
                              <w:ind w:left="360"/>
                              <w:rPr>
                                <w:rFonts w:ascii="Arial" w:eastAsia="Times New Roman" w:hAnsi="Arial" w:cs="Arial"/>
                                <w:color w:val="000000" w:themeColor="text1"/>
                                <w:sz w:val="18"/>
                                <w:szCs w:val="18"/>
                                <w:lang w:eastAsia="en-US"/>
                              </w:rPr>
                            </w:pPr>
                          </w:p>
                          <w:p w14:paraId="7FCFBE9A" w14:textId="4FB3C870" w:rsidR="00C12F10" w:rsidRDefault="00C12F10" w:rsidP="00D4084B">
                            <w:pPr>
                              <w:pStyle w:val="ListParagraph"/>
                              <w:numPr>
                                <w:ilvl w:val="0"/>
                                <w:numId w:val="33"/>
                              </w:numPr>
                              <w:rPr>
                                <w:rFonts w:ascii="Arial" w:eastAsia="Times New Roman" w:hAnsi="Arial" w:cs="Arial"/>
                                <w:color w:val="000000" w:themeColor="text1"/>
                                <w:sz w:val="18"/>
                                <w:szCs w:val="18"/>
                                <w:lang w:eastAsia="en-US"/>
                              </w:rPr>
                            </w:pPr>
                            <w:r w:rsidRPr="00C12F10">
                              <w:rPr>
                                <w:rFonts w:ascii="Arial" w:eastAsia="Times New Roman" w:hAnsi="Arial" w:cs="Arial"/>
                                <w:color w:val="000000" w:themeColor="text1"/>
                                <w:sz w:val="18"/>
                                <w:szCs w:val="18"/>
                                <w:lang w:eastAsia="en-US"/>
                              </w:rPr>
                              <w:t xml:space="preserve">On September 3, Nelson Mullins Riley &amp; Scarborough LLP issued an </w:t>
                            </w:r>
                            <w:hyperlink r:id="rId43" w:history="1">
                              <w:r w:rsidRPr="00C12F10">
                                <w:rPr>
                                  <w:rStyle w:val="Hyperlink"/>
                                  <w:rFonts w:ascii="Arial" w:eastAsia="Times New Roman" w:hAnsi="Arial" w:cs="Arial"/>
                                  <w:sz w:val="18"/>
                                  <w:szCs w:val="18"/>
                                  <w:lang w:eastAsia="en-US"/>
                                </w:rPr>
                                <w:t>article</w:t>
                              </w:r>
                            </w:hyperlink>
                            <w:r w:rsidRPr="00C12F10">
                              <w:rPr>
                                <w:rFonts w:ascii="Arial" w:eastAsia="Times New Roman" w:hAnsi="Arial" w:cs="Arial"/>
                                <w:color w:val="000000" w:themeColor="text1"/>
                                <w:sz w:val="18"/>
                                <w:szCs w:val="18"/>
                                <w:lang w:eastAsia="en-US"/>
                              </w:rPr>
                              <w:t xml:space="preserve"> describing the ways in which the Covid-19 pandemic may make a telemedicine benefit a more attractive offering for employers. Specifically, the article notes that remote work, the increased need for wellness programs, and relaxed regulatory enforcement with respect to telemedicine programs make the offering more valuable during this pandemic.</w:t>
                            </w:r>
                          </w:p>
                          <w:p w14:paraId="638CDA05" w14:textId="77777777" w:rsidR="00C12F10" w:rsidRPr="00C12F10" w:rsidRDefault="00C12F10" w:rsidP="00C12F10">
                            <w:pPr>
                              <w:pStyle w:val="ListParagraph"/>
                              <w:rPr>
                                <w:rFonts w:ascii="Arial" w:eastAsia="Times New Roman" w:hAnsi="Arial" w:cs="Arial"/>
                                <w:color w:val="000000" w:themeColor="text1"/>
                                <w:sz w:val="18"/>
                                <w:szCs w:val="18"/>
                                <w:lang w:eastAsia="en-US"/>
                              </w:rPr>
                            </w:pPr>
                          </w:p>
                          <w:p w14:paraId="3F1D5684" w14:textId="741252FC" w:rsidR="00C12F10" w:rsidRDefault="00CD2ACF" w:rsidP="00D4084B">
                            <w:pPr>
                              <w:pStyle w:val="ListParagraph"/>
                              <w:numPr>
                                <w:ilvl w:val="0"/>
                                <w:numId w:val="33"/>
                              </w:numPr>
                              <w:rPr>
                                <w:rFonts w:ascii="Arial" w:eastAsia="Times New Roman" w:hAnsi="Arial" w:cs="Arial"/>
                                <w:color w:val="000000" w:themeColor="text1"/>
                                <w:sz w:val="18"/>
                                <w:szCs w:val="18"/>
                                <w:lang w:eastAsia="en-US"/>
                              </w:rPr>
                            </w:pPr>
                            <w:r w:rsidRPr="00CD2ACF">
                              <w:rPr>
                                <w:rFonts w:ascii="Arial" w:eastAsia="Times New Roman" w:hAnsi="Arial" w:cs="Arial"/>
                                <w:color w:val="000000" w:themeColor="text1"/>
                                <w:sz w:val="18"/>
                                <w:szCs w:val="18"/>
                                <w:lang w:eastAsia="en-US"/>
                              </w:rPr>
                              <w:t xml:space="preserve">On September 4, Katie Keith </w:t>
                            </w:r>
                            <w:hyperlink r:id="rId44" w:history="1">
                              <w:r w:rsidRPr="00CD2ACF">
                                <w:rPr>
                                  <w:rStyle w:val="Hyperlink"/>
                                  <w:rFonts w:ascii="Arial" w:eastAsia="Times New Roman" w:hAnsi="Arial" w:cs="Arial"/>
                                  <w:sz w:val="18"/>
                                  <w:szCs w:val="18"/>
                                  <w:lang w:eastAsia="en-US"/>
                                </w:rPr>
                                <w:t>reported</w:t>
                              </w:r>
                            </w:hyperlink>
                            <w:r w:rsidRPr="00CD2ACF">
                              <w:rPr>
                                <w:rFonts w:ascii="Arial" w:eastAsia="Times New Roman" w:hAnsi="Arial" w:cs="Arial"/>
                                <w:color w:val="000000" w:themeColor="text1"/>
                                <w:sz w:val="18"/>
                                <w:szCs w:val="18"/>
                                <w:lang w:eastAsia="en-US"/>
                              </w:rPr>
                              <w:t xml:space="preserve"> in Health Affairs on a new preliminary injunction issued by the U.S. District Court for the District of Columbia against portions a recent OCR final rule. The final rule eliminated certain protections under Section 1557 of the Affordable Care Act (ACA) against discrimination based on gender identity or sexual orientation. This new preliminary injunction not only prevents HHS from enforcing the rule as it relates to sex discrimination; it also prevents HHS from enforcing a separate provision that allows health care providers to claim a religious exemption from Section 1557.</w:t>
                            </w:r>
                          </w:p>
                          <w:p w14:paraId="593CF5BE" w14:textId="77777777" w:rsidR="000E21E5" w:rsidRPr="000E21E5" w:rsidRDefault="000E21E5" w:rsidP="000E21E5">
                            <w:pPr>
                              <w:pStyle w:val="ListParagraph"/>
                              <w:rPr>
                                <w:rFonts w:ascii="Arial" w:eastAsia="Times New Roman" w:hAnsi="Arial" w:cs="Arial"/>
                                <w:color w:val="000000" w:themeColor="text1"/>
                                <w:sz w:val="18"/>
                                <w:szCs w:val="18"/>
                                <w:lang w:eastAsia="en-US"/>
                              </w:rPr>
                            </w:pPr>
                          </w:p>
                          <w:p w14:paraId="7E06782B" w14:textId="50F79BDB" w:rsidR="000E21E5" w:rsidRDefault="000E21E5" w:rsidP="00D4084B">
                            <w:pPr>
                              <w:pStyle w:val="ListParagraph"/>
                              <w:numPr>
                                <w:ilvl w:val="0"/>
                                <w:numId w:val="33"/>
                              </w:numPr>
                              <w:rPr>
                                <w:rFonts w:ascii="Arial" w:eastAsia="Times New Roman" w:hAnsi="Arial" w:cs="Arial"/>
                                <w:color w:val="000000" w:themeColor="text1"/>
                                <w:sz w:val="18"/>
                                <w:szCs w:val="18"/>
                                <w:lang w:eastAsia="en-US"/>
                              </w:rPr>
                            </w:pPr>
                            <w:r w:rsidRPr="000E21E5">
                              <w:rPr>
                                <w:rFonts w:ascii="Arial" w:eastAsia="Times New Roman" w:hAnsi="Arial" w:cs="Arial"/>
                                <w:color w:val="000000" w:themeColor="text1"/>
                                <w:sz w:val="18"/>
                                <w:szCs w:val="18"/>
                                <w:lang w:eastAsia="en-US"/>
                              </w:rPr>
                              <w:t xml:space="preserve">On September 9, the Internal Revenue Service (IRS) issued </w:t>
                            </w:r>
                            <w:hyperlink r:id="rId45" w:history="1">
                              <w:r w:rsidRPr="000E21E5">
                                <w:rPr>
                                  <w:rStyle w:val="Hyperlink"/>
                                  <w:rFonts w:ascii="Arial" w:eastAsia="Times New Roman" w:hAnsi="Arial" w:cs="Arial"/>
                                  <w:sz w:val="18"/>
                                  <w:szCs w:val="18"/>
                                  <w:lang w:eastAsia="en-US"/>
                                </w:rPr>
                                <w:t>Notice 2020-66</w:t>
                              </w:r>
                            </w:hyperlink>
                            <w:r w:rsidRPr="000E21E5">
                              <w:rPr>
                                <w:rFonts w:ascii="Arial" w:eastAsia="Times New Roman" w:hAnsi="Arial" w:cs="Arial"/>
                                <w:color w:val="000000" w:themeColor="text1"/>
                                <w:sz w:val="18"/>
                                <w:szCs w:val="18"/>
                                <w:lang w:eastAsia="en-US"/>
                              </w:rPr>
                              <w:t>, clarifying that Medicaid coverage of Covid-19 testing and diagnostic services under the Families First Act is not considered minimum essential coverage (MEC) and therefore will not interfere with premium tax credit eligibility.</w:t>
                            </w:r>
                          </w:p>
                          <w:p w14:paraId="4A5C8527" w14:textId="77777777" w:rsidR="000E21E5" w:rsidRPr="000E21E5" w:rsidRDefault="000E21E5" w:rsidP="000E21E5">
                            <w:pPr>
                              <w:pStyle w:val="ListParagraph"/>
                              <w:rPr>
                                <w:rFonts w:ascii="Arial" w:eastAsia="Times New Roman" w:hAnsi="Arial" w:cs="Arial"/>
                                <w:color w:val="000000" w:themeColor="text1"/>
                                <w:sz w:val="18"/>
                                <w:szCs w:val="18"/>
                                <w:lang w:eastAsia="en-US"/>
                              </w:rPr>
                            </w:pPr>
                          </w:p>
                          <w:p w14:paraId="46231153" w14:textId="112E1D9F" w:rsidR="000E21E5" w:rsidRDefault="006B313B" w:rsidP="00D4084B">
                            <w:pPr>
                              <w:pStyle w:val="ListParagraph"/>
                              <w:numPr>
                                <w:ilvl w:val="0"/>
                                <w:numId w:val="33"/>
                              </w:numPr>
                              <w:rPr>
                                <w:rFonts w:ascii="Arial" w:eastAsia="Times New Roman" w:hAnsi="Arial" w:cs="Arial"/>
                                <w:color w:val="000000" w:themeColor="text1"/>
                                <w:sz w:val="18"/>
                                <w:szCs w:val="18"/>
                                <w:lang w:eastAsia="en-US"/>
                              </w:rPr>
                            </w:pPr>
                            <w:r>
                              <w:rPr>
                                <w:rFonts w:ascii="Arial" w:eastAsia="Times New Roman" w:hAnsi="Arial" w:cs="Arial"/>
                                <w:color w:val="000000" w:themeColor="text1"/>
                                <w:sz w:val="18"/>
                                <w:szCs w:val="18"/>
                                <w:lang w:eastAsia="en-US"/>
                              </w:rPr>
                              <w:t>In August,</w:t>
                            </w:r>
                            <w:r w:rsidR="00875550" w:rsidRPr="00875550">
                              <w:rPr>
                                <w:rFonts w:ascii="Arial" w:eastAsia="Times New Roman" w:hAnsi="Arial" w:cs="Arial"/>
                                <w:color w:val="000000" w:themeColor="text1"/>
                                <w:sz w:val="18"/>
                                <w:szCs w:val="18"/>
                                <w:lang w:eastAsia="en-US"/>
                              </w:rPr>
                              <w:t xml:space="preserve"> a New York District Court </w:t>
                            </w:r>
                            <w:hyperlink r:id="rId46" w:history="1">
                              <w:r w:rsidR="00875550" w:rsidRPr="006B313B">
                                <w:rPr>
                                  <w:rStyle w:val="Hyperlink"/>
                                  <w:rFonts w:ascii="Arial" w:eastAsia="Times New Roman" w:hAnsi="Arial" w:cs="Arial"/>
                                  <w:sz w:val="18"/>
                                  <w:szCs w:val="18"/>
                                  <w:lang w:eastAsia="en-US"/>
                                </w:rPr>
                                <w:t>vacated</w:t>
                              </w:r>
                            </w:hyperlink>
                            <w:r w:rsidR="00875550" w:rsidRPr="00875550">
                              <w:rPr>
                                <w:rFonts w:ascii="Arial" w:eastAsia="Times New Roman" w:hAnsi="Arial" w:cs="Arial"/>
                                <w:color w:val="000000" w:themeColor="text1"/>
                                <w:sz w:val="18"/>
                                <w:szCs w:val="18"/>
                                <w:lang w:eastAsia="en-US"/>
                              </w:rPr>
                              <w:t xml:space="preserve"> four (4) provisions of the Department of Labor’s (DOL’s) final rule regarding the Families First Coronavirus Relief Act (FFCRA). In response, the DOL recently </w:t>
                            </w:r>
                            <w:r w:rsidR="00875550" w:rsidRPr="000B23AB">
                              <w:rPr>
                                <w:rFonts w:ascii="Arial" w:eastAsia="Times New Roman" w:hAnsi="Arial" w:cs="Arial"/>
                                <w:color w:val="000000" w:themeColor="text1"/>
                                <w:sz w:val="18"/>
                                <w:szCs w:val="18"/>
                                <w:lang w:eastAsia="en-US"/>
                              </w:rPr>
                              <w:t>issued</w:t>
                            </w:r>
                            <w:r w:rsidR="00875550" w:rsidRPr="00875550">
                              <w:rPr>
                                <w:rFonts w:ascii="Arial" w:eastAsia="Times New Roman" w:hAnsi="Arial" w:cs="Arial"/>
                                <w:color w:val="000000" w:themeColor="text1"/>
                                <w:sz w:val="18"/>
                                <w:szCs w:val="18"/>
                                <w:lang w:eastAsia="en-US"/>
                              </w:rPr>
                              <w:t xml:space="preserve"> </w:t>
                            </w:r>
                            <w:hyperlink r:id="rId47" w:history="1">
                              <w:r w:rsidR="00875550" w:rsidRPr="000B23AB">
                                <w:rPr>
                                  <w:rStyle w:val="Hyperlink"/>
                                  <w:rFonts w:ascii="Arial" w:eastAsia="Times New Roman" w:hAnsi="Arial" w:cs="Arial"/>
                                  <w:sz w:val="18"/>
                                  <w:szCs w:val="18"/>
                                  <w:lang w:eastAsia="en-US"/>
                                </w:rPr>
                                <w:t>revisions and clarifications</w:t>
                              </w:r>
                            </w:hyperlink>
                            <w:r w:rsidR="00875550" w:rsidRPr="00875550">
                              <w:rPr>
                                <w:rFonts w:ascii="Arial" w:eastAsia="Times New Roman" w:hAnsi="Arial" w:cs="Arial"/>
                                <w:color w:val="000000" w:themeColor="text1"/>
                                <w:sz w:val="18"/>
                                <w:szCs w:val="18"/>
                                <w:lang w:eastAsia="en-US"/>
                              </w:rPr>
                              <w:t xml:space="preserve"> to its rule. Littler provides a summary of the revised rule’s key provisions </w:t>
                            </w:r>
                            <w:hyperlink r:id="rId48" w:history="1">
                              <w:r w:rsidR="00875550" w:rsidRPr="000B23AB">
                                <w:rPr>
                                  <w:rStyle w:val="Hyperlink"/>
                                  <w:rFonts w:ascii="Arial" w:eastAsia="Times New Roman" w:hAnsi="Arial" w:cs="Arial"/>
                                  <w:sz w:val="18"/>
                                  <w:szCs w:val="18"/>
                                  <w:lang w:eastAsia="en-US"/>
                                </w:rPr>
                                <w:t>here</w:t>
                              </w:r>
                            </w:hyperlink>
                            <w:r w:rsidR="00875550" w:rsidRPr="00875550">
                              <w:rPr>
                                <w:rFonts w:ascii="Arial" w:eastAsia="Times New Roman" w:hAnsi="Arial" w:cs="Arial"/>
                                <w:color w:val="000000" w:themeColor="text1"/>
                                <w:sz w:val="18"/>
                                <w:szCs w:val="18"/>
                                <w:lang w:eastAsia="en-US"/>
                              </w:rPr>
                              <w:t>.</w:t>
                            </w:r>
                          </w:p>
                          <w:p w14:paraId="7B90DC14" w14:textId="77777777" w:rsidR="00D4084B" w:rsidRPr="007B0C57" w:rsidRDefault="00D4084B" w:rsidP="00D4084B">
                            <w:pPr>
                              <w:rPr>
                                <w:rFonts w:ascii="Arial" w:eastAsia="Times New Roman" w:hAnsi="Arial" w:cs="Arial"/>
                                <w:color w:val="000000" w:themeColor="text1"/>
                                <w:sz w:val="18"/>
                                <w:szCs w:val="18"/>
                                <w:lang w:eastAsia="en-US"/>
                              </w:rPr>
                            </w:pPr>
                          </w:p>
                          <w:p w14:paraId="6BAC03DB" w14:textId="77777777" w:rsidR="00D4084B" w:rsidRPr="005C7A6D" w:rsidRDefault="00D4084B" w:rsidP="00D4084B">
                            <w:pPr>
                              <w:pStyle w:val="ListParagraph"/>
                              <w:spacing w:line="360" w:lineRule="auto"/>
                              <w:ind w:left="360"/>
                              <w:rPr>
                                <w:rFonts w:ascii="Arial" w:eastAsia="Times New Roman" w:hAnsi="Arial" w:cs="Arial"/>
                                <w:color w:val="000000" w:themeColor="text1"/>
                                <w:sz w:val="18"/>
                                <w:szCs w:val="18"/>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5D213" id="Text Box 7" o:spid="_x0000_s1030" type="#_x0000_t202" style="position:absolute;margin-left:274.15pt;margin-top:54pt;width:236.9pt;height:68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" fillcolor="#dfeff2" stroked="f" strokeweight=".5pt">
                <v:textbox>
                  <w:txbxContent>
                    <w:p w14:paraId="0175B550" w14:textId="77777777" w:rsidR="00EB6F83" w:rsidRDefault="00EB6F83" w:rsidP="00EB6F83">
                      <w:pPr>
                        <w:pStyle w:val="ListParagraph"/>
                        <w:ind w:left="360"/>
                        <w:rPr>
                          <w:rFonts w:ascii="Arial" w:eastAsia="Times New Roman" w:hAnsi="Arial" w:cs="Arial"/>
                          <w:color w:val="000000" w:themeColor="text1"/>
                          <w:sz w:val="18"/>
                          <w:szCs w:val="18"/>
                          <w:lang w:eastAsia="en-US"/>
                        </w:rPr>
                      </w:pPr>
                    </w:p>
                    <w:p w14:paraId="4840899E" w14:textId="77777777" w:rsidR="00D4084B" w:rsidRPr="004D4130" w:rsidRDefault="00D4084B" w:rsidP="00D4084B">
                      <w:pPr>
                        <w:pStyle w:val="ListParagraph"/>
                        <w:ind w:left="360"/>
                        <w:rPr>
                          <w:rFonts w:ascii="Arial" w:eastAsia="Times New Roman" w:hAnsi="Arial" w:cs="Arial"/>
                          <w:color w:val="000000" w:themeColor="text1"/>
                          <w:sz w:val="18"/>
                          <w:szCs w:val="18"/>
                          <w:lang w:eastAsia="en-US"/>
                        </w:rPr>
                      </w:pPr>
                    </w:p>
                    <w:p w14:paraId="76730C9F" w14:textId="2D3542E7" w:rsidR="00ED0C88" w:rsidRDefault="00EC5E10" w:rsidP="00D4084B">
                      <w:pPr>
                        <w:pStyle w:val="ListParagraph"/>
                        <w:numPr>
                          <w:ilvl w:val="0"/>
                          <w:numId w:val="33"/>
                        </w:numPr>
                        <w:rPr>
                          <w:rFonts w:ascii="Arial" w:eastAsia="Times New Roman" w:hAnsi="Arial" w:cs="Arial"/>
                          <w:color w:val="000000" w:themeColor="text1"/>
                          <w:sz w:val="18"/>
                          <w:szCs w:val="18"/>
                          <w:lang w:eastAsia="en-US"/>
                        </w:rPr>
                      </w:pPr>
                      <w:r w:rsidRPr="00EC5E10">
                        <w:rPr>
                          <w:rFonts w:ascii="Arial" w:eastAsia="Times New Roman" w:hAnsi="Arial" w:cs="Arial"/>
                          <w:color w:val="000000" w:themeColor="text1"/>
                          <w:sz w:val="18"/>
                          <w:szCs w:val="18"/>
                          <w:lang w:eastAsia="en-US"/>
                        </w:rPr>
                        <w:t xml:space="preserve">On July 23, the Department of Health and Human Services (HHS) extended the COVID-19 public health emergency for an additional 90 days (i.e., until October 23, 2020). The public health emergency was originally declared by HHS in late January 2020 and first renewed in April. For more information on the implications of this emergency, and the difference between it and President Trump’s National Emergency, see our blog post </w:t>
                      </w:r>
                      <w:hyperlink r:id="rId49" w:history="1">
                        <w:r w:rsidRPr="00EC5E10">
                          <w:rPr>
                            <w:rStyle w:val="Hyperlink"/>
                            <w:rFonts w:ascii="Arial" w:eastAsia="Times New Roman" w:hAnsi="Arial" w:cs="Arial"/>
                            <w:sz w:val="18"/>
                            <w:szCs w:val="18"/>
                            <w:lang w:eastAsia="en-US"/>
                          </w:rPr>
                          <w:t>here</w:t>
                        </w:r>
                      </w:hyperlink>
                      <w:r w:rsidRPr="00EC5E10">
                        <w:rPr>
                          <w:rFonts w:ascii="Arial" w:eastAsia="Times New Roman" w:hAnsi="Arial" w:cs="Arial"/>
                          <w:color w:val="000000" w:themeColor="text1"/>
                          <w:sz w:val="18"/>
                          <w:szCs w:val="18"/>
                          <w:lang w:eastAsia="en-US"/>
                        </w:rPr>
                        <w:t>.</w:t>
                      </w:r>
                    </w:p>
                    <w:p w14:paraId="6F5467B7" w14:textId="77777777" w:rsidR="00C12F10" w:rsidRDefault="00C12F10" w:rsidP="00C12F10">
                      <w:pPr>
                        <w:pStyle w:val="ListParagraph"/>
                        <w:ind w:left="360"/>
                        <w:rPr>
                          <w:rFonts w:ascii="Arial" w:eastAsia="Times New Roman" w:hAnsi="Arial" w:cs="Arial"/>
                          <w:color w:val="000000" w:themeColor="text1"/>
                          <w:sz w:val="18"/>
                          <w:szCs w:val="18"/>
                          <w:lang w:eastAsia="en-US"/>
                        </w:rPr>
                      </w:pPr>
                    </w:p>
                    <w:p w14:paraId="7FCFBE9A" w14:textId="4FB3C870" w:rsidR="00C12F10" w:rsidRDefault="00C12F10" w:rsidP="00D4084B">
                      <w:pPr>
                        <w:pStyle w:val="ListParagraph"/>
                        <w:numPr>
                          <w:ilvl w:val="0"/>
                          <w:numId w:val="33"/>
                        </w:numPr>
                        <w:rPr>
                          <w:rFonts w:ascii="Arial" w:eastAsia="Times New Roman" w:hAnsi="Arial" w:cs="Arial"/>
                          <w:color w:val="000000" w:themeColor="text1"/>
                          <w:sz w:val="18"/>
                          <w:szCs w:val="18"/>
                          <w:lang w:eastAsia="en-US"/>
                        </w:rPr>
                      </w:pPr>
                      <w:r w:rsidRPr="00C12F10">
                        <w:rPr>
                          <w:rFonts w:ascii="Arial" w:eastAsia="Times New Roman" w:hAnsi="Arial" w:cs="Arial"/>
                          <w:color w:val="000000" w:themeColor="text1"/>
                          <w:sz w:val="18"/>
                          <w:szCs w:val="18"/>
                          <w:lang w:eastAsia="en-US"/>
                        </w:rPr>
                        <w:t xml:space="preserve">On September 3, Nelson Mullins Riley &amp; Scarborough LLP issued an </w:t>
                      </w:r>
                      <w:hyperlink r:id="rId50" w:history="1">
                        <w:r w:rsidRPr="00C12F10">
                          <w:rPr>
                            <w:rStyle w:val="Hyperlink"/>
                            <w:rFonts w:ascii="Arial" w:eastAsia="Times New Roman" w:hAnsi="Arial" w:cs="Arial"/>
                            <w:sz w:val="18"/>
                            <w:szCs w:val="18"/>
                            <w:lang w:eastAsia="en-US"/>
                          </w:rPr>
                          <w:t>article</w:t>
                        </w:r>
                      </w:hyperlink>
                      <w:r w:rsidRPr="00C12F10">
                        <w:rPr>
                          <w:rFonts w:ascii="Arial" w:eastAsia="Times New Roman" w:hAnsi="Arial" w:cs="Arial"/>
                          <w:color w:val="000000" w:themeColor="text1"/>
                          <w:sz w:val="18"/>
                          <w:szCs w:val="18"/>
                          <w:lang w:eastAsia="en-US"/>
                        </w:rPr>
                        <w:t xml:space="preserve"> describing the ways in which the Covid-19 pandemic may make a telemedicine benefit a more attractive offering for employers. Specifically, the article notes that remote work, the increased need for wellness programs, and relaxed regulatory enforcement with respect to telemedicine programs make the offering more valuable during this pandemic.</w:t>
                      </w:r>
                    </w:p>
                    <w:p w14:paraId="638CDA05" w14:textId="77777777" w:rsidR="00C12F10" w:rsidRPr="00C12F10" w:rsidRDefault="00C12F10" w:rsidP="00C12F10">
                      <w:pPr>
                        <w:pStyle w:val="ListParagraph"/>
                        <w:rPr>
                          <w:rFonts w:ascii="Arial" w:eastAsia="Times New Roman" w:hAnsi="Arial" w:cs="Arial"/>
                          <w:color w:val="000000" w:themeColor="text1"/>
                          <w:sz w:val="18"/>
                          <w:szCs w:val="18"/>
                          <w:lang w:eastAsia="en-US"/>
                        </w:rPr>
                      </w:pPr>
                    </w:p>
                    <w:p w14:paraId="3F1D5684" w14:textId="741252FC" w:rsidR="00C12F10" w:rsidRDefault="00CD2ACF" w:rsidP="00D4084B">
                      <w:pPr>
                        <w:pStyle w:val="ListParagraph"/>
                        <w:numPr>
                          <w:ilvl w:val="0"/>
                          <w:numId w:val="33"/>
                        </w:numPr>
                        <w:rPr>
                          <w:rFonts w:ascii="Arial" w:eastAsia="Times New Roman" w:hAnsi="Arial" w:cs="Arial"/>
                          <w:color w:val="000000" w:themeColor="text1"/>
                          <w:sz w:val="18"/>
                          <w:szCs w:val="18"/>
                          <w:lang w:eastAsia="en-US"/>
                        </w:rPr>
                      </w:pPr>
                      <w:r w:rsidRPr="00CD2ACF">
                        <w:rPr>
                          <w:rFonts w:ascii="Arial" w:eastAsia="Times New Roman" w:hAnsi="Arial" w:cs="Arial"/>
                          <w:color w:val="000000" w:themeColor="text1"/>
                          <w:sz w:val="18"/>
                          <w:szCs w:val="18"/>
                          <w:lang w:eastAsia="en-US"/>
                        </w:rPr>
                        <w:t xml:space="preserve">On September 4, Katie Keith </w:t>
                      </w:r>
                      <w:hyperlink r:id="rId51" w:history="1">
                        <w:r w:rsidRPr="00CD2ACF">
                          <w:rPr>
                            <w:rStyle w:val="Hyperlink"/>
                            <w:rFonts w:ascii="Arial" w:eastAsia="Times New Roman" w:hAnsi="Arial" w:cs="Arial"/>
                            <w:sz w:val="18"/>
                            <w:szCs w:val="18"/>
                            <w:lang w:eastAsia="en-US"/>
                          </w:rPr>
                          <w:t>reported</w:t>
                        </w:r>
                      </w:hyperlink>
                      <w:r w:rsidRPr="00CD2ACF">
                        <w:rPr>
                          <w:rFonts w:ascii="Arial" w:eastAsia="Times New Roman" w:hAnsi="Arial" w:cs="Arial"/>
                          <w:color w:val="000000" w:themeColor="text1"/>
                          <w:sz w:val="18"/>
                          <w:szCs w:val="18"/>
                          <w:lang w:eastAsia="en-US"/>
                        </w:rPr>
                        <w:t xml:space="preserve"> in Health Affairs on a new preliminary injunction issued by the U.S. District Court for the District of Columbia against portions a recent OCR final rule. The final rule eliminated certain protections under Section 1557 of the Affordable Care Act (ACA) against discrimination based on gender identity or sexual orientation. This new preliminary injunction not only prevents HHS from enforcing the rule as it relates to sex discrimination; it also prevents HHS from enforcing a separate provision that allows health care providers to claim a religious exemption from Section 1557.</w:t>
                      </w:r>
                    </w:p>
                    <w:p w14:paraId="593CF5BE" w14:textId="77777777" w:rsidR="000E21E5" w:rsidRPr="000E21E5" w:rsidRDefault="000E21E5" w:rsidP="000E21E5">
                      <w:pPr>
                        <w:pStyle w:val="ListParagraph"/>
                        <w:rPr>
                          <w:rFonts w:ascii="Arial" w:eastAsia="Times New Roman" w:hAnsi="Arial" w:cs="Arial"/>
                          <w:color w:val="000000" w:themeColor="text1"/>
                          <w:sz w:val="18"/>
                          <w:szCs w:val="18"/>
                          <w:lang w:eastAsia="en-US"/>
                        </w:rPr>
                      </w:pPr>
                    </w:p>
                    <w:p w14:paraId="7E06782B" w14:textId="50F79BDB" w:rsidR="000E21E5" w:rsidRDefault="000E21E5" w:rsidP="00D4084B">
                      <w:pPr>
                        <w:pStyle w:val="ListParagraph"/>
                        <w:numPr>
                          <w:ilvl w:val="0"/>
                          <w:numId w:val="33"/>
                        </w:numPr>
                        <w:rPr>
                          <w:rFonts w:ascii="Arial" w:eastAsia="Times New Roman" w:hAnsi="Arial" w:cs="Arial"/>
                          <w:color w:val="000000" w:themeColor="text1"/>
                          <w:sz w:val="18"/>
                          <w:szCs w:val="18"/>
                          <w:lang w:eastAsia="en-US"/>
                        </w:rPr>
                      </w:pPr>
                      <w:r w:rsidRPr="000E21E5">
                        <w:rPr>
                          <w:rFonts w:ascii="Arial" w:eastAsia="Times New Roman" w:hAnsi="Arial" w:cs="Arial"/>
                          <w:color w:val="000000" w:themeColor="text1"/>
                          <w:sz w:val="18"/>
                          <w:szCs w:val="18"/>
                          <w:lang w:eastAsia="en-US"/>
                        </w:rPr>
                        <w:t xml:space="preserve">On September 9, the Internal Revenue Service (IRS) issued </w:t>
                      </w:r>
                      <w:hyperlink r:id="rId52" w:history="1">
                        <w:r w:rsidRPr="000E21E5">
                          <w:rPr>
                            <w:rStyle w:val="Hyperlink"/>
                            <w:rFonts w:ascii="Arial" w:eastAsia="Times New Roman" w:hAnsi="Arial" w:cs="Arial"/>
                            <w:sz w:val="18"/>
                            <w:szCs w:val="18"/>
                            <w:lang w:eastAsia="en-US"/>
                          </w:rPr>
                          <w:t>Notice 2020-66</w:t>
                        </w:r>
                      </w:hyperlink>
                      <w:r w:rsidRPr="000E21E5">
                        <w:rPr>
                          <w:rFonts w:ascii="Arial" w:eastAsia="Times New Roman" w:hAnsi="Arial" w:cs="Arial"/>
                          <w:color w:val="000000" w:themeColor="text1"/>
                          <w:sz w:val="18"/>
                          <w:szCs w:val="18"/>
                          <w:lang w:eastAsia="en-US"/>
                        </w:rPr>
                        <w:t>, clarifying that Medicaid coverage of Covid-19 testing and diagnostic services under the Families First Act is not considered minimum essential coverage (MEC) and therefore will not interfere with premium tax credit eligibility.</w:t>
                      </w:r>
                    </w:p>
                    <w:p w14:paraId="4A5C8527" w14:textId="77777777" w:rsidR="000E21E5" w:rsidRPr="000E21E5" w:rsidRDefault="000E21E5" w:rsidP="000E21E5">
                      <w:pPr>
                        <w:pStyle w:val="ListParagraph"/>
                        <w:rPr>
                          <w:rFonts w:ascii="Arial" w:eastAsia="Times New Roman" w:hAnsi="Arial" w:cs="Arial"/>
                          <w:color w:val="000000" w:themeColor="text1"/>
                          <w:sz w:val="18"/>
                          <w:szCs w:val="18"/>
                          <w:lang w:eastAsia="en-US"/>
                        </w:rPr>
                      </w:pPr>
                    </w:p>
                    <w:p w14:paraId="46231153" w14:textId="112E1D9F" w:rsidR="000E21E5" w:rsidRDefault="006B313B" w:rsidP="00D4084B">
                      <w:pPr>
                        <w:pStyle w:val="ListParagraph"/>
                        <w:numPr>
                          <w:ilvl w:val="0"/>
                          <w:numId w:val="33"/>
                        </w:numPr>
                        <w:rPr>
                          <w:rFonts w:ascii="Arial" w:eastAsia="Times New Roman" w:hAnsi="Arial" w:cs="Arial"/>
                          <w:color w:val="000000" w:themeColor="text1"/>
                          <w:sz w:val="18"/>
                          <w:szCs w:val="18"/>
                          <w:lang w:eastAsia="en-US"/>
                        </w:rPr>
                      </w:pPr>
                      <w:r>
                        <w:rPr>
                          <w:rFonts w:ascii="Arial" w:eastAsia="Times New Roman" w:hAnsi="Arial" w:cs="Arial"/>
                          <w:color w:val="000000" w:themeColor="text1"/>
                          <w:sz w:val="18"/>
                          <w:szCs w:val="18"/>
                          <w:lang w:eastAsia="en-US"/>
                        </w:rPr>
                        <w:t>In August,</w:t>
                      </w:r>
                      <w:r w:rsidR="00875550" w:rsidRPr="00875550">
                        <w:rPr>
                          <w:rFonts w:ascii="Arial" w:eastAsia="Times New Roman" w:hAnsi="Arial" w:cs="Arial"/>
                          <w:color w:val="000000" w:themeColor="text1"/>
                          <w:sz w:val="18"/>
                          <w:szCs w:val="18"/>
                          <w:lang w:eastAsia="en-US"/>
                        </w:rPr>
                        <w:t xml:space="preserve"> a New York District Court </w:t>
                      </w:r>
                      <w:hyperlink r:id="rId53" w:history="1">
                        <w:r w:rsidR="00875550" w:rsidRPr="006B313B">
                          <w:rPr>
                            <w:rStyle w:val="Hyperlink"/>
                            <w:rFonts w:ascii="Arial" w:eastAsia="Times New Roman" w:hAnsi="Arial" w:cs="Arial"/>
                            <w:sz w:val="18"/>
                            <w:szCs w:val="18"/>
                            <w:lang w:eastAsia="en-US"/>
                          </w:rPr>
                          <w:t>vacated</w:t>
                        </w:r>
                      </w:hyperlink>
                      <w:r w:rsidR="00875550" w:rsidRPr="00875550">
                        <w:rPr>
                          <w:rFonts w:ascii="Arial" w:eastAsia="Times New Roman" w:hAnsi="Arial" w:cs="Arial"/>
                          <w:color w:val="000000" w:themeColor="text1"/>
                          <w:sz w:val="18"/>
                          <w:szCs w:val="18"/>
                          <w:lang w:eastAsia="en-US"/>
                        </w:rPr>
                        <w:t xml:space="preserve"> four (4) provisions of the Department of Labor’s (DOL’s) final rule regarding the Families First Coronavirus Relief Act (FFCRA). In response, the DOL recently </w:t>
                      </w:r>
                      <w:r w:rsidR="00875550" w:rsidRPr="000B23AB">
                        <w:rPr>
                          <w:rFonts w:ascii="Arial" w:eastAsia="Times New Roman" w:hAnsi="Arial" w:cs="Arial"/>
                          <w:color w:val="000000" w:themeColor="text1"/>
                          <w:sz w:val="18"/>
                          <w:szCs w:val="18"/>
                          <w:lang w:eastAsia="en-US"/>
                        </w:rPr>
                        <w:t>issued</w:t>
                      </w:r>
                      <w:r w:rsidR="00875550" w:rsidRPr="00875550">
                        <w:rPr>
                          <w:rFonts w:ascii="Arial" w:eastAsia="Times New Roman" w:hAnsi="Arial" w:cs="Arial"/>
                          <w:color w:val="000000" w:themeColor="text1"/>
                          <w:sz w:val="18"/>
                          <w:szCs w:val="18"/>
                          <w:lang w:eastAsia="en-US"/>
                        </w:rPr>
                        <w:t xml:space="preserve"> </w:t>
                      </w:r>
                      <w:hyperlink r:id="rId54" w:history="1">
                        <w:r w:rsidR="00875550" w:rsidRPr="000B23AB">
                          <w:rPr>
                            <w:rStyle w:val="Hyperlink"/>
                            <w:rFonts w:ascii="Arial" w:eastAsia="Times New Roman" w:hAnsi="Arial" w:cs="Arial"/>
                            <w:sz w:val="18"/>
                            <w:szCs w:val="18"/>
                            <w:lang w:eastAsia="en-US"/>
                          </w:rPr>
                          <w:t>revisions and clarifications</w:t>
                        </w:r>
                      </w:hyperlink>
                      <w:r w:rsidR="00875550" w:rsidRPr="00875550">
                        <w:rPr>
                          <w:rFonts w:ascii="Arial" w:eastAsia="Times New Roman" w:hAnsi="Arial" w:cs="Arial"/>
                          <w:color w:val="000000" w:themeColor="text1"/>
                          <w:sz w:val="18"/>
                          <w:szCs w:val="18"/>
                          <w:lang w:eastAsia="en-US"/>
                        </w:rPr>
                        <w:t xml:space="preserve"> to its rule. Littler provides a summary of the revised rule’s key provisions </w:t>
                      </w:r>
                      <w:hyperlink r:id="rId55" w:history="1">
                        <w:r w:rsidR="00875550" w:rsidRPr="000B23AB">
                          <w:rPr>
                            <w:rStyle w:val="Hyperlink"/>
                            <w:rFonts w:ascii="Arial" w:eastAsia="Times New Roman" w:hAnsi="Arial" w:cs="Arial"/>
                            <w:sz w:val="18"/>
                            <w:szCs w:val="18"/>
                            <w:lang w:eastAsia="en-US"/>
                          </w:rPr>
                          <w:t>here</w:t>
                        </w:r>
                      </w:hyperlink>
                      <w:r w:rsidR="00875550" w:rsidRPr="00875550">
                        <w:rPr>
                          <w:rFonts w:ascii="Arial" w:eastAsia="Times New Roman" w:hAnsi="Arial" w:cs="Arial"/>
                          <w:color w:val="000000" w:themeColor="text1"/>
                          <w:sz w:val="18"/>
                          <w:szCs w:val="18"/>
                          <w:lang w:eastAsia="en-US"/>
                        </w:rPr>
                        <w:t>.</w:t>
                      </w:r>
                    </w:p>
                    <w:p w14:paraId="7B90DC14" w14:textId="77777777" w:rsidR="00D4084B" w:rsidRPr="007B0C57" w:rsidRDefault="00D4084B" w:rsidP="00D4084B">
                      <w:pPr>
                        <w:rPr>
                          <w:rFonts w:ascii="Arial" w:eastAsia="Times New Roman" w:hAnsi="Arial" w:cs="Arial"/>
                          <w:color w:val="000000" w:themeColor="text1"/>
                          <w:sz w:val="18"/>
                          <w:szCs w:val="18"/>
                          <w:lang w:eastAsia="en-US"/>
                        </w:rPr>
                      </w:pPr>
                    </w:p>
                    <w:p w14:paraId="6BAC03DB" w14:textId="77777777" w:rsidR="00D4084B" w:rsidRPr="005C7A6D" w:rsidRDefault="00D4084B" w:rsidP="00D4084B">
                      <w:pPr>
                        <w:pStyle w:val="ListParagraph"/>
                        <w:spacing w:line="360" w:lineRule="auto"/>
                        <w:ind w:left="360"/>
                        <w:rPr>
                          <w:rFonts w:ascii="Arial" w:eastAsia="Times New Roman" w:hAnsi="Arial" w:cs="Arial"/>
                          <w:color w:val="000000" w:themeColor="text1"/>
                          <w:sz w:val="18"/>
                          <w:szCs w:val="18"/>
                          <w:lang w:eastAsia="en-US"/>
                        </w:rPr>
                      </w:pPr>
                    </w:p>
                  </w:txbxContent>
                </v:textbox>
                <w10:wrap type="square" anchory="page"/>
              </v:shape>
            </w:pict>
          </mc:Fallback>
        </mc:AlternateContent>
      </w:r>
      <w:r w:rsidR="002A0B57" w:rsidRPr="009E5CED">
        <w:rPr>
          <w:rFonts w:ascii="Arial" w:hAnsi="Arial" w:cs="Arial"/>
          <w:color w:val="555555"/>
          <w:sz w:val="20"/>
          <w:szCs w:val="20"/>
          <w:shd w:val="clear" w:color="auto" w:fill="FFFFFF"/>
        </w:rPr>
        <w:t>.</w:t>
      </w:r>
    </w:p>
    <w:p w14:paraId="77EF0359" w14:textId="17BF986B" w:rsidR="002A0B57" w:rsidRPr="009E5CED" w:rsidRDefault="002A0B57" w:rsidP="00062C5A">
      <w:pPr>
        <w:spacing w:line="276" w:lineRule="auto"/>
        <w:rPr>
          <w:rFonts w:ascii="Arial" w:hAnsi="Arial" w:cs="Arial"/>
          <w:color w:val="555555"/>
          <w:sz w:val="20"/>
          <w:szCs w:val="20"/>
          <w:shd w:val="clear" w:color="auto" w:fill="FFFFFF"/>
        </w:rPr>
      </w:pPr>
    </w:p>
    <w:p w14:paraId="390BD513" w14:textId="7C60569F" w:rsidR="00576F96" w:rsidRDefault="002A0B57" w:rsidP="009010CA">
      <w:pPr>
        <w:spacing w:line="276" w:lineRule="auto"/>
        <w:rPr>
          <w:rFonts w:ascii="Arial" w:hAnsi="Arial" w:cs="Arial"/>
          <w:color w:val="555555"/>
          <w:sz w:val="20"/>
          <w:szCs w:val="20"/>
          <w:shd w:val="clear" w:color="auto" w:fill="FFFFFF"/>
        </w:rPr>
      </w:pPr>
      <w:r w:rsidRPr="009E5CED">
        <w:rPr>
          <w:rFonts w:ascii="Arial" w:hAnsi="Arial" w:cs="Arial"/>
          <w:color w:val="555555"/>
          <w:sz w:val="20"/>
          <w:szCs w:val="20"/>
          <w:shd w:val="clear" w:color="auto" w:fill="FFFFFF"/>
        </w:rPr>
        <w:t xml:space="preserve">More here: </w:t>
      </w:r>
      <w:hyperlink r:id="rId56" w:history="1">
        <w:r w:rsidRPr="009E5CED">
          <w:rPr>
            <w:rStyle w:val="Hyperlink"/>
            <w:rFonts w:ascii="Arial" w:hAnsi="Arial" w:cs="Arial"/>
            <w:sz w:val="20"/>
            <w:szCs w:val="20"/>
            <w:shd w:val="clear" w:color="auto" w:fill="FFFFFF"/>
          </w:rPr>
          <w:t>https://benefitcomply.com/2021-affordability-percentage/</w:t>
        </w:r>
      </w:hyperlink>
      <w:r w:rsidR="00D4084B">
        <w:rPr>
          <w:rFonts w:ascii="Arial" w:hAnsi="Arial" w:cs="Arial"/>
          <w:color w:val="555555"/>
          <w:sz w:val="20"/>
          <w:szCs w:val="20"/>
          <w:shd w:val="clear" w:color="auto" w:fill="FFFFFF"/>
        </w:rPr>
        <w:t xml:space="preserve"> </w:t>
      </w:r>
    </w:p>
    <w:p w14:paraId="45367346" w14:textId="77777777" w:rsidR="009010CA" w:rsidRPr="009E5CED" w:rsidRDefault="009010CA" w:rsidP="009010CA">
      <w:pPr>
        <w:spacing w:line="276" w:lineRule="auto"/>
        <w:rPr>
          <w:rFonts w:ascii="Arial" w:hAnsi="Arial" w:cs="Arial"/>
          <w:color w:val="555555"/>
          <w:sz w:val="20"/>
          <w:szCs w:val="20"/>
          <w:shd w:val="clear" w:color="auto" w:fill="FFFFFF"/>
        </w:rPr>
      </w:pPr>
    </w:p>
    <w:p w14:paraId="2384E51D" w14:textId="77777777" w:rsidR="00576F96" w:rsidRPr="009E5CED" w:rsidRDefault="00576F96" w:rsidP="009E5CED">
      <w:pPr>
        <w:pStyle w:val="Heading2"/>
        <w:numPr>
          <w:ilvl w:val="0"/>
          <w:numId w:val="0"/>
        </w:numPr>
        <w:shd w:val="clear" w:color="auto" w:fill="FFFFFF"/>
        <w:spacing w:after="0" w:line="360" w:lineRule="atLeast"/>
        <w:ind w:left="360" w:hanging="360"/>
        <w:rPr>
          <w:color w:val="333333"/>
        </w:rPr>
      </w:pPr>
      <w:bookmarkStart w:id="9" w:name="_Toc52954063"/>
      <w:r w:rsidRPr="009E5CED">
        <w:rPr>
          <w:rStyle w:val="Strong"/>
          <w:b/>
          <w:bCs/>
          <w:color w:val="333333"/>
        </w:rPr>
        <w:t>Supreme Court Ruling – Title VII Nondiscrimination Rules</w:t>
      </w:r>
      <w:bookmarkEnd w:id="9"/>
    </w:p>
    <w:p w14:paraId="33FFA6C7" w14:textId="77777777" w:rsidR="00576F96" w:rsidRPr="009E5CED" w:rsidRDefault="00576F96" w:rsidP="009E5CED">
      <w:pPr>
        <w:spacing w:line="360" w:lineRule="auto"/>
        <w:rPr>
          <w:rFonts w:ascii="Arial" w:hAnsi="Arial" w:cs="Arial"/>
          <w:color w:val="555555"/>
          <w:sz w:val="20"/>
          <w:szCs w:val="20"/>
          <w:shd w:val="clear" w:color="auto" w:fill="FFFFFF"/>
        </w:rPr>
      </w:pPr>
    </w:p>
    <w:p w14:paraId="31EE258A" w14:textId="44816A09" w:rsidR="002A0B57" w:rsidRPr="009E5CED" w:rsidRDefault="0084247A" w:rsidP="00062C5A">
      <w:pPr>
        <w:spacing w:line="276" w:lineRule="auto"/>
        <w:rPr>
          <w:rFonts w:ascii="Arial" w:hAnsi="Arial" w:cs="Arial"/>
          <w:color w:val="555555"/>
          <w:sz w:val="20"/>
          <w:szCs w:val="20"/>
          <w:shd w:val="clear" w:color="auto" w:fill="FFFFFF"/>
        </w:rPr>
      </w:pPr>
      <w:r w:rsidRPr="009E5CED">
        <w:rPr>
          <w:rFonts w:ascii="Arial" w:hAnsi="Arial" w:cs="Arial"/>
          <w:color w:val="555555"/>
          <w:sz w:val="20"/>
          <w:szCs w:val="20"/>
          <w:shd w:val="clear" w:color="auto" w:fill="FFFFFF"/>
        </w:rPr>
        <w:t>The recent Supreme Court decision in </w:t>
      </w:r>
      <w:r w:rsidRPr="009E5CED">
        <w:rPr>
          <w:rStyle w:val="Emphasis"/>
          <w:rFonts w:ascii="Arial" w:hAnsi="Arial" w:cs="Arial"/>
          <w:color w:val="555555"/>
          <w:sz w:val="20"/>
          <w:szCs w:val="20"/>
          <w:shd w:val="clear" w:color="auto" w:fill="FFFFFF"/>
        </w:rPr>
        <w:t>Bostock v. Clayton County</w:t>
      </w:r>
      <w:r w:rsidRPr="009E5CED">
        <w:rPr>
          <w:rFonts w:ascii="Arial" w:hAnsi="Arial" w:cs="Arial"/>
          <w:color w:val="555555"/>
          <w:sz w:val="20"/>
          <w:szCs w:val="20"/>
          <w:shd w:val="clear" w:color="auto" w:fill="FFFFFF"/>
        </w:rPr>
        <w:t> (6/15/2020) may require employers to reconsider who is eligible for, and what coverage is available under, employer-sponsored benefits. The Court held that Title VII protection against employment discrimination based on sex should extend to discrimination based on an individual’s sexual orientation or gender identity.</w:t>
      </w:r>
    </w:p>
    <w:p w14:paraId="33CDC645" w14:textId="50F4FD5F" w:rsidR="0084247A" w:rsidRPr="009E5CED" w:rsidRDefault="0084247A" w:rsidP="00062C5A">
      <w:pPr>
        <w:spacing w:line="276" w:lineRule="auto"/>
        <w:rPr>
          <w:rFonts w:ascii="Arial" w:hAnsi="Arial" w:cs="Arial"/>
          <w:color w:val="555555"/>
          <w:sz w:val="20"/>
          <w:szCs w:val="20"/>
          <w:shd w:val="clear" w:color="auto" w:fill="FFFFFF"/>
        </w:rPr>
      </w:pPr>
      <w:r w:rsidRPr="009E5CED">
        <w:rPr>
          <w:rFonts w:ascii="Arial" w:hAnsi="Arial" w:cs="Arial"/>
          <w:color w:val="555555"/>
          <w:sz w:val="20"/>
          <w:szCs w:val="20"/>
          <w:shd w:val="clear" w:color="auto" w:fill="FFFFFF"/>
        </w:rPr>
        <w:t xml:space="preserve">More here: </w:t>
      </w:r>
      <w:hyperlink r:id="rId57" w:history="1">
        <w:r w:rsidRPr="009E5CED">
          <w:rPr>
            <w:rStyle w:val="Hyperlink"/>
            <w:rFonts w:ascii="Arial" w:hAnsi="Arial" w:cs="Arial"/>
            <w:sz w:val="20"/>
            <w:szCs w:val="20"/>
            <w:shd w:val="clear" w:color="auto" w:fill="FFFFFF"/>
          </w:rPr>
          <w:t>https://benefitcomply.com/supreme-court-ruling-title-vii-nondiscrimination-rules/</w:t>
        </w:r>
      </w:hyperlink>
    </w:p>
    <w:p w14:paraId="597D63A4" w14:textId="562536BA" w:rsidR="0084247A" w:rsidRPr="009E5CED" w:rsidRDefault="0084247A" w:rsidP="009E5CED">
      <w:pPr>
        <w:spacing w:line="360" w:lineRule="auto"/>
        <w:rPr>
          <w:rFonts w:ascii="Arial" w:hAnsi="Arial" w:cs="Arial"/>
          <w:color w:val="555555"/>
          <w:sz w:val="20"/>
          <w:szCs w:val="20"/>
          <w:shd w:val="clear" w:color="auto" w:fill="FFFFFF"/>
        </w:rPr>
      </w:pPr>
    </w:p>
    <w:p w14:paraId="0307ED62" w14:textId="25559BBB" w:rsidR="001003D3" w:rsidRPr="009E5CED" w:rsidRDefault="001003D3" w:rsidP="009E5CED">
      <w:pPr>
        <w:pStyle w:val="Heading2"/>
        <w:numPr>
          <w:ilvl w:val="0"/>
          <w:numId w:val="0"/>
        </w:numPr>
        <w:shd w:val="clear" w:color="auto" w:fill="FFFFFF"/>
        <w:spacing w:after="0" w:line="360" w:lineRule="atLeast"/>
        <w:ind w:left="360" w:hanging="360"/>
        <w:rPr>
          <w:rStyle w:val="Strong"/>
          <w:b/>
          <w:bCs/>
          <w:color w:val="333333"/>
        </w:rPr>
      </w:pPr>
      <w:bookmarkStart w:id="10" w:name="_Toc52954064"/>
      <w:r w:rsidRPr="009E5CED">
        <w:rPr>
          <w:rStyle w:val="Strong"/>
          <w:b/>
          <w:bCs/>
          <w:color w:val="333333"/>
        </w:rPr>
        <w:t>How Employers Should Handle MLR Rebates</w:t>
      </w:r>
      <w:bookmarkEnd w:id="10"/>
    </w:p>
    <w:p w14:paraId="33DA5F1A" w14:textId="77777777" w:rsidR="00550362" w:rsidRDefault="00550362" w:rsidP="009E5CED">
      <w:pPr>
        <w:rPr>
          <w:rFonts w:ascii="Arial" w:hAnsi="Arial" w:cs="Arial"/>
          <w:sz w:val="20"/>
          <w:szCs w:val="20"/>
        </w:rPr>
      </w:pPr>
    </w:p>
    <w:p w14:paraId="60441765" w14:textId="043D044B" w:rsidR="001003D3" w:rsidRPr="009E5CED" w:rsidRDefault="001003D3" w:rsidP="00550362">
      <w:pPr>
        <w:spacing w:line="276" w:lineRule="auto"/>
        <w:rPr>
          <w:rFonts w:ascii="Arial" w:hAnsi="Arial" w:cs="Arial"/>
          <w:color w:val="555555"/>
          <w:sz w:val="20"/>
          <w:szCs w:val="20"/>
          <w:shd w:val="clear" w:color="auto" w:fill="FFFFFF"/>
        </w:rPr>
      </w:pPr>
      <w:r w:rsidRPr="009E5CED">
        <w:rPr>
          <w:rFonts w:ascii="Arial" w:hAnsi="Arial" w:cs="Arial"/>
          <w:sz w:val="20"/>
          <w:szCs w:val="20"/>
        </w:rPr>
        <w:t>Employers who sponsor a fully-insured group health plan may soon be receiving a Medical Loss Ratio (MLR) rebate from their insurers. </w:t>
      </w:r>
      <w:r w:rsidRPr="009E5CED">
        <w:rPr>
          <w:rFonts w:ascii="Arial" w:hAnsi="Arial" w:cs="Arial"/>
          <w:color w:val="555555"/>
          <w:sz w:val="20"/>
          <w:szCs w:val="20"/>
          <w:shd w:val="clear" w:color="auto" w:fill="FFFFFF"/>
        </w:rPr>
        <w:t>Self-insured medical benefit plans are not subject to these requirements. For employers who need a refresher on exactly how to handle the rebates, we’ve provided some background on the MLR rebate and have also answered several common questions.</w:t>
      </w:r>
    </w:p>
    <w:p w14:paraId="17061DEE" w14:textId="77777777" w:rsidR="00806DF2" w:rsidRPr="009E5CED" w:rsidRDefault="00806DF2" w:rsidP="00550362">
      <w:pPr>
        <w:spacing w:line="276" w:lineRule="auto"/>
        <w:rPr>
          <w:rFonts w:ascii="Arial" w:hAnsi="Arial" w:cs="Arial"/>
          <w:color w:val="555555"/>
          <w:sz w:val="20"/>
          <w:szCs w:val="20"/>
          <w:shd w:val="clear" w:color="auto" w:fill="FFFFFF"/>
        </w:rPr>
      </w:pPr>
    </w:p>
    <w:p w14:paraId="44FDB940" w14:textId="38119ECE" w:rsidR="00806DF2" w:rsidRPr="009E5CED" w:rsidRDefault="00806DF2" w:rsidP="00550362">
      <w:pPr>
        <w:spacing w:line="276" w:lineRule="auto"/>
        <w:rPr>
          <w:rFonts w:ascii="Arial" w:hAnsi="Arial" w:cs="Arial"/>
          <w:color w:val="555555"/>
          <w:sz w:val="20"/>
          <w:szCs w:val="20"/>
          <w:shd w:val="clear" w:color="auto" w:fill="FFFFFF"/>
        </w:rPr>
      </w:pPr>
      <w:r w:rsidRPr="009E5CED">
        <w:rPr>
          <w:rFonts w:ascii="Arial" w:hAnsi="Arial" w:cs="Arial"/>
          <w:color w:val="555555"/>
          <w:sz w:val="20"/>
          <w:szCs w:val="20"/>
          <w:shd w:val="clear" w:color="auto" w:fill="FFFFFF"/>
        </w:rPr>
        <w:t xml:space="preserve">More here: </w:t>
      </w:r>
      <w:hyperlink r:id="rId58" w:history="1">
        <w:r w:rsidRPr="009E5CED">
          <w:rPr>
            <w:rStyle w:val="Hyperlink"/>
            <w:rFonts w:ascii="Arial" w:hAnsi="Arial" w:cs="Arial"/>
            <w:sz w:val="20"/>
            <w:szCs w:val="20"/>
            <w:shd w:val="clear" w:color="auto" w:fill="FFFFFF"/>
          </w:rPr>
          <w:t>https://benefitcomply.com/how-employers-should-handle-mlr-rebates-4/</w:t>
        </w:r>
      </w:hyperlink>
    </w:p>
    <w:p w14:paraId="30F661CB" w14:textId="77777777" w:rsidR="00806DF2" w:rsidRPr="009E5CED" w:rsidRDefault="00806DF2" w:rsidP="009E5CED">
      <w:pPr>
        <w:rPr>
          <w:rFonts w:ascii="Arial" w:hAnsi="Arial" w:cs="Arial"/>
          <w:sz w:val="20"/>
          <w:szCs w:val="20"/>
          <w:lang w:eastAsia="en-US"/>
        </w:rPr>
      </w:pPr>
    </w:p>
    <w:p w14:paraId="120D25FA" w14:textId="5076E454" w:rsidR="006D4A21" w:rsidRPr="009E5CED" w:rsidRDefault="006D4A21" w:rsidP="009E5CED">
      <w:pPr>
        <w:pStyle w:val="Heading2"/>
        <w:numPr>
          <w:ilvl w:val="0"/>
          <w:numId w:val="0"/>
        </w:numPr>
        <w:shd w:val="clear" w:color="auto" w:fill="FFFFFF"/>
        <w:spacing w:after="0" w:line="360" w:lineRule="atLeast"/>
        <w:ind w:left="360" w:hanging="360"/>
        <w:rPr>
          <w:b/>
          <w:bCs/>
          <w:color w:val="333333"/>
        </w:rPr>
      </w:pPr>
      <w:bookmarkStart w:id="11" w:name="_Toc52954065"/>
      <w:r w:rsidRPr="009E5CED">
        <w:rPr>
          <w:b/>
          <w:bCs/>
          <w:color w:val="333333"/>
        </w:rPr>
        <w:t>Dependent Care Assistance Programs (DCAPs): Basics</w:t>
      </w:r>
      <w:bookmarkEnd w:id="11"/>
    </w:p>
    <w:p w14:paraId="5F05E2BA" w14:textId="77777777" w:rsidR="00550362" w:rsidRDefault="00550362" w:rsidP="009E5CED">
      <w:pPr>
        <w:rPr>
          <w:rFonts w:ascii="Arial" w:hAnsi="Arial" w:cs="Arial"/>
          <w:sz w:val="20"/>
          <w:szCs w:val="20"/>
        </w:rPr>
      </w:pPr>
    </w:p>
    <w:p w14:paraId="7C22518A" w14:textId="0F84EA7E" w:rsidR="006D4A21" w:rsidRPr="009E5CED" w:rsidRDefault="008A484C" w:rsidP="00550362">
      <w:pPr>
        <w:spacing w:line="276" w:lineRule="auto"/>
        <w:rPr>
          <w:rFonts w:ascii="Arial" w:hAnsi="Arial" w:cs="Arial"/>
          <w:color w:val="555555"/>
          <w:sz w:val="20"/>
          <w:szCs w:val="20"/>
          <w:shd w:val="clear" w:color="auto" w:fill="FFFFFF"/>
        </w:rPr>
      </w:pPr>
      <w:r w:rsidRPr="009E5CED">
        <w:rPr>
          <w:rFonts w:ascii="Arial" w:hAnsi="Arial" w:cs="Arial"/>
          <w:sz w:val="20"/>
          <w:szCs w:val="20"/>
        </w:rPr>
        <w:t>Section 129 of the tax code </w:t>
      </w:r>
      <w:r w:rsidRPr="005F31F2">
        <w:rPr>
          <w:rFonts w:ascii="Arial" w:hAnsi="Arial" w:cs="Arial"/>
          <w:sz w:val="20"/>
          <w:szCs w:val="20"/>
          <w:shd w:val="clear" w:color="auto" w:fill="FFFFFF"/>
        </w:rPr>
        <w:t>permits employees </w:t>
      </w:r>
      <w:r w:rsidRPr="009E5CED">
        <w:rPr>
          <w:rFonts w:ascii="Arial" w:hAnsi="Arial" w:cs="Arial"/>
          <w:sz w:val="20"/>
          <w:szCs w:val="20"/>
        </w:rPr>
        <w:t>to exclude up to $5,000 from gross income to pay for dependent care expenses. </w:t>
      </w:r>
      <w:r w:rsidRPr="009E5CED">
        <w:rPr>
          <w:rFonts w:ascii="Arial" w:hAnsi="Arial" w:cs="Arial"/>
          <w:color w:val="555555"/>
          <w:sz w:val="20"/>
          <w:szCs w:val="20"/>
          <w:shd w:val="clear" w:color="auto" w:fill="FFFFFF"/>
        </w:rPr>
        <w:t>These arrangements, required to be established by a written document, are referred to as Dependent Care Assistance Programs (DCAPs). In many ways they function similarly to health flexible spending accounts (FSAs), so they are frequently referred to as “dependent care flex accounts.” In this issue brief, we will discuss the various rules to be aware of when implementing and administering a DCAP.</w:t>
      </w:r>
    </w:p>
    <w:p w14:paraId="76E1B7B9" w14:textId="77777777" w:rsidR="008A484C" w:rsidRPr="009E5CED" w:rsidRDefault="008A484C" w:rsidP="00550362">
      <w:pPr>
        <w:spacing w:line="276" w:lineRule="auto"/>
        <w:rPr>
          <w:rFonts w:ascii="Arial" w:hAnsi="Arial" w:cs="Arial"/>
          <w:color w:val="555555"/>
          <w:sz w:val="20"/>
          <w:szCs w:val="20"/>
          <w:shd w:val="clear" w:color="auto" w:fill="FFFFFF"/>
        </w:rPr>
      </w:pPr>
    </w:p>
    <w:p w14:paraId="798D8DE9" w14:textId="7C4825DE" w:rsidR="008A484C" w:rsidRPr="009E5CED" w:rsidRDefault="008A484C" w:rsidP="00550362">
      <w:pPr>
        <w:spacing w:line="276" w:lineRule="auto"/>
        <w:rPr>
          <w:rFonts w:ascii="Arial" w:hAnsi="Arial" w:cs="Arial"/>
          <w:color w:val="555555"/>
          <w:sz w:val="20"/>
          <w:szCs w:val="20"/>
          <w:shd w:val="clear" w:color="auto" w:fill="FFFFFF"/>
        </w:rPr>
      </w:pPr>
      <w:r w:rsidRPr="009E5CED">
        <w:rPr>
          <w:rFonts w:ascii="Arial" w:hAnsi="Arial" w:cs="Arial"/>
          <w:color w:val="555555"/>
          <w:sz w:val="20"/>
          <w:szCs w:val="20"/>
          <w:shd w:val="clear" w:color="auto" w:fill="FFFFFF"/>
        </w:rPr>
        <w:t xml:space="preserve">More here: </w:t>
      </w:r>
      <w:hyperlink r:id="rId59" w:history="1">
        <w:r w:rsidRPr="009E5CED">
          <w:rPr>
            <w:rStyle w:val="Hyperlink"/>
            <w:rFonts w:ascii="Arial" w:hAnsi="Arial" w:cs="Arial"/>
            <w:sz w:val="20"/>
            <w:szCs w:val="20"/>
            <w:shd w:val="clear" w:color="auto" w:fill="FFFFFF"/>
          </w:rPr>
          <w:t>https://benefitcomply.com/dependent-care-assistance-programs-dcaps-basics/</w:t>
        </w:r>
      </w:hyperlink>
    </w:p>
    <w:p w14:paraId="2143BDB5" w14:textId="77777777" w:rsidR="008A484C" w:rsidRPr="009E5CED" w:rsidRDefault="008A484C" w:rsidP="009E5CED">
      <w:pPr>
        <w:rPr>
          <w:rFonts w:ascii="Arial" w:hAnsi="Arial" w:cs="Arial"/>
          <w:sz w:val="20"/>
          <w:szCs w:val="20"/>
          <w:lang w:eastAsia="en-US"/>
        </w:rPr>
      </w:pPr>
    </w:p>
    <w:bookmarkStart w:id="12" w:name="_Toc52954066"/>
    <w:p w14:paraId="465C57ED" w14:textId="2F40C43E" w:rsidR="00D53242" w:rsidRPr="009E5CED" w:rsidRDefault="000D60F7" w:rsidP="00550362">
      <w:pPr>
        <w:pStyle w:val="Heading2"/>
        <w:numPr>
          <w:ilvl w:val="0"/>
          <w:numId w:val="0"/>
        </w:numPr>
        <w:shd w:val="clear" w:color="auto" w:fill="FFFFFF"/>
        <w:spacing w:after="0" w:line="276" w:lineRule="auto"/>
        <w:ind w:left="360" w:hanging="360"/>
        <w:rPr>
          <w:color w:val="333333"/>
        </w:rPr>
      </w:pPr>
      <w:r w:rsidRPr="00593C4D">
        <w:rPr>
          <w:noProof/>
        </w:rPr>
        <w:lastRenderedPageBreak/>
        <mc:AlternateContent>
          <mc:Choice Requires="wps">
            <w:drawing>
              <wp:anchor distT="0" distB="0" distL="114300" distR="114300" simplePos="0" relativeHeight="251705344" behindDoc="0" locked="0" layoutInCell="1" allowOverlap="1" wp14:anchorId="62B54182" wp14:editId="24CF8699">
                <wp:simplePos x="0" y="0"/>
                <wp:positionH relativeFrom="column">
                  <wp:posOffset>3464169</wp:posOffset>
                </wp:positionH>
                <wp:positionV relativeFrom="page">
                  <wp:posOffset>685800</wp:posOffset>
                </wp:positionV>
                <wp:extent cx="3008630" cy="8651240"/>
                <wp:effectExtent l="0" t="0" r="1270" b="0"/>
                <wp:wrapSquare wrapText="bothSides"/>
                <wp:docPr id="3" name="Text Box 3"/>
                <wp:cNvGraphicFramePr/>
                <a:graphic xmlns:a="http://schemas.openxmlformats.org/drawingml/2006/main">
                  <a:graphicData uri="http://schemas.microsoft.com/office/word/2010/wordprocessingShape">
                    <wps:wsp>
                      <wps:cNvSpPr txBox="1"/>
                      <wps:spPr>
                        <a:xfrm>
                          <a:off x="0" y="0"/>
                          <a:ext cx="3008630" cy="8651240"/>
                        </a:xfrm>
                        <a:prstGeom prst="rect">
                          <a:avLst/>
                        </a:prstGeom>
                        <a:solidFill>
                          <a:srgbClr val="61ADBF">
                            <a:lumMod val="20000"/>
                            <a:lumOff val="80000"/>
                          </a:srgbClr>
                        </a:solidFill>
                        <a:ln w="6350">
                          <a:noFill/>
                        </a:ln>
                      </wps:spPr>
                      <wps:txbx>
                        <w:txbxContent>
                          <w:p w14:paraId="631F04C9" w14:textId="77777777" w:rsidR="000D60F7" w:rsidRDefault="000D60F7" w:rsidP="000D60F7">
                            <w:pPr>
                              <w:pStyle w:val="ListParagraph"/>
                              <w:ind w:left="360"/>
                              <w:rPr>
                                <w:rFonts w:ascii="Arial" w:eastAsia="Times New Roman" w:hAnsi="Arial" w:cs="Arial"/>
                                <w:color w:val="000000" w:themeColor="text1"/>
                                <w:sz w:val="18"/>
                                <w:szCs w:val="18"/>
                                <w:lang w:eastAsia="en-US"/>
                              </w:rPr>
                            </w:pPr>
                          </w:p>
                          <w:p w14:paraId="38076D62" w14:textId="77777777" w:rsidR="000D60F7" w:rsidRPr="004D4130" w:rsidRDefault="000D60F7" w:rsidP="000D60F7">
                            <w:pPr>
                              <w:pStyle w:val="ListParagraph"/>
                              <w:ind w:left="360"/>
                              <w:rPr>
                                <w:rFonts w:ascii="Arial" w:eastAsia="Times New Roman" w:hAnsi="Arial" w:cs="Arial"/>
                                <w:color w:val="000000" w:themeColor="text1"/>
                                <w:sz w:val="18"/>
                                <w:szCs w:val="18"/>
                                <w:lang w:eastAsia="en-US"/>
                              </w:rPr>
                            </w:pPr>
                          </w:p>
                          <w:p w14:paraId="0FFC24B1" w14:textId="77777777" w:rsidR="000D60F7" w:rsidRDefault="000D60F7" w:rsidP="000D60F7">
                            <w:pPr>
                              <w:pStyle w:val="ListParagraph"/>
                              <w:numPr>
                                <w:ilvl w:val="0"/>
                                <w:numId w:val="33"/>
                              </w:numPr>
                              <w:rPr>
                                <w:rFonts w:ascii="Arial" w:eastAsia="Times New Roman" w:hAnsi="Arial" w:cs="Arial"/>
                                <w:color w:val="000000" w:themeColor="text1"/>
                                <w:sz w:val="18"/>
                                <w:szCs w:val="18"/>
                                <w:lang w:eastAsia="en-US"/>
                              </w:rPr>
                            </w:pPr>
                            <w:r w:rsidRPr="00EC5E10">
                              <w:rPr>
                                <w:rFonts w:ascii="Arial" w:eastAsia="Times New Roman" w:hAnsi="Arial" w:cs="Arial"/>
                                <w:color w:val="000000" w:themeColor="text1"/>
                                <w:sz w:val="18"/>
                                <w:szCs w:val="18"/>
                                <w:lang w:eastAsia="en-US"/>
                              </w:rPr>
                              <w:t xml:space="preserve">On July 23, the Department of Health and Human Services (HHS) extended the COVID-19 public health emergency for an additional 90 days (i.e., until October 23, 2020). The public health emergency was originally declared by HHS in late January 2020 and first renewed in April. For more information on the implications of this emergency, and the difference between it and President Trump’s National Emergency, see our blog post </w:t>
                            </w:r>
                            <w:hyperlink r:id="rId60" w:history="1">
                              <w:r w:rsidRPr="00EC5E10">
                                <w:rPr>
                                  <w:rStyle w:val="Hyperlink"/>
                                  <w:rFonts w:ascii="Arial" w:eastAsia="Times New Roman" w:hAnsi="Arial" w:cs="Arial"/>
                                  <w:sz w:val="18"/>
                                  <w:szCs w:val="18"/>
                                  <w:lang w:eastAsia="en-US"/>
                                </w:rPr>
                                <w:t>here</w:t>
                              </w:r>
                            </w:hyperlink>
                            <w:r w:rsidRPr="00EC5E10">
                              <w:rPr>
                                <w:rFonts w:ascii="Arial" w:eastAsia="Times New Roman" w:hAnsi="Arial" w:cs="Arial"/>
                                <w:color w:val="000000" w:themeColor="text1"/>
                                <w:sz w:val="18"/>
                                <w:szCs w:val="18"/>
                                <w:lang w:eastAsia="en-US"/>
                              </w:rPr>
                              <w:t>.</w:t>
                            </w:r>
                          </w:p>
                          <w:p w14:paraId="571856D7" w14:textId="77777777" w:rsidR="000D60F7" w:rsidRDefault="000D60F7" w:rsidP="000D60F7">
                            <w:pPr>
                              <w:pStyle w:val="ListParagraph"/>
                              <w:ind w:left="360"/>
                              <w:rPr>
                                <w:rFonts w:ascii="Arial" w:eastAsia="Times New Roman" w:hAnsi="Arial" w:cs="Arial"/>
                                <w:color w:val="000000" w:themeColor="text1"/>
                                <w:sz w:val="18"/>
                                <w:szCs w:val="18"/>
                                <w:lang w:eastAsia="en-US"/>
                              </w:rPr>
                            </w:pPr>
                          </w:p>
                          <w:p w14:paraId="5BC86D51" w14:textId="77777777" w:rsidR="000D60F7" w:rsidRDefault="000D60F7" w:rsidP="000D60F7">
                            <w:pPr>
                              <w:pStyle w:val="ListParagraph"/>
                              <w:numPr>
                                <w:ilvl w:val="0"/>
                                <w:numId w:val="33"/>
                              </w:numPr>
                              <w:rPr>
                                <w:rFonts w:ascii="Arial" w:eastAsia="Times New Roman" w:hAnsi="Arial" w:cs="Arial"/>
                                <w:color w:val="000000" w:themeColor="text1"/>
                                <w:sz w:val="18"/>
                                <w:szCs w:val="18"/>
                                <w:lang w:eastAsia="en-US"/>
                              </w:rPr>
                            </w:pPr>
                            <w:r w:rsidRPr="00C12F10">
                              <w:rPr>
                                <w:rFonts w:ascii="Arial" w:eastAsia="Times New Roman" w:hAnsi="Arial" w:cs="Arial"/>
                                <w:color w:val="000000" w:themeColor="text1"/>
                                <w:sz w:val="18"/>
                                <w:szCs w:val="18"/>
                                <w:lang w:eastAsia="en-US"/>
                              </w:rPr>
                              <w:t xml:space="preserve">On September 3, Nelson Mullins Riley &amp; Scarborough LLP issued an </w:t>
                            </w:r>
                            <w:hyperlink r:id="rId61" w:history="1">
                              <w:r w:rsidRPr="00C12F10">
                                <w:rPr>
                                  <w:rStyle w:val="Hyperlink"/>
                                  <w:rFonts w:ascii="Arial" w:eastAsia="Times New Roman" w:hAnsi="Arial" w:cs="Arial"/>
                                  <w:sz w:val="18"/>
                                  <w:szCs w:val="18"/>
                                  <w:lang w:eastAsia="en-US"/>
                                </w:rPr>
                                <w:t>article</w:t>
                              </w:r>
                            </w:hyperlink>
                            <w:r w:rsidRPr="00C12F10">
                              <w:rPr>
                                <w:rFonts w:ascii="Arial" w:eastAsia="Times New Roman" w:hAnsi="Arial" w:cs="Arial"/>
                                <w:color w:val="000000" w:themeColor="text1"/>
                                <w:sz w:val="18"/>
                                <w:szCs w:val="18"/>
                                <w:lang w:eastAsia="en-US"/>
                              </w:rPr>
                              <w:t xml:space="preserve"> describing the ways in which the Covid-19 pandemic may make a telemedicine benefit a more attractive offering for employers. Specifically, the article notes that remote work, the increased need for wellness programs, and relaxed regulatory enforcement with respect to telemedicine programs make the offering more valuable during this pandemic.</w:t>
                            </w:r>
                          </w:p>
                          <w:p w14:paraId="331695E4" w14:textId="77777777" w:rsidR="000D60F7" w:rsidRPr="00C12F10" w:rsidRDefault="000D60F7" w:rsidP="000D60F7">
                            <w:pPr>
                              <w:pStyle w:val="ListParagraph"/>
                              <w:rPr>
                                <w:rFonts w:ascii="Arial" w:eastAsia="Times New Roman" w:hAnsi="Arial" w:cs="Arial"/>
                                <w:color w:val="000000" w:themeColor="text1"/>
                                <w:sz w:val="18"/>
                                <w:szCs w:val="18"/>
                                <w:lang w:eastAsia="en-US"/>
                              </w:rPr>
                            </w:pPr>
                          </w:p>
                          <w:p w14:paraId="04812107" w14:textId="77777777" w:rsidR="000D60F7" w:rsidRDefault="000D60F7" w:rsidP="000D60F7">
                            <w:pPr>
                              <w:pStyle w:val="ListParagraph"/>
                              <w:numPr>
                                <w:ilvl w:val="0"/>
                                <w:numId w:val="33"/>
                              </w:numPr>
                              <w:rPr>
                                <w:rFonts w:ascii="Arial" w:eastAsia="Times New Roman" w:hAnsi="Arial" w:cs="Arial"/>
                                <w:color w:val="000000" w:themeColor="text1"/>
                                <w:sz w:val="18"/>
                                <w:szCs w:val="18"/>
                                <w:lang w:eastAsia="en-US"/>
                              </w:rPr>
                            </w:pPr>
                            <w:r w:rsidRPr="00CD2ACF">
                              <w:rPr>
                                <w:rFonts w:ascii="Arial" w:eastAsia="Times New Roman" w:hAnsi="Arial" w:cs="Arial"/>
                                <w:color w:val="000000" w:themeColor="text1"/>
                                <w:sz w:val="18"/>
                                <w:szCs w:val="18"/>
                                <w:lang w:eastAsia="en-US"/>
                              </w:rPr>
                              <w:t xml:space="preserve">On September 4, Katie Keith </w:t>
                            </w:r>
                            <w:hyperlink r:id="rId62" w:history="1">
                              <w:r w:rsidRPr="00CD2ACF">
                                <w:rPr>
                                  <w:rStyle w:val="Hyperlink"/>
                                  <w:rFonts w:ascii="Arial" w:eastAsia="Times New Roman" w:hAnsi="Arial" w:cs="Arial"/>
                                  <w:sz w:val="18"/>
                                  <w:szCs w:val="18"/>
                                  <w:lang w:eastAsia="en-US"/>
                                </w:rPr>
                                <w:t>reported</w:t>
                              </w:r>
                            </w:hyperlink>
                            <w:r w:rsidRPr="00CD2ACF">
                              <w:rPr>
                                <w:rFonts w:ascii="Arial" w:eastAsia="Times New Roman" w:hAnsi="Arial" w:cs="Arial"/>
                                <w:color w:val="000000" w:themeColor="text1"/>
                                <w:sz w:val="18"/>
                                <w:szCs w:val="18"/>
                                <w:lang w:eastAsia="en-US"/>
                              </w:rPr>
                              <w:t xml:space="preserve"> in Health Affairs on a new preliminary injunction issued by the U.S. District Court for the District of Columbia against portions a recent OCR final rule. The final rule eliminated certain protections under Section 1557 of the Affordable Care Act (ACA) against discrimination based on gender identity or sexual orientation. This new preliminary injunction not only prevents HHS from enforcing the rule as it relates to sex discrimination; it also prevents HHS from enforcing a separate provision that allows health care providers to claim a religious exemption from Section 1557.</w:t>
                            </w:r>
                          </w:p>
                          <w:p w14:paraId="68DCAACF" w14:textId="77777777" w:rsidR="000D60F7" w:rsidRPr="000E21E5" w:rsidRDefault="000D60F7" w:rsidP="000D60F7">
                            <w:pPr>
                              <w:pStyle w:val="ListParagraph"/>
                              <w:rPr>
                                <w:rFonts w:ascii="Arial" w:eastAsia="Times New Roman" w:hAnsi="Arial" w:cs="Arial"/>
                                <w:color w:val="000000" w:themeColor="text1"/>
                                <w:sz w:val="18"/>
                                <w:szCs w:val="18"/>
                                <w:lang w:eastAsia="en-US"/>
                              </w:rPr>
                            </w:pPr>
                          </w:p>
                          <w:p w14:paraId="7491B9E9" w14:textId="77777777" w:rsidR="000D60F7" w:rsidRDefault="000D60F7" w:rsidP="000D60F7">
                            <w:pPr>
                              <w:pStyle w:val="ListParagraph"/>
                              <w:numPr>
                                <w:ilvl w:val="0"/>
                                <w:numId w:val="33"/>
                              </w:numPr>
                              <w:rPr>
                                <w:rFonts w:ascii="Arial" w:eastAsia="Times New Roman" w:hAnsi="Arial" w:cs="Arial"/>
                                <w:color w:val="000000" w:themeColor="text1"/>
                                <w:sz w:val="18"/>
                                <w:szCs w:val="18"/>
                                <w:lang w:eastAsia="en-US"/>
                              </w:rPr>
                            </w:pPr>
                            <w:r w:rsidRPr="000E21E5">
                              <w:rPr>
                                <w:rFonts w:ascii="Arial" w:eastAsia="Times New Roman" w:hAnsi="Arial" w:cs="Arial"/>
                                <w:color w:val="000000" w:themeColor="text1"/>
                                <w:sz w:val="18"/>
                                <w:szCs w:val="18"/>
                                <w:lang w:eastAsia="en-US"/>
                              </w:rPr>
                              <w:t xml:space="preserve">On September 9, the Internal Revenue Service (IRS) issued </w:t>
                            </w:r>
                            <w:hyperlink r:id="rId63" w:history="1">
                              <w:r w:rsidRPr="000E21E5">
                                <w:rPr>
                                  <w:rStyle w:val="Hyperlink"/>
                                  <w:rFonts w:ascii="Arial" w:eastAsia="Times New Roman" w:hAnsi="Arial" w:cs="Arial"/>
                                  <w:sz w:val="18"/>
                                  <w:szCs w:val="18"/>
                                  <w:lang w:eastAsia="en-US"/>
                                </w:rPr>
                                <w:t>Notice 2020-66</w:t>
                              </w:r>
                            </w:hyperlink>
                            <w:r w:rsidRPr="000E21E5">
                              <w:rPr>
                                <w:rFonts w:ascii="Arial" w:eastAsia="Times New Roman" w:hAnsi="Arial" w:cs="Arial"/>
                                <w:color w:val="000000" w:themeColor="text1"/>
                                <w:sz w:val="18"/>
                                <w:szCs w:val="18"/>
                                <w:lang w:eastAsia="en-US"/>
                              </w:rPr>
                              <w:t>, clarifying that Medicaid coverage of Covid-19 testing and diagnostic services under the Families First Act is not considered minimum essential coverage (MEC) and therefore will not interfere with premium tax credit eligibility.</w:t>
                            </w:r>
                          </w:p>
                          <w:p w14:paraId="1596235F" w14:textId="77777777" w:rsidR="000D60F7" w:rsidRPr="000E21E5" w:rsidRDefault="000D60F7" w:rsidP="000D60F7">
                            <w:pPr>
                              <w:pStyle w:val="ListParagraph"/>
                              <w:rPr>
                                <w:rFonts w:ascii="Arial" w:eastAsia="Times New Roman" w:hAnsi="Arial" w:cs="Arial"/>
                                <w:color w:val="000000" w:themeColor="text1"/>
                                <w:sz w:val="18"/>
                                <w:szCs w:val="18"/>
                                <w:lang w:eastAsia="en-US"/>
                              </w:rPr>
                            </w:pPr>
                          </w:p>
                          <w:p w14:paraId="3BD7B393" w14:textId="77777777" w:rsidR="000D60F7" w:rsidRDefault="000D60F7" w:rsidP="000D60F7">
                            <w:pPr>
                              <w:pStyle w:val="ListParagraph"/>
                              <w:numPr>
                                <w:ilvl w:val="0"/>
                                <w:numId w:val="33"/>
                              </w:numPr>
                              <w:rPr>
                                <w:rFonts w:ascii="Arial" w:eastAsia="Times New Roman" w:hAnsi="Arial" w:cs="Arial"/>
                                <w:color w:val="000000" w:themeColor="text1"/>
                                <w:sz w:val="18"/>
                                <w:szCs w:val="18"/>
                                <w:lang w:eastAsia="en-US"/>
                              </w:rPr>
                            </w:pPr>
                            <w:r>
                              <w:rPr>
                                <w:rFonts w:ascii="Arial" w:eastAsia="Times New Roman" w:hAnsi="Arial" w:cs="Arial"/>
                                <w:color w:val="000000" w:themeColor="text1"/>
                                <w:sz w:val="18"/>
                                <w:szCs w:val="18"/>
                                <w:lang w:eastAsia="en-US"/>
                              </w:rPr>
                              <w:t>In August,</w:t>
                            </w:r>
                            <w:r w:rsidRPr="00875550">
                              <w:rPr>
                                <w:rFonts w:ascii="Arial" w:eastAsia="Times New Roman" w:hAnsi="Arial" w:cs="Arial"/>
                                <w:color w:val="000000" w:themeColor="text1"/>
                                <w:sz w:val="18"/>
                                <w:szCs w:val="18"/>
                                <w:lang w:eastAsia="en-US"/>
                              </w:rPr>
                              <w:t xml:space="preserve"> a New York District Court </w:t>
                            </w:r>
                            <w:hyperlink r:id="rId64" w:history="1">
                              <w:r w:rsidRPr="006B313B">
                                <w:rPr>
                                  <w:rStyle w:val="Hyperlink"/>
                                  <w:rFonts w:ascii="Arial" w:eastAsia="Times New Roman" w:hAnsi="Arial" w:cs="Arial"/>
                                  <w:sz w:val="18"/>
                                  <w:szCs w:val="18"/>
                                  <w:lang w:eastAsia="en-US"/>
                                </w:rPr>
                                <w:t>vacated</w:t>
                              </w:r>
                            </w:hyperlink>
                            <w:r w:rsidRPr="00875550">
                              <w:rPr>
                                <w:rFonts w:ascii="Arial" w:eastAsia="Times New Roman" w:hAnsi="Arial" w:cs="Arial"/>
                                <w:color w:val="000000" w:themeColor="text1"/>
                                <w:sz w:val="18"/>
                                <w:szCs w:val="18"/>
                                <w:lang w:eastAsia="en-US"/>
                              </w:rPr>
                              <w:t xml:space="preserve"> four (4) provisions of the Department of Labor’s (DOL’s) final rule regarding the Families First Coronavirus Relief Act (FFCRA). In response, the DOL recently </w:t>
                            </w:r>
                            <w:r w:rsidRPr="000B23AB">
                              <w:rPr>
                                <w:rFonts w:ascii="Arial" w:eastAsia="Times New Roman" w:hAnsi="Arial" w:cs="Arial"/>
                                <w:color w:val="000000" w:themeColor="text1"/>
                                <w:sz w:val="18"/>
                                <w:szCs w:val="18"/>
                                <w:lang w:eastAsia="en-US"/>
                              </w:rPr>
                              <w:t>issued</w:t>
                            </w:r>
                            <w:r w:rsidRPr="00875550">
                              <w:rPr>
                                <w:rFonts w:ascii="Arial" w:eastAsia="Times New Roman" w:hAnsi="Arial" w:cs="Arial"/>
                                <w:color w:val="000000" w:themeColor="text1"/>
                                <w:sz w:val="18"/>
                                <w:szCs w:val="18"/>
                                <w:lang w:eastAsia="en-US"/>
                              </w:rPr>
                              <w:t xml:space="preserve"> </w:t>
                            </w:r>
                            <w:hyperlink r:id="rId65" w:history="1">
                              <w:r w:rsidRPr="000B23AB">
                                <w:rPr>
                                  <w:rStyle w:val="Hyperlink"/>
                                  <w:rFonts w:ascii="Arial" w:eastAsia="Times New Roman" w:hAnsi="Arial" w:cs="Arial"/>
                                  <w:sz w:val="18"/>
                                  <w:szCs w:val="18"/>
                                  <w:lang w:eastAsia="en-US"/>
                                </w:rPr>
                                <w:t>revisions and clarifications</w:t>
                              </w:r>
                            </w:hyperlink>
                            <w:r w:rsidRPr="00875550">
                              <w:rPr>
                                <w:rFonts w:ascii="Arial" w:eastAsia="Times New Roman" w:hAnsi="Arial" w:cs="Arial"/>
                                <w:color w:val="000000" w:themeColor="text1"/>
                                <w:sz w:val="18"/>
                                <w:szCs w:val="18"/>
                                <w:lang w:eastAsia="en-US"/>
                              </w:rPr>
                              <w:t xml:space="preserve"> to its rule. Littler provides a summary of the revised rule’s key provisions </w:t>
                            </w:r>
                            <w:hyperlink r:id="rId66" w:history="1">
                              <w:r w:rsidRPr="000B23AB">
                                <w:rPr>
                                  <w:rStyle w:val="Hyperlink"/>
                                  <w:rFonts w:ascii="Arial" w:eastAsia="Times New Roman" w:hAnsi="Arial" w:cs="Arial"/>
                                  <w:sz w:val="18"/>
                                  <w:szCs w:val="18"/>
                                  <w:lang w:eastAsia="en-US"/>
                                </w:rPr>
                                <w:t>here</w:t>
                              </w:r>
                            </w:hyperlink>
                            <w:r w:rsidRPr="00875550">
                              <w:rPr>
                                <w:rFonts w:ascii="Arial" w:eastAsia="Times New Roman" w:hAnsi="Arial" w:cs="Arial"/>
                                <w:color w:val="000000" w:themeColor="text1"/>
                                <w:sz w:val="18"/>
                                <w:szCs w:val="18"/>
                                <w:lang w:eastAsia="en-US"/>
                              </w:rPr>
                              <w:t>.</w:t>
                            </w:r>
                          </w:p>
                          <w:p w14:paraId="5D10F3DB" w14:textId="77777777" w:rsidR="000D60F7" w:rsidRPr="007B0C57" w:rsidRDefault="000D60F7" w:rsidP="000D60F7">
                            <w:pPr>
                              <w:rPr>
                                <w:rFonts w:ascii="Arial" w:eastAsia="Times New Roman" w:hAnsi="Arial" w:cs="Arial"/>
                                <w:color w:val="000000" w:themeColor="text1"/>
                                <w:sz w:val="18"/>
                                <w:szCs w:val="18"/>
                                <w:lang w:eastAsia="en-US"/>
                              </w:rPr>
                            </w:pPr>
                          </w:p>
                          <w:p w14:paraId="6E67F026" w14:textId="77777777" w:rsidR="000D60F7" w:rsidRPr="005C7A6D" w:rsidRDefault="000D60F7" w:rsidP="000D60F7">
                            <w:pPr>
                              <w:pStyle w:val="ListParagraph"/>
                              <w:spacing w:line="360" w:lineRule="auto"/>
                              <w:ind w:left="360"/>
                              <w:rPr>
                                <w:rFonts w:ascii="Arial" w:eastAsia="Times New Roman" w:hAnsi="Arial" w:cs="Arial"/>
                                <w:color w:val="000000" w:themeColor="text1"/>
                                <w:sz w:val="18"/>
                                <w:szCs w:val="18"/>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54182" id="_x0000_t202" coordsize="21600,21600" o:spt="202" path="m,l,21600r21600,l21600,xe">
                <v:stroke joinstyle="miter"/>
                <v:path gradientshapeok="t" o:connecttype="rect"/>
              </v:shapetype>
              <v:shape id="Text Box 3" o:spid="_x0000_s1031" type="#_x0000_t202" style="position:absolute;left:0;text-align:left;margin-left:272.75pt;margin-top:54pt;width:236.9pt;height:68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" fillcolor="#dfeff2" stroked="f" strokeweight=".5pt">
                <v:textbox>
                  <w:txbxContent>
                    <w:p w14:paraId="631F04C9" w14:textId="77777777" w:rsidR="000D60F7" w:rsidRDefault="000D60F7" w:rsidP="000D60F7">
                      <w:pPr>
                        <w:pStyle w:val="ListParagraph"/>
                        <w:ind w:left="360"/>
                        <w:rPr>
                          <w:rFonts w:ascii="Arial" w:eastAsia="Times New Roman" w:hAnsi="Arial" w:cs="Arial"/>
                          <w:color w:val="000000" w:themeColor="text1"/>
                          <w:sz w:val="18"/>
                          <w:szCs w:val="18"/>
                          <w:lang w:eastAsia="en-US"/>
                        </w:rPr>
                      </w:pPr>
                    </w:p>
                    <w:p w14:paraId="38076D62" w14:textId="77777777" w:rsidR="000D60F7" w:rsidRPr="004D4130" w:rsidRDefault="000D60F7" w:rsidP="000D60F7">
                      <w:pPr>
                        <w:pStyle w:val="ListParagraph"/>
                        <w:ind w:left="360"/>
                        <w:rPr>
                          <w:rFonts w:ascii="Arial" w:eastAsia="Times New Roman" w:hAnsi="Arial" w:cs="Arial"/>
                          <w:color w:val="000000" w:themeColor="text1"/>
                          <w:sz w:val="18"/>
                          <w:szCs w:val="18"/>
                          <w:lang w:eastAsia="en-US"/>
                        </w:rPr>
                      </w:pPr>
                    </w:p>
                    <w:p w14:paraId="0FFC24B1" w14:textId="77777777" w:rsidR="000D60F7" w:rsidRDefault="000D60F7" w:rsidP="000D60F7">
                      <w:pPr>
                        <w:pStyle w:val="ListParagraph"/>
                        <w:numPr>
                          <w:ilvl w:val="0"/>
                          <w:numId w:val="33"/>
                        </w:numPr>
                        <w:rPr>
                          <w:rFonts w:ascii="Arial" w:eastAsia="Times New Roman" w:hAnsi="Arial" w:cs="Arial"/>
                          <w:color w:val="000000" w:themeColor="text1"/>
                          <w:sz w:val="18"/>
                          <w:szCs w:val="18"/>
                          <w:lang w:eastAsia="en-US"/>
                        </w:rPr>
                      </w:pPr>
                      <w:r w:rsidRPr="00EC5E10">
                        <w:rPr>
                          <w:rFonts w:ascii="Arial" w:eastAsia="Times New Roman" w:hAnsi="Arial" w:cs="Arial"/>
                          <w:color w:val="000000" w:themeColor="text1"/>
                          <w:sz w:val="18"/>
                          <w:szCs w:val="18"/>
                          <w:lang w:eastAsia="en-US"/>
                        </w:rPr>
                        <w:t xml:space="preserve">On July 23, the Department of Health and Human Services (HHS) extended the COVID-19 public health emergency for an additional 90 days (i.e., until October 23, 2020). The public health emergency was originally declared by HHS in late January 2020 and first renewed in April. For more information on the implications of this emergency, and the difference between it and President Trump’s National Emergency, see our blog post </w:t>
                      </w:r>
                      <w:hyperlink r:id="rId67" w:history="1">
                        <w:r w:rsidRPr="00EC5E10">
                          <w:rPr>
                            <w:rStyle w:val="Hyperlink"/>
                            <w:rFonts w:ascii="Arial" w:eastAsia="Times New Roman" w:hAnsi="Arial" w:cs="Arial"/>
                            <w:sz w:val="18"/>
                            <w:szCs w:val="18"/>
                            <w:lang w:eastAsia="en-US"/>
                          </w:rPr>
                          <w:t>here</w:t>
                        </w:r>
                      </w:hyperlink>
                      <w:r w:rsidRPr="00EC5E10">
                        <w:rPr>
                          <w:rFonts w:ascii="Arial" w:eastAsia="Times New Roman" w:hAnsi="Arial" w:cs="Arial"/>
                          <w:color w:val="000000" w:themeColor="text1"/>
                          <w:sz w:val="18"/>
                          <w:szCs w:val="18"/>
                          <w:lang w:eastAsia="en-US"/>
                        </w:rPr>
                        <w:t>.</w:t>
                      </w:r>
                    </w:p>
                    <w:p w14:paraId="571856D7" w14:textId="77777777" w:rsidR="000D60F7" w:rsidRDefault="000D60F7" w:rsidP="000D60F7">
                      <w:pPr>
                        <w:pStyle w:val="ListParagraph"/>
                        <w:ind w:left="360"/>
                        <w:rPr>
                          <w:rFonts w:ascii="Arial" w:eastAsia="Times New Roman" w:hAnsi="Arial" w:cs="Arial"/>
                          <w:color w:val="000000" w:themeColor="text1"/>
                          <w:sz w:val="18"/>
                          <w:szCs w:val="18"/>
                          <w:lang w:eastAsia="en-US"/>
                        </w:rPr>
                      </w:pPr>
                    </w:p>
                    <w:p w14:paraId="5BC86D51" w14:textId="77777777" w:rsidR="000D60F7" w:rsidRDefault="000D60F7" w:rsidP="000D60F7">
                      <w:pPr>
                        <w:pStyle w:val="ListParagraph"/>
                        <w:numPr>
                          <w:ilvl w:val="0"/>
                          <w:numId w:val="33"/>
                        </w:numPr>
                        <w:rPr>
                          <w:rFonts w:ascii="Arial" w:eastAsia="Times New Roman" w:hAnsi="Arial" w:cs="Arial"/>
                          <w:color w:val="000000" w:themeColor="text1"/>
                          <w:sz w:val="18"/>
                          <w:szCs w:val="18"/>
                          <w:lang w:eastAsia="en-US"/>
                        </w:rPr>
                      </w:pPr>
                      <w:r w:rsidRPr="00C12F10">
                        <w:rPr>
                          <w:rFonts w:ascii="Arial" w:eastAsia="Times New Roman" w:hAnsi="Arial" w:cs="Arial"/>
                          <w:color w:val="000000" w:themeColor="text1"/>
                          <w:sz w:val="18"/>
                          <w:szCs w:val="18"/>
                          <w:lang w:eastAsia="en-US"/>
                        </w:rPr>
                        <w:t xml:space="preserve">On September 3, Nelson Mullins Riley &amp; Scarborough LLP issued an </w:t>
                      </w:r>
                      <w:hyperlink r:id="rId68" w:history="1">
                        <w:r w:rsidRPr="00C12F10">
                          <w:rPr>
                            <w:rStyle w:val="Hyperlink"/>
                            <w:rFonts w:ascii="Arial" w:eastAsia="Times New Roman" w:hAnsi="Arial" w:cs="Arial"/>
                            <w:sz w:val="18"/>
                            <w:szCs w:val="18"/>
                            <w:lang w:eastAsia="en-US"/>
                          </w:rPr>
                          <w:t>article</w:t>
                        </w:r>
                      </w:hyperlink>
                      <w:r w:rsidRPr="00C12F10">
                        <w:rPr>
                          <w:rFonts w:ascii="Arial" w:eastAsia="Times New Roman" w:hAnsi="Arial" w:cs="Arial"/>
                          <w:color w:val="000000" w:themeColor="text1"/>
                          <w:sz w:val="18"/>
                          <w:szCs w:val="18"/>
                          <w:lang w:eastAsia="en-US"/>
                        </w:rPr>
                        <w:t xml:space="preserve"> describing the ways in which the Covid-19 pandemic may make a telemedicine benefit a more attractive offering for employers. Specifically, the article notes that remote work, the increased need for wellness programs, and relaxed regulatory enforcement with respect to telemedicine programs make the offering more valuable during this pandemic.</w:t>
                      </w:r>
                    </w:p>
                    <w:p w14:paraId="331695E4" w14:textId="77777777" w:rsidR="000D60F7" w:rsidRPr="00C12F10" w:rsidRDefault="000D60F7" w:rsidP="000D60F7">
                      <w:pPr>
                        <w:pStyle w:val="ListParagraph"/>
                        <w:rPr>
                          <w:rFonts w:ascii="Arial" w:eastAsia="Times New Roman" w:hAnsi="Arial" w:cs="Arial"/>
                          <w:color w:val="000000" w:themeColor="text1"/>
                          <w:sz w:val="18"/>
                          <w:szCs w:val="18"/>
                          <w:lang w:eastAsia="en-US"/>
                        </w:rPr>
                      </w:pPr>
                    </w:p>
                    <w:p w14:paraId="04812107" w14:textId="77777777" w:rsidR="000D60F7" w:rsidRDefault="000D60F7" w:rsidP="000D60F7">
                      <w:pPr>
                        <w:pStyle w:val="ListParagraph"/>
                        <w:numPr>
                          <w:ilvl w:val="0"/>
                          <w:numId w:val="33"/>
                        </w:numPr>
                        <w:rPr>
                          <w:rFonts w:ascii="Arial" w:eastAsia="Times New Roman" w:hAnsi="Arial" w:cs="Arial"/>
                          <w:color w:val="000000" w:themeColor="text1"/>
                          <w:sz w:val="18"/>
                          <w:szCs w:val="18"/>
                          <w:lang w:eastAsia="en-US"/>
                        </w:rPr>
                      </w:pPr>
                      <w:r w:rsidRPr="00CD2ACF">
                        <w:rPr>
                          <w:rFonts w:ascii="Arial" w:eastAsia="Times New Roman" w:hAnsi="Arial" w:cs="Arial"/>
                          <w:color w:val="000000" w:themeColor="text1"/>
                          <w:sz w:val="18"/>
                          <w:szCs w:val="18"/>
                          <w:lang w:eastAsia="en-US"/>
                        </w:rPr>
                        <w:t xml:space="preserve">On September 4, Katie Keith </w:t>
                      </w:r>
                      <w:hyperlink r:id="rId69" w:history="1">
                        <w:r w:rsidRPr="00CD2ACF">
                          <w:rPr>
                            <w:rStyle w:val="Hyperlink"/>
                            <w:rFonts w:ascii="Arial" w:eastAsia="Times New Roman" w:hAnsi="Arial" w:cs="Arial"/>
                            <w:sz w:val="18"/>
                            <w:szCs w:val="18"/>
                            <w:lang w:eastAsia="en-US"/>
                          </w:rPr>
                          <w:t>reported</w:t>
                        </w:r>
                      </w:hyperlink>
                      <w:r w:rsidRPr="00CD2ACF">
                        <w:rPr>
                          <w:rFonts w:ascii="Arial" w:eastAsia="Times New Roman" w:hAnsi="Arial" w:cs="Arial"/>
                          <w:color w:val="000000" w:themeColor="text1"/>
                          <w:sz w:val="18"/>
                          <w:szCs w:val="18"/>
                          <w:lang w:eastAsia="en-US"/>
                        </w:rPr>
                        <w:t xml:space="preserve"> in Health Affairs on a new preliminary injunction issued by the U.S. District Court for the District of Columbia against portions a recent OCR final rule. The final rule eliminated certain protections under Section 1557 of the Affordable Care Act (ACA) against discrimination based on gender identity or sexual orientation. This new preliminary injunction not only prevents HHS from enforcing the rule as it relates to sex discrimination; it also prevents HHS from enforcing a separate provision that allows health care providers to claim a religious exemption from Section 1557.</w:t>
                      </w:r>
                    </w:p>
                    <w:p w14:paraId="68DCAACF" w14:textId="77777777" w:rsidR="000D60F7" w:rsidRPr="000E21E5" w:rsidRDefault="000D60F7" w:rsidP="000D60F7">
                      <w:pPr>
                        <w:pStyle w:val="ListParagraph"/>
                        <w:rPr>
                          <w:rFonts w:ascii="Arial" w:eastAsia="Times New Roman" w:hAnsi="Arial" w:cs="Arial"/>
                          <w:color w:val="000000" w:themeColor="text1"/>
                          <w:sz w:val="18"/>
                          <w:szCs w:val="18"/>
                          <w:lang w:eastAsia="en-US"/>
                        </w:rPr>
                      </w:pPr>
                    </w:p>
                    <w:p w14:paraId="7491B9E9" w14:textId="77777777" w:rsidR="000D60F7" w:rsidRDefault="000D60F7" w:rsidP="000D60F7">
                      <w:pPr>
                        <w:pStyle w:val="ListParagraph"/>
                        <w:numPr>
                          <w:ilvl w:val="0"/>
                          <w:numId w:val="33"/>
                        </w:numPr>
                        <w:rPr>
                          <w:rFonts w:ascii="Arial" w:eastAsia="Times New Roman" w:hAnsi="Arial" w:cs="Arial"/>
                          <w:color w:val="000000" w:themeColor="text1"/>
                          <w:sz w:val="18"/>
                          <w:szCs w:val="18"/>
                          <w:lang w:eastAsia="en-US"/>
                        </w:rPr>
                      </w:pPr>
                      <w:r w:rsidRPr="000E21E5">
                        <w:rPr>
                          <w:rFonts w:ascii="Arial" w:eastAsia="Times New Roman" w:hAnsi="Arial" w:cs="Arial"/>
                          <w:color w:val="000000" w:themeColor="text1"/>
                          <w:sz w:val="18"/>
                          <w:szCs w:val="18"/>
                          <w:lang w:eastAsia="en-US"/>
                        </w:rPr>
                        <w:t xml:space="preserve">On September 9, the Internal Revenue Service (IRS) issued </w:t>
                      </w:r>
                      <w:hyperlink r:id="rId70" w:history="1">
                        <w:r w:rsidRPr="000E21E5">
                          <w:rPr>
                            <w:rStyle w:val="Hyperlink"/>
                            <w:rFonts w:ascii="Arial" w:eastAsia="Times New Roman" w:hAnsi="Arial" w:cs="Arial"/>
                            <w:sz w:val="18"/>
                            <w:szCs w:val="18"/>
                            <w:lang w:eastAsia="en-US"/>
                          </w:rPr>
                          <w:t>Notice 2020-66</w:t>
                        </w:r>
                      </w:hyperlink>
                      <w:r w:rsidRPr="000E21E5">
                        <w:rPr>
                          <w:rFonts w:ascii="Arial" w:eastAsia="Times New Roman" w:hAnsi="Arial" w:cs="Arial"/>
                          <w:color w:val="000000" w:themeColor="text1"/>
                          <w:sz w:val="18"/>
                          <w:szCs w:val="18"/>
                          <w:lang w:eastAsia="en-US"/>
                        </w:rPr>
                        <w:t>, clarifying that Medicaid coverage of Covid-19 testing and diagnostic services under the Families First Act is not considered minimum essential coverage (MEC) and therefore will not interfere with premium tax credit eligibility.</w:t>
                      </w:r>
                    </w:p>
                    <w:p w14:paraId="1596235F" w14:textId="77777777" w:rsidR="000D60F7" w:rsidRPr="000E21E5" w:rsidRDefault="000D60F7" w:rsidP="000D60F7">
                      <w:pPr>
                        <w:pStyle w:val="ListParagraph"/>
                        <w:rPr>
                          <w:rFonts w:ascii="Arial" w:eastAsia="Times New Roman" w:hAnsi="Arial" w:cs="Arial"/>
                          <w:color w:val="000000" w:themeColor="text1"/>
                          <w:sz w:val="18"/>
                          <w:szCs w:val="18"/>
                          <w:lang w:eastAsia="en-US"/>
                        </w:rPr>
                      </w:pPr>
                    </w:p>
                    <w:p w14:paraId="3BD7B393" w14:textId="77777777" w:rsidR="000D60F7" w:rsidRDefault="000D60F7" w:rsidP="000D60F7">
                      <w:pPr>
                        <w:pStyle w:val="ListParagraph"/>
                        <w:numPr>
                          <w:ilvl w:val="0"/>
                          <w:numId w:val="33"/>
                        </w:numPr>
                        <w:rPr>
                          <w:rFonts w:ascii="Arial" w:eastAsia="Times New Roman" w:hAnsi="Arial" w:cs="Arial"/>
                          <w:color w:val="000000" w:themeColor="text1"/>
                          <w:sz w:val="18"/>
                          <w:szCs w:val="18"/>
                          <w:lang w:eastAsia="en-US"/>
                        </w:rPr>
                      </w:pPr>
                      <w:r>
                        <w:rPr>
                          <w:rFonts w:ascii="Arial" w:eastAsia="Times New Roman" w:hAnsi="Arial" w:cs="Arial"/>
                          <w:color w:val="000000" w:themeColor="text1"/>
                          <w:sz w:val="18"/>
                          <w:szCs w:val="18"/>
                          <w:lang w:eastAsia="en-US"/>
                        </w:rPr>
                        <w:t>In August,</w:t>
                      </w:r>
                      <w:r w:rsidRPr="00875550">
                        <w:rPr>
                          <w:rFonts w:ascii="Arial" w:eastAsia="Times New Roman" w:hAnsi="Arial" w:cs="Arial"/>
                          <w:color w:val="000000" w:themeColor="text1"/>
                          <w:sz w:val="18"/>
                          <w:szCs w:val="18"/>
                          <w:lang w:eastAsia="en-US"/>
                        </w:rPr>
                        <w:t xml:space="preserve"> a New York District Court </w:t>
                      </w:r>
                      <w:hyperlink r:id="rId71" w:history="1">
                        <w:r w:rsidRPr="006B313B">
                          <w:rPr>
                            <w:rStyle w:val="Hyperlink"/>
                            <w:rFonts w:ascii="Arial" w:eastAsia="Times New Roman" w:hAnsi="Arial" w:cs="Arial"/>
                            <w:sz w:val="18"/>
                            <w:szCs w:val="18"/>
                            <w:lang w:eastAsia="en-US"/>
                          </w:rPr>
                          <w:t>vacated</w:t>
                        </w:r>
                      </w:hyperlink>
                      <w:r w:rsidRPr="00875550">
                        <w:rPr>
                          <w:rFonts w:ascii="Arial" w:eastAsia="Times New Roman" w:hAnsi="Arial" w:cs="Arial"/>
                          <w:color w:val="000000" w:themeColor="text1"/>
                          <w:sz w:val="18"/>
                          <w:szCs w:val="18"/>
                          <w:lang w:eastAsia="en-US"/>
                        </w:rPr>
                        <w:t xml:space="preserve"> four (4) provisions of the Department of Labor’s (DOL’s) final rule regarding the Families First Coronavirus Relief Act (FFCRA). In response, the DOL recently </w:t>
                      </w:r>
                      <w:r w:rsidRPr="000B23AB">
                        <w:rPr>
                          <w:rFonts w:ascii="Arial" w:eastAsia="Times New Roman" w:hAnsi="Arial" w:cs="Arial"/>
                          <w:color w:val="000000" w:themeColor="text1"/>
                          <w:sz w:val="18"/>
                          <w:szCs w:val="18"/>
                          <w:lang w:eastAsia="en-US"/>
                        </w:rPr>
                        <w:t>issued</w:t>
                      </w:r>
                      <w:r w:rsidRPr="00875550">
                        <w:rPr>
                          <w:rFonts w:ascii="Arial" w:eastAsia="Times New Roman" w:hAnsi="Arial" w:cs="Arial"/>
                          <w:color w:val="000000" w:themeColor="text1"/>
                          <w:sz w:val="18"/>
                          <w:szCs w:val="18"/>
                          <w:lang w:eastAsia="en-US"/>
                        </w:rPr>
                        <w:t xml:space="preserve"> </w:t>
                      </w:r>
                      <w:hyperlink r:id="rId72" w:history="1">
                        <w:r w:rsidRPr="000B23AB">
                          <w:rPr>
                            <w:rStyle w:val="Hyperlink"/>
                            <w:rFonts w:ascii="Arial" w:eastAsia="Times New Roman" w:hAnsi="Arial" w:cs="Arial"/>
                            <w:sz w:val="18"/>
                            <w:szCs w:val="18"/>
                            <w:lang w:eastAsia="en-US"/>
                          </w:rPr>
                          <w:t>revisions and clarifications</w:t>
                        </w:r>
                      </w:hyperlink>
                      <w:r w:rsidRPr="00875550">
                        <w:rPr>
                          <w:rFonts w:ascii="Arial" w:eastAsia="Times New Roman" w:hAnsi="Arial" w:cs="Arial"/>
                          <w:color w:val="000000" w:themeColor="text1"/>
                          <w:sz w:val="18"/>
                          <w:szCs w:val="18"/>
                          <w:lang w:eastAsia="en-US"/>
                        </w:rPr>
                        <w:t xml:space="preserve"> to its rule. Littler provides a summary of the revised rule’s key provisions </w:t>
                      </w:r>
                      <w:hyperlink r:id="rId73" w:history="1">
                        <w:r w:rsidRPr="000B23AB">
                          <w:rPr>
                            <w:rStyle w:val="Hyperlink"/>
                            <w:rFonts w:ascii="Arial" w:eastAsia="Times New Roman" w:hAnsi="Arial" w:cs="Arial"/>
                            <w:sz w:val="18"/>
                            <w:szCs w:val="18"/>
                            <w:lang w:eastAsia="en-US"/>
                          </w:rPr>
                          <w:t>here</w:t>
                        </w:r>
                      </w:hyperlink>
                      <w:r w:rsidRPr="00875550">
                        <w:rPr>
                          <w:rFonts w:ascii="Arial" w:eastAsia="Times New Roman" w:hAnsi="Arial" w:cs="Arial"/>
                          <w:color w:val="000000" w:themeColor="text1"/>
                          <w:sz w:val="18"/>
                          <w:szCs w:val="18"/>
                          <w:lang w:eastAsia="en-US"/>
                        </w:rPr>
                        <w:t>.</w:t>
                      </w:r>
                    </w:p>
                    <w:p w14:paraId="5D10F3DB" w14:textId="77777777" w:rsidR="000D60F7" w:rsidRPr="007B0C57" w:rsidRDefault="000D60F7" w:rsidP="000D60F7">
                      <w:pPr>
                        <w:rPr>
                          <w:rFonts w:ascii="Arial" w:eastAsia="Times New Roman" w:hAnsi="Arial" w:cs="Arial"/>
                          <w:color w:val="000000" w:themeColor="text1"/>
                          <w:sz w:val="18"/>
                          <w:szCs w:val="18"/>
                          <w:lang w:eastAsia="en-US"/>
                        </w:rPr>
                      </w:pPr>
                    </w:p>
                    <w:p w14:paraId="6E67F026" w14:textId="77777777" w:rsidR="000D60F7" w:rsidRPr="005C7A6D" w:rsidRDefault="000D60F7" w:rsidP="000D60F7">
                      <w:pPr>
                        <w:pStyle w:val="ListParagraph"/>
                        <w:spacing w:line="360" w:lineRule="auto"/>
                        <w:ind w:left="360"/>
                        <w:rPr>
                          <w:rFonts w:ascii="Arial" w:eastAsia="Times New Roman" w:hAnsi="Arial" w:cs="Arial"/>
                          <w:color w:val="000000" w:themeColor="text1"/>
                          <w:sz w:val="18"/>
                          <w:szCs w:val="18"/>
                          <w:lang w:eastAsia="en-US"/>
                        </w:rPr>
                      </w:pPr>
                    </w:p>
                  </w:txbxContent>
                </v:textbox>
                <w10:wrap type="square" anchory="page"/>
              </v:shape>
            </w:pict>
          </mc:Fallback>
        </mc:AlternateContent>
      </w:r>
      <w:r w:rsidR="00D53242" w:rsidRPr="009E5CED">
        <w:rPr>
          <w:rStyle w:val="Strong"/>
          <w:b/>
          <w:bCs/>
          <w:color w:val="333333"/>
        </w:rPr>
        <w:t>California Releases Draft Employer Reporting Instructions</w:t>
      </w:r>
      <w:bookmarkEnd w:id="12"/>
    </w:p>
    <w:p w14:paraId="1B1D42F6" w14:textId="77777777" w:rsidR="00550362" w:rsidRDefault="00550362" w:rsidP="00550362">
      <w:pPr>
        <w:spacing w:line="276" w:lineRule="auto"/>
        <w:rPr>
          <w:rFonts w:ascii="Arial" w:hAnsi="Arial" w:cs="Arial"/>
          <w:color w:val="555555"/>
          <w:sz w:val="20"/>
          <w:szCs w:val="20"/>
          <w:shd w:val="clear" w:color="auto" w:fill="FFFFFF"/>
        </w:rPr>
      </w:pPr>
    </w:p>
    <w:p w14:paraId="6CB16EB6" w14:textId="1C8450D2" w:rsidR="001003D3" w:rsidRPr="009E5CED" w:rsidRDefault="00D13746" w:rsidP="00550362">
      <w:pPr>
        <w:spacing w:line="276" w:lineRule="auto"/>
        <w:rPr>
          <w:rFonts w:ascii="Arial" w:hAnsi="Arial" w:cs="Arial"/>
          <w:color w:val="555555"/>
          <w:sz w:val="20"/>
          <w:szCs w:val="20"/>
          <w:shd w:val="clear" w:color="auto" w:fill="FFFFFF"/>
        </w:rPr>
      </w:pPr>
      <w:r w:rsidRPr="009E5CED">
        <w:rPr>
          <w:rFonts w:ascii="Arial" w:hAnsi="Arial" w:cs="Arial"/>
          <w:color w:val="555555"/>
          <w:sz w:val="20"/>
          <w:szCs w:val="20"/>
          <w:shd w:val="clear" w:color="auto" w:fill="FFFFFF"/>
        </w:rPr>
        <w:t>California has recently released draft reporting instructions to assist employers and other entities who are subject to reporting requirements under California’s individual mandate. These forms help clarify exactly who is subject to California’s reporting requirements; what content must be filed with the state and on what forms; the due date for such information; and other issues related to filing requirements.</w:t>
      </w:r>
    </w:p>
    <w:p w14:paraId="7A8BE344" w14:textId="77777777" w:rsidR="00550362" w:rsidRDefault="00550362" w:rsidP="00550362">
      <w:pPr>
        <w:spacing w:line="276" w:lineRule="auto"/>
        <w:rPr>
          <w:rFonts w:ascii="Arial" w:hAnsi="Arial" w:cs="Arial"/>
          <w:color w:val="555555"/>
          <w:sz w:val="20"/>
          <w:szCs w:val="20"/>
          <w:shd w:val="clear" w:color="auto" w:fill="FFFFFF"/>
        </w:rPr>
      </w:pPr>
    </w:p>
    <w:p w14:paraId="7DECB4F6" w14:textId="4C9E9376" w:rsidR="00D13746" w:rsidRPr="009E5CED" w:rsidRDefault="00D13746" w:rsidP="00550362">
      <w:pPr>
        <w:spacing w:line="276" w:lineRule="auto"/>
        <w:rPr>
          <w:rFonts w:ascii="Arial" w:hAnsi="Arial" w:cs="Arial"/>
          <w:color w:val="555555"/>
          <w:sz w:val="20"/>
          <w:szCs w:val="20"/>
          <w:shd w:val="clear" w:color="auto" w:fill="FFFFFF"/>
        </w:rPr>
      </w:pPr>
      <w:r w:rsidRPr="009E5CED">
        <w:rPr>
          <w:rFonts w:ascii="Arial" w:hAnsi="Arial" w:cs="Arial"/>
          <w:color w:val="555555"/>
          <w:sz w:val="20"/>
          <w:szCs w:val="20"/>
          <w:shd w:val="clear" w:color="auto" w:fill="FFFFFF"/>
        </w:rPr>
        <w:t xml:space="preserve">More here: </w:t>
      </w:r>
      <w:hyperlink r:id="rId74" w:history="1">
        <w:r w:rsidRPr="009E5CED">
          <w:rPr>
            <w:rStyle w:val="Hyperlink"/>
            <w:rFonts w:ascii="Arial" w:hAnsi="Arial" w:cs="Arial"/>
            <w:sz w:val="20"/>
            <w:szCs w:val="20"/>
            <w:shd w:val="clear" w:color="auto" w:fill="FFFFFF"/>
          </w:rPr>
          <w:t>https://benefitcomply.com/compliance-alert-california-releases-draft-employer-reporting-instructions/</w:t>
        </w:r>
      </w:hyperlink>
    </w:p>
    <w:p w14:paraId="334C67AD" w14:textId="0E39A9AB" w:rsidR="00D13746" w:rsidRPr="009E5CED" w:rsidRDefault="00D13746" w:rsidP="009E5CED">
      <w:pPr>
        <w:spacing w:line="360" w:lineRule="auto"/>
        <w:rPr>
          <w:rFonts w:ascii="Arial" w:hAnsi="Arial" w:cs="Arial"/>
          <w:color w:val="555555"/>
          <w:sz w:val="20"/>
          <w:szCs w:val="20"/>
          <w:shd w:val="clear" w:color="auto" w:fill="FFFFFF"/>
        </w:rPr>
      </w:pPr>
    </w:p>
    <w:p w14:paraId="1C36754A" w14:textId="3D0EB923" w:rsidR="00AF6D05" w:rsidRPr="009E5CED" w:rsidRDefault="00AF6D05" w:rsidP="00550362">
      <w:pPr>
        <w:pStyle w:val="Heading2"/>
        <w:numPr>
          <w:ilvl w:val="0"/>
          <w:numId w:val="0"/>
        </w:numPr>
        <w:shd w:val="clear" w:color="auto" w:fill="FFFFFF"/>
        <w:spacing w:after="0" w:line="360" w:lineRule="atLeast"/>
        <w:ind w:left="360" w:hanging="360"/>
        <w:rPr>
          <w:color w:val="333333"/>
        </w:rPr>
      </w:pPr>
      <w:bookmarkStart w:id="13" w:name="_Toc52954067"/>
      <w:r w:rsidRPr="009E5CED">
        <w:rPr>
          <w:b/>
          <w:bCs/>
          <w:color w:val="333333"/>
        </w:rPr>
        <w:t>Life Insurance – Imputing Income</w:t>
      </w:r>
      <w:bookmarkEnd w:id="13"/>
    </w:p>
    <w:p w14:paraId="30F4EA6A" w14:textId="77777777" w:rsidR="00550362" w:rsidRDefault="00550362" w:rsidP="00550362">
      <w:pPr>
        <w:spacing w:line="276" w:lineRule="auto"/>
        <w:rPr>
          <w:rFonts w:ascii="Arial" w:hAnsi="Arial" w:cs="Arial"/>
          <w:color w:val="555555"/>
          <w:sz w:val="20"/>
          <w:szCs w:val="20"/>
          <w:shd w:val="clear" w:color="auto" w:fill="FFFFFF"/>
        </w:rPr>
      </w:pPr>
    </w:p>
    <w:p w14:paraId="552ECA21" w14:textId="0334EF63" w:rsidR="00D13746" w:rsidRPr="009E5CED" w:rsidRDefault="003B1180" w:rsidP="00550362">
      <w:pPr>
        <w:spacing w:line="276" w:lineRule="auto"/>
        <w:rPr>
          <w:rFonts w:ascii="Arial" w:hAnsi="Arial" w:cs="Arial"/>
          <w:color w:val="555555"/>
          <w:sz w:val="20"/>
          <w:szCs w:val="20"/>
          <w:shd w:val="clear" w:color="auto" w:fill="FFFFFF"/>
        </w:rPr>
      </w:pPr>
      <w:r w:rsidRPr="009E5CED">
        <w:rPr>
          <w:rFonts w:ascii="Arial" w:hAnsi="Arial" w:cs="Arial"/>
          <w:color w:val="555555"/>
          <w:sz w:val="20"/>
          <w:szCs w:val="20"/>
          <w:shd w:val="clear" w:color="auto" w:fill="FFFFFF"/>
        </w:rPr>
        <w:t>Life insurance policies (both group term life and supplemental life policies) are commonly offered by employers, but such policies cannot always be provided on a tax-favored basis like group health plan coverage. Employers offering life insurance to employees and their family members need to understand the taxation rules to impute additional taxable compensation where appropriate. The taxation of such benefits will depend upon whose life is insured, the benefit amount, the cost of coverage, and the handling of premium payments.</w:t>
      </w:r>
    </w:p>
    <w:p w14:paraId="0BEB3743" w14:textId="77777777" w:rsidR="00550362" w:rsidRDefault="00550362" w:rsidP="00550362">
      <w:pPr>
        <w:spacing w:line="276" w:lineRule="auto"/>
        <w:rPr>
          <w:rFonts w:ascii="Arial" w:hAnsi="Arial" w:cs="Arial"/>
          <w:color w:val="555555"/>
          <w:sz w:val="20"/>
          <w:szCs w:val="20"/>
          <w:shd w:val="clear" w:color="auto" w:fill="FFFFFF"/>
        </w:rPr>
      </w:pPr>
    </w:p>
    <w:p w14:paraId="207D79A6" w14:textId="3ED1A672" w:rsidR="003B1180" w:rsidRPr="009E5CED" w:rsidRDefault="003B1180" w:rsidP="00550362">
      <w:pPr>
        <w:spacing w:line="276" w:lineRule="auto"/>
        <w:rPr>
          <w:rFonts w:ascii="Arial" w:hAnsi="Arial" w:cs="Arial"/>
          <w:color w:val="555555"/>
          <w:sz w:val="20"/>
          <w:szCs w:val="20"/>
          <w:shd w:val="clear" w:color="auto" w:fill="FFFFFF"/>
        </w:rPr>
      </w:pPr>
      <w:r w:rsidRPr="009E5CED">
        <w:rPr>
          <w:rFonts w:ascii="Arial" w:hAnsi="Arial" w:cs="Arial"/>
          <w:color w:val="555555"/>
          <w:sz w:val="20"/>
          <w:szCs w:val="20"/>
          <w:shd w:val="clear" w:color="auto" w:fill="FFFFFF"/>
        </w:rPr>
        <w:t xml:space="preserve">More here: </w:t>
      </w:r>
      <w:hyperlink r:id="rId75" w:history="1">
        <w:r w:rsidRPr="009E5CED">
          <w:rPr>
            <w:rStyle w:val="Hyperlink"/>
            <w:rFonts w:ascii="Arial" w:hAnsi="Arial" w:cs="Arial"/>
            <w:sz w:val="20"/>
            <w:szCs w:val="20"/>
            <w:shd w:val="clear" w:color="auto" w:fill="FFFFFF"/>
          </w:rPr>
          <w:t>https://benefitcomply.com/life-insurance-imputing-income/</w:t>
        </w:r>
      </w:hyperlink>
    </w:p>
    <w:p w14:paraId="648C8154" w14:textId="77777777" w:rsidR="009010CA" w:rsidRDefault="009010CA" w:rsidP="00AD44D9">
      <w:pPr>
        <w:spacing w:line="360" w:lineRule="auto"/>
        <w:rPr>
          <w:rFonts w:ascii="Arial" w:hAnsi="Arial" w:cs="Arial"/>
          <w:b/>
          <w:bCs/>
          <w:color w:val="0070C0"/>
          <w:sz w:val="32"/>
          <w:szCs w:val="32"/>
        </w:rPr>
      </w:pPr>
    </w:p>
    <w:p w14:paraId="5CC9AA50" w14:textId="77777777" w:rsidR="000D60F7" w:rsidRDefault="000D60F7">
      <w:pPr>
        <w:spacing w:after="320" w:line="300" w:lineRule="auto"/>
        <w:rPr>
          <w:rFonts w:ascii="Arial" w:hAnsi="Arial" w:cs="Arial"/>
          <w:b/>
          <w:color w:val="2F528F"/>
          <w:spacing w:val="20"/>
          <w:sz w:val="32"/>
          <w:szCs w:val="32"/>
        </w:rPr>
      </w:pPr>
      <w:bookmarkStart w:id="14" w:name="_Toc52954068"/>
      <w:r>
        <w:rPr>
          <w:sz w:val="32"/>
          <w:szCs w:val="32"/>
        </w:rPr>
        <w:br w:type="page"/>
      </w:r>
    </w:p>
    <w:p w14:paraId="7E4328ED" w14:textId="486B708D" w:rsidR="00846F77" w:rsidRPr="00EF3652" w:rsidRDefault="00C65FEF" w:rsidP="00EF3652">
      <w:pPr>
        <w:pStyle w:val="Heading1"/>
        <w:rPr>
          <w:sz w:val="32"/>
          <w:szCs w:val="32"/>
        </w:rPr>
      </w:pPr>
      <w:r w:rsidRPr="00EF3652">
        <w:rPr>
          <w:sz w:val="32"/>
          <w:szCs w:val="32"/>
        </w:rPr>
        <w:lastRenderedPageBreak/>
        <w:t>Quarterly Q&amp;A</w:t>
      </w:r>
      <w:bookmarkEnd w:id="14"/>
      <w:r w:rsidR="00EF3652">
        <w:rPr>
          <w:sz w:val="32"/>
          <w:szCs w:val="32"/>
        </w:rPr>
        <w:br/>
      </w:r>
    </w:p>
    <w:p w14:paraId="21F50EE9" w14:textId="4DE0F330" w:rsidR="00746720" w:rsidRDefault="00746720" w:rsidP="009010CA">
      <w:pPr>
        <w:shd w:val="clear" w:color="auto" w:fill="FFFFFF"/>
        <w:spacing w:line="276" w:lineRule="auto"/>
        <w:rPr>
          <w:rFonts w:ascii="Arial" w:eastAsia="Times New Roman" w:hAnsi="Arial" w:cs="Arial"/>
          <w:color w:val="191E23"/>
          <w:sz w:val="20"/>
          <w:szCs w:val="20"/>
          <w:lang w:eastAsia="en-US"/>
        </w:rPr>
      </w:pPr>
      <w:r w:rsidRPr="00746720">
        <w:rPr>
          <w:rFonts w:ascii="Arial" w:eastAsia="Times New Roman" w:hAnsi="Arial" w:cs="Arial"/>
          <w:b/>
          <w:bCs/>
          <w:color w:val="191E23"/>
          <w:sz w:val="20"/>
          <w:szCs w:val="20"/>
          <w:lang w:eastAsia="en-US"/>
        </w:rPr>
        <w:t xml:space="preserve">Question: </w:t>
      </w:r>
      <w:r w:rsidRPr="00746720">
        <w:rPr>
          <w:rFonts w:ascii="Arial" w:eastAsia="Times New Roman" w:hAnsi="Arial" w:cs="Arial"/>
          <w:color w:val="191E23"/>
          <w:sz w:val="20"/>
          <w:szCs w:val="20"/>
          <w:lang w:eastAsia="en-US"/>
        </w:rPr>
        <w:t>What are the different rules with respect to annual contribution limits for health flexible spending accounts (HFSAs), dependent care assistance plans (DCAPs), and health savings accounts (HSAs) when an employee joins the employer’s plan mid-plan year?</w:t>
      </w:r>
    </w:p>
    <w:p w14:paraId="49DE556C" w14:textId="77777777" w:rsidR="00550362" w:rsidRPr="00746720" w:rsidRDefault="00550362" w:rsidP="009010CA">
      <w:pPr>
        <w:shd w:val="clear" w:color="auto" w:fill="FFFFFF"/>
        <w:spacing w:line="276" w:lineRule="auto"/>
        <w:rPr>
          <w:rFonts w:ascii="Arial" w:eastAsia="Times New Roman" w:hAnsi="Arial" w:cs="Arial"/>
          <w:color w:val="191E23"/>
          <w:sz w:val="20"/>
          <w:szCs w:val="20"/>
          <w:lang w:eastAsia="en-US"/>
        </w:rPr>
      </w:pPr>
    </w:p>
    <w:p w14:paraId="5149C49B" w14:textId="717FFA08" w:rsidR="00746720" w:rsidRDefault="00746720" w:rsidP="009010CA">
      <w:pPr>
        <w:shd w:val="clear" w:color="auto" w:fill="FFFFFF"/>
        <w:spacing w:line="276" w:lineRule="auto"/>
        <w:rPr>
          <w:rFonts w:ascii="Arial" w:eastAsia="Times New Roman" w:hAnsi="Arial" w:cs="Arial"/>
          <w:color w:val="191E23"/>
          <w:sz w:val="20"/>
          <w:szCs w:val="20"/>
          <w:lang w:eastAsia="en-US"/>
        </w:rPr>
      </w:pPr>
      <w:r w:rsidRPr="00746720">
        <w:rPr>
          <w:rFonts w:ascii="Arial" w:eastAsia="Times New Roman" w:hAnsi="Arial" w:cs="Arial"/>
          <w:b/>
          <w:bCs/>
          <w:color w:val="191E23"/>
          <w:sz w:val="20"/>
          <w:szCs w:val="20"/>
          <w:lang w:eastAsia="en-US"/>
        </w:rPr>
        <w:t xml:space="preserve">Answer: </w:t>
      </w:r>
      <w:r w:rsidRPr="00746720">
        <w:rPr>
          <w:rFonts w:ascii="Arial" w:eastAsia="Times New Roman" w:hAnsi="Arial" w:cs="Arial"/>
          <w:color w:val="191E23"/>
          <w:sz w:val="20"/>
          <w:szCs w:val="20"/>
          <w:lang w:eastAsia="en-US"/>
        </w:rPr>
        <w:t>Different contribution rules apply depending on the plan/account in question. More detail is provided below.</w:t>
      </w:r>
    </w:p>
    <w:p w14:paraId="55A7F107" w14:textId="77777777" w:rsidR="00550362" w:rsidRPr="00746720" w:rsidRDefault="00550362" w:rsidP="00746720">
      <w:pPr>
        <w:shd w:val="clear" w:color="auto" w:fill="FFFFFF"/>
        <w:rPr>
          <w:rFonts w:ascii="Arial" w:eastAsia="Times New Roman" w:hAnsi="Arial" w:cs="Arial"/>
          <w:color w:val="191E23"/>
          <w:sz w:val="20"/>
          <w:szCs w:val="20"/>
          <w:lang w:eastAsia="en-US"/>
        </w:rPr>
      </w:pPr>
    </w:p>
    <w:p w14:paraId="16083E7C" w14:textId="77777777" w:rsidR="00746720" w:rsidRPr="00746720" w:rsidRDefault="00746720" w:rsidP="00746720">
      <w:pPr>
        <w:shd w:val="clear" w:color="auto" w:fill="FFFFFF"/>
        <w:rPr>
          <w:rFonts w:ascii="Arial" w:eastAsia="Times New Roman" w:hAnsi="Arial" w:cs="Arial"/>
          <w:color w:val="191E23"/>
          <w:sz w:val="20"/>
          <w:szCs w:val="20"/>
          <w:lang w:eastAsia="en-US"/>
        </w:rPr>
      </w:pPr>
      <w:r w:rsidRPr="00746720">
        <w:rPr>
          <w:rFonts w:ascii="Arial" w:eastAsia="Times New Roman" w:hAnsi="Arial" w:cs="Arial"/>
          <w:b/>
          <w:bCs/>
          <w:color w:val="191E23"/>
          <w:sz w:val="20"/>
          <w:szCs w:val="20"/>
          <w:lang w:eastAsia="en-US"/>
        </w:rPr>
        <w:t>HFSAs</w:t>
      </w:r>
    </w:p>
    <w:p w14:paraId="0CB64109" w14:textId="77777777" w:rsidR="00550362" w:rsidRDefault="00550362" w:rsidP="00746720">
      <w:pPr>
        <w:shd w:val="clear" w:color="auto" w:fill="FFFFFF"/>
        <w:rPr>
          <w:rFonts w:ascii="Arial" w:eastAsia="Times New Roman" w:hAnsi="Arial" w:cs="Arial"/>
          <w:color w:val="191E23"/>
          <w:sz w:val="20"/>
          <w:szCs w:val="20"/>
          <w:lang w:eastAsia="en-US"/>
        </w:rPr>
      </w:pPr>
    </w:p>
    <w:p w14:paraId="5551DC29" w14:textId="26D67794" w:rsidR="00746720" w:rsidRPr="00746720" w:rsidRDefault="00746720" w:rsidP="00550362">
      <w:pPr>
        <w:shd w:val="clear" w:color="auto" w:fill="FFFFFF"/>
        <w:spacing w:line="276" w:lineRule="auto"/>
        <w:rPr>
          <w:rFonts w:ascii="Arial" w:eastAsia="Times New Roman" w:hAnsi="Arial" w:cs="Arial"/>
          <w:color w:val="191E23"/>
          <w:sz w:val="20"/>
          <w:szCs w:val="20"/>
          <w:lang w:eastAsia="en-US"/>
        </w:rPr>
      </w:pPr>
      <w:r w:rsidRPr="00746720">
        <w:rPr>
          <w:rFonts w:ascii="Arial" w:eastAsia="Times New Roman" w:hAnsi="Arial" w:cs="Arial"/>
          <w:color w:val="191E23"/>
          <w:sz w:val="20"/>
          <w:szCs w:val="20"/>
          <w:lang w:eastAsia="en-US"/>
        </w:rPr>
        <w:t>When an employee joins a HFSA mid-plan year, they may elect to make up to the full annual contribution limit ($2,750 for 2020). This is true even if the individual previously contributed to a HFSA under another employer’s plan during the same plan year, since the annual contribution limits apply on a per-plan basis.</w:t>
      </w:r>
    </w:p>
    <w:p w14:paraId="0CF997DF" w14:textId="77777777" w:rsidR="00550362" w:rsidRDefault="00550362" w:rsidP="00550362">
      <w:pPr>
        <w:shd w:val="clear" w:color="auto" w:fill="FFFFFF"/>
        <w:spacing w:line="276" w:lineRule="auto"/>
        <w:rPr>
          <w:rFonts w:ascii="Arial" w:eastAsia="Times New Roman" w:hAnsi="Arial" w:cs="Arial"/>
          <w:i/>
          <w:iCs/>
          <w:color w:val="191E23"/>
          <w:sz w:val="20"/>
          <w:szCs w:val="20"/>
          <w:lang w:eastAsia="en-US"/>
        </w:rPr>
      </w:pPr>
    </w:p>
    <w:p w14:paraId="0A2EF353" w14:textId="46E9A8B2" w:rsidR="00AF423D" w:rsidRPr="00550362" w:rsidRDefault="00746720" w:rsidP="00550362">
      <w:pPr>
        <w:shd w:val="clear" w:color="auto" w:fill="FFFFFF"/>
        <w:spacing w:line="276" w:lineRule="auto"/>
        <w:rPr>
          <w:rFonts w:ascii="Arial" w:eastAsia="Times New Roman" w:hAnsi="Arial" w:cs="Arial"/>
          <w:i/>
          <w:iCs/>
          <w:color w:val="191E23"/>
          <w:sz w:val="20"/>
          <w:szCs w:val="20"/>
          <w:lang w:eastAsia="en-US"/>
        </w:rPr>
      </w:pPr>
      <w:r w:rsidRPr="00746720">
        <w:rPr>
          <w:rFonts w:ascii="Arial" w:eastAsia="Times New Roman" w:hAnsi="Arial" w:cs="Arial"/>
          <w:i/>
          <w:iCs/>
          <w:color w:val="191E23"/>
          <w:sz w:val="20"/>
          <w:szCs w:val="20"/>
          <w:lang w:eastAsia="en-US"/>
        </w:rPr>
        <w:t xml:space="preserve">Example: Denise is hired by Employer A on May 6. Employer A offers a HFSA that runs on a calendar year. Denise elects to contribute $2,750 to the HFSA.  Denise’s coverage takes effect </w:t>
      </w:r>
    </w:p>
    <w:p w14:paraId="4077E4D1" w14:textId="6FA78F3C" w:rsidR="00746720" w:rsidRPr="00746720" w:rsidRDefault="00746720" w:rsidP="00550362">
      <w:pPr>
        <w:shd w:val="clear" w:color="auto" w:fill="FFFFFF"/>
        <w:spacing w:line="276" w:lineRule="auto"/>
        <w:rPr>
          <w:rFonts w:ascii="Arial" w:eastAsia="Times New Roman" w:hAnsi="Arial" w:cs="Arial"/>
          <w:color w:val="191E23"/>
          <w:sz w:val="20"/>
          <w:szCs w:val="20"/>
          <w:lang w:eastAsia="en-US"/>
        </w:rPr>
      </w:pPr>
      <w:r w:rsidRPr="00746720">
        <w:rPr>
          <w:rFonts w:ascii="Arial" w:eastAsia="Times New Roman" w:hAnsi="Arial" w:cs="Arial"/>
          <w:i/>
          <w:iCs/>
          <w:color w:val="191E23"/>
          <w:sz w:val="20"/>
          <w:szCs w:val="20"/>
          <w:lang w:eastAsia="en-US"/>
        </w:rPr>
        <w:t>June 1. Since Denise is permitted to make a full annual election for her HFA even though she has joined mid plan year, she will be able to make contributions of $392.85/month to her HFSA for each of her 7 months of coverage. (And remember that because of the “uniform contribution rule,” Denise’s full annual contribution election amount will be available for reimbursement of claims beginning on June 1, even though Denise has not yet contributed that amount to her HFSA.)</w:t>
      </w:r>
    </w:p>
    <w:p w14:paraId="739B617D" w14:textId="77777777" w:rsidR="00550362" w:rsidRDefault="00550362" w:rsidP="00550362">
      <w:pPr>
        <w:shd w:val="clear" w:color="auto" w:fill="FFFFFF"/>
        <w:spacing w:line="276" w:lineRule="auto"/>
        <w:rPr>
          <w:rFonts w:ascii="Arial" w:eastAsia="Times New Roman" w:hAnsi="Arial" w:cs="Arial"/>
          <w:i/>
          <w:iCs/>
          <w:color w:val="191E23"/>
          <w:sz w:val="20"/>
          <w:szCs w:val="20"/>
          <w:lang w:eastAsia="en-US"/>
        </w:rPr>
      </w:pPr>
    </w:p>
    <w:p w14:paraId="1EF66DD2" w14:textId="2C555367" w:rsidR="00EF3652" w:rsidRPr="00CA2AE2" w:rsidRDefault="00746720" w:rsidP="00CA2AE2">
      <w:pPr>
        <w:shd w:val="clear" w:color="auto" w:fill="FFFFFF"/>
        <w:spacing w:line="276" w:lineRule="auto"/>
        <w:rPr>
          <w:rFonts w:ascii="Arial" w:eastAsia="Times New Roman" w:hAnsi="Arial" w:cs="Arial"/>
          <w:i/>
          <w:iCs/>
          <w:color w:val="191E23"/>
          <w:sz w:val="20"/>
          <w:szCs w:val="20"/>
          <w:lang w:eastAsia="en-US"/>
        </w:rPr>
      </w:pPr>
      <w:r w:rsidRPr="00746720">
        <w:rPr>
          <w:rFonts w:ascii="Arial" w:eastAsia="Times New Roman" w:hAnsi="Arial" w:cs="Arial"/>
          <w:i/>
          <w:iCs/>
          <w:color w:val="191E23"/>
          <w:sz w:val="20"/>
          <w:szCs w:val="20"/>
          <w:lang w:eastAsia="en-US"/>
        </w:rPr>
        <w:t>NOTE: If the employer offers a short plan year for all participants (e.g. due to changing plan years or an acquisition), the employer is required to pro-rate the annual contribution limit accordingly.</w:t>
      </w:r>
    </w:p>
    <w:p w14:paraId="19306904" w14:textId="77777777" w:rsidR="00EF3652" w:rsidRDefault="00EF3652" w:rsidP="00746720">
      <w:pPr>
        <w:shd w:val="clear" w:color="auto" w:fill="FFFFFF"/>
        <w:rPr>
          <w:rFonts w:ascii="Arial" w:eastAsia="Times New Roman" w:hAnsi="Arial" w:cs="Arial"/>
          <w:b/>
          <w:bCs/>
          <w:color w:val="191E23"/>
          <w:sz w:val="20"/>
          <w:szCs w:val="20"/>
          <w:lang w:eastAsia="en-US"/>
        </w:rPr>
      </w:pPr>
    </w:p>
    <w:p w14:paraId="42D1F91F" w14:textId="6EDFC25D" w:rsidR="00746720" w:rsidRPr="00746720" w:rsidRDefault="00746720" w:rsidP="00746720">
      <w:pPr>
        <w:shd w:val="clear" w:color="auto" w:fill="FFFFFF"/>
        <w:rPr>
          <w:rFonts w:ascii="Arial" w:eastAsia="Times New Roman" w:hAnsi="Arial" w:cs="Arial"/>
          <w:color w:val="191E23"/>
          <w:sz w:val="20"/>
          <w:szCs w:val="20"/>
          <w:lang w:eastAsia="en-US"/>
        </w:rPr>
      </w:pPr>
      <w:r w:rsidRPr="00746720">
        <w:rPr>
          <w:rFonts w:ascii="Arial" w:eastAsia="Times New Roman" w:hAnsi="Arial" w:cs="Arial"/>
          <w:b/>
          <w:bCs/>
          <w:color w:val="191E23"/>
          <w:sz w:val="20"/>
          <w:szCs w:val="20"/>
          <w:lang w:eastAsia="en-US"/>
        </w:rPr>
        <w:t>HSAs</w:t>
      </w:r>
    </w:p>
    <w:p w14:paraId="04027223" w14:textId="77777777" w:rsidR="00550362" w:rsidRDefault="00550362" w:rsidP="00746720">
      <w:pPr>
        <w:shd w:val="clear" w:color="auto" w:fill="FFFFFF"/>
        <w:rPr>
          <w:rFonts w:ascii="Arial" w:eastAsia="Times New Roman" w:hAnsi="Arial" w:cs="Arial"/>
          <w:color w:val="191E23"/>
          <w:sz w:val="20"/>
          <w:szCs w:val="20"/>
          <w:lang w:eastAsia="en-US"/>
        </w:rPr>
      </w:pPr>
    </w:p>
    <w:p w14:paraId="0C4EF142" w14:textId="789BD86F" w:rsidR="00746720" w:rsidRPr="00746720" w:rsidRDefault="00746720" w:rsidP="009010CA">
      <w:pPr>
        <w:shd w:val="clear" w:color="auto" w:fill="FFFFFF"/>
        <w:spacing w:line="276" w:lineRule="auto"/>
        <w:rPr>
          <w:rFonts w:ascii="Arial" w:eastAsia="Times New Roman" w:hAnsi="Arial" w:cs="Arial"/>
          <w:color w:val="191E23"/>
          <w:sz w:val="20"/>
          <w:szCs w:val="20"/>
          <w:lang w:eastAsia="en-US"/>
        </w:rPr>
      </w:pPr>
      <w:r w:rsidRPr="00746720">
        <w:rPr>
          <w:rFonts w:ascii="Arial" w:eastAsia="Times New Roman" w:hAnsi="Arial" w:cs="Arial"/>
          <w:color w:val="191E23"/>
          <w:sz w:val="20"/>
          <w:szCs w:val="20"/>
          <w:lang w:eastAsia="en-US"/>
        </w:rPr>
        <w:t>HSA contribution maximums are determined on a calendar year basis and are generally calculated on a monthly basis for each month that an individual has qualified HDHP coverage in place. (An individual is considered to have HDHP coverage for any month in which the HDHP was in effect as of the first of the month.) So if an individual has HDHP coverage in place for 5 months of the calendar year and is HSA-eligible for those 5 months, they may establish to an HSA and contribute 1/12 of the annual statutory maximum for their applicable tier of coverage for each of those five months.</w:t>
      </w:r>
    </w:p>
    <w:p w14:paraId="40198901" w14:textId="77777777" w:rsidR="00550362" w:rsidRDefault="00550362" w:rsidP="009010CA">
      <w:pPr>
        <w:shd w:val="clear" w:color="auto" w:fill="FFFFFF"/>
        <w:spacing w:line="276" w:lineRule="auto"/>
        <w:rPr>
          <w:rFonts w:ascii="Arial" w:eastAsia="Times New Roman" w:hAnsi="Arial" w:cs="Arial"/>
          <w:i/>
          <w:iCs/>
          <w:color w:val="191E23"/>
          <w:sz w:val="20"/>
          <w:szCs w:val="20"/>
          <w:lang w:eastAsia="en-US"/>
        </w:rPr>
      </w:pPr>
    </w:p>
    <w:p w14:paraId="4B8A2008" w14:textId="2EA9C9A0" w:rsidR="00746720" w:rsidRDefault="00746720" w:rsidP="009010CA">
      <w:pPr>
        <w:shd w:val="clear" w:color="auto" w:fill="FFFFFF"/>
        <w:spacing w:line="276" w:lineRule="auto"/>
        <w:rPr>
          <w:rFonts w:ascii="Arial" w:eastAsia="Times New Roman" w:hAnsi="Arial" w:cs="Arial"/>
          <w:i/>
          <w:iCs/>
          <w:color w:val="191E23"/>
          <w:sz w:val="20"/>
          <w:szCs w:val="20"/>
          <w:lang w:eastAsia="en-US"/>
        </w:rPr>
      </w:pPr>
      <w:r w:rsidRPr="00746720">
        <w:rPr>
          <w:rFonts w:ascii="Arial" w:eastAsia="Times New Roman" w:hAnsi="Arial" w:cs="Arial"/>
          <w:i/>
          <w:iCs/>
          <w:color w:val="191E23"/>
          <w:sz w:val="20"/>
          <w:szCs w:val="20"/>
          <w:lang w:eastAsia="en-US"/>
        </w:rPr>
        <w:t>Example: Jose is hired by Employer B on June 13, 2020. He enrolls in single coverage under an HSA-compatible HDHP and coverage takes effect August 1.</w:t>
      </w:r>
      <w:r w:rsidRPr="00746720">
        <w:rPr>
          <w:rFonts w:ascii="Arial" w:eastAsia="Times New Roman" w:hAnsi="Arial" w:cs="Arial"/>
          <w:color w:val="191E23"/>
          <w:sz w:val="20"/>
          <w:szCs w:val="20"/>
          <w:lang w:eastAsia="en-US"/>
        </w:rPr>
        <w:t xml:space="preserve"> </w:t>
      </w:r>
      <w:r w:rsidRPr="00746720">
        <w:rPr>
          <w:rFonts w:ascii="Arial" w:eastAsia="Times New Roman" w:hAnsi="Arial" w:cs="Arial"/>
          <w:i/>
          <w:iCs/>
          <w:color w:val="191E23"/>
          <w:sz w:val="20"/>
          <w:szCs w:val="20"/>
          <w:lang w:eastAsia="en-US"/>
        </w:rPr>
        <w:t>Jose remains enrolled in the HDHP for the remainder of the calendar year. He may contribute 1/12 of $3,550 (for 2020) for each of the 5 months of coverage.</w:t>
      </w:r>
    </w:p>
    <w:p w14:paraId="42A8C5EF" w14:textId="77777777" w:rsidR="00550362" w:rsidRPr="00746720" w:rsidRDefault="00550362" w:rsidP="009010CA">
      <w:pPr>
        <w:shd w:val="clear" w:color="auto" w:fill="FFFFFF"/>
        <w:spacing w:line="276" w:lineRule="auto"/>
        <w:rPr>
          <w:rFonts w:ascii="Arial" w:eastAsia="Times New Roman" w:hAnsi="Arial" w:cs="Arial"/>
          <w:color w:val="191E23"/>
          <w:sz w:val="20"/>
          <w:szCs w:val="20"/>
          <w:lang w:eastAsia="en-US"/>
        </w:rPr>
      </w:pPr>
    </w:p>
    <w:p w14:paraId="0CFBAF72" w14:textId="5FBE2E40" w:rsidR="00746720" w:rsidRDefault="00746720" w:rsidP="009010CA">
      <w:pPr>
        <w:shd w:val="clear" w:color="auto" w:fill="FFFFFF"/>
        <w:spacing w:line="276" w:lineRule="auto"/>
        <w:rPr>
          <w:rFonts w:ascii="Arial" w:eastAsia="Times New Roman" w:hAnsi="Arial" w:cs="Arial"/>
          <w:color w:val="191E23"/>
          <w:sz w:val="20"/>
          <w:szCs w:val="20"/>
          <w:lang w:eastAsia="en-US"/>
        </w:rPr>
      </w:pPr>
      <w:r w:rsidRPr="00746720">
        <w:rPr>
          <w:rFonts w:ascii="Arial" w:eastAsia="Times New Roman" w:hAnsi="Arial" w:cs="Arial"/>
          <w:color w:val="191E23"/>
          <w:sz w:val="20"/>
          <w:szCs w:val="20"/>
          <w:lang w:eastAsia="en-US"/>
        </w:rPr>
        <w:t xml:space="preserve">The monthly contribution rule applies unless an individual wishes to take advantage of what is known as the “full contribution,” or “last month,” rule. This rule permits somebody who is HSA-eligible as of December 1 of a given calendar year to make a full year’s contribution to their HSA for their applicable tier of HDHP coverage ($3,550 for single and $7,100 for family in 2020), even if they were not HSA eligible for the entire year. This is true if the individual commits to remaining HSA-eligible for all of December and the entire </w:t>
      </w:r>
      <w:r w:rsidRPr="00746720">
        <w:rPr>
          <w:rFonts w:ascii="Arial" w:eastAsia="Times New Roman" w:hAnsi="Arial" w:cs="Arial"/>
          <w:i/>
          <w:iCs/>
          <w:color w:val="191E23"/>
          <w:sz w:val="20"/>
          <w:szCs w:val="20"/>
          <w:lang w:eastAsia="en-US"/>
        </w:rPr>
        <w:t>following</w:t>
      </w:r>
      <w:r w:rsidRPr="00746720">
        <w:rPr>
          <w:rFonts w:ascii="Arial" w:eastAsia="Times New Roman" w:hAnsi="Arial" w:cs="Arial"/>
          <w:color w:val="191E23"/>
          <w:sz w:val="20"/>
          <w:szCs w:val="20"/>
          <w:lang w:eastAsia="en-US"/>
        </w:rPr>
        <w:t xml:space="preserve"> calendar year (this is known as the 13-month “testing period”). </w:t>
      </w:r>
    </w:p>
    <w:p w14:paraId="1E013195" w14:textId="77777777" w:rsidR="00550362" w:rsidRPr="00746720" w:rsidRDefault="00550362" w:rsidP="009010CA">
      <w:pPr>
        <w:shd w:val="clear" w:color="auto" w:fill="FFFFFF"/>
        <w:spacing w:line="276" w:lineRule="auto"/>
        <w:rPr>
          <w:rFonts w:ascii="Arial" w:eastAsia="Times New Roman" w:hAnsi="Arial" w:cs="Arial"/>
          <w:color w:val="191E23"/>
          <w:sz w:val="20"/>
          <w:szCs w:val="20"/>
          <w:lang w:eastAsia="en-US"/>
        </w:rPr>
      </w:pPr>
    </w:p>
    <w:p w14:paraId="2E866867" w14:textId="2ED7DCEC" w:rsidR="00746720" w:rsidRDefault="00746720" w:rsidP="009010CA">
      <w:pPr>
        <w:shd w:val="clear" w:color="auto" w:fill="FFFFFF"/>
        <w:spacing w:line="276" w:lineRule="auto"/>
        <w:rPr>
          <w:rFonts w:ascii="Arial" w:eastAsia="Times New Roman" w:hAnsi="Arial" w:cs="Arial"/>
          <w:i/>
          <w:iCs/>
          <w:color w:val="191E23"/>
          <w:sz w:val="20"/>
          <w:szCs w:val="20"/>
          <w:lang w:eastAsia="en-US"/>
        </w:rPr>
      </w:pPr>
      <w:r w:rsidRPr="00746720">
        <w:rPr>
          <w:rFonts w:ascii="Arial" w:eastAsia="Times New Roman" w:hAnsi="Arial" w:cs="Arial"/>
          <w:i/>
          <w:iCs/>
          <w:color w:val="191E23"/>
          <w:sz w:val="20"/>
          <w:szCs w:val="20"/>
          <w:lang w:eastAsia="en-US"/>
        </w:rPr>
        <w:t>Example: In the scenario above, instead of making pro-rated monthly contributions to his HSA for August – December, Jose could elect to make a full contribution of $3,550 for the calendar year as long as he commits to remaining HSA-eligible for the remainder of December 2020 and all of 2021.</w:t>
      </w:r>
    </w:p>
    <w:p w14:paraId="2A4321A0" w14:textId="77777777" w:rsidR="00550362" w:rsidRPr="00746720" w:rsidRDefault="00550362" w:rsidP="00746720">
      <w:pPr>
        <w:shd w:val="clear" w:color="auto" w:fill="FFFFFF"/>
        <w:rPr>
          <w:rFonts w:ascii="Arial" w:eastAsia="Times New Roman" w:hAnsi="Arial" w:cs="Arial"/>
          <w:color w:val="191E23"/>
          <w:sz w:val="20"/>
          <w:szCs w:val="20"/>
          <w:lang w:eastAsia="en-US"/>
        </w:rPr>
      </w:pPr>
    </w:p>
    <w:p w14:paraId="5AC2E9C3" w14:textId="77777777" w:rsidR="009010CA" w:rsidRDefault="009010CA" w:rsidP="00746720">
      <w:pPr>
        <w:shd w:val="clear" w:color="auto" w:fill="FFFFFF"/>
        <w:rPr>
          <w:rFonts w:ascii="Arial" w:eastAsia="Times New Roman" w:hAnsi="Arial" w:cs="Arial"/>
          <w:b/>
          <w:bCs/>
          <w:color w:val="191E23"/>
          <w:sz w:val="20"/>
          <w:szCs w:val="20"/>
          <w:lang w:eastAsia="en-US"/>
        </w:rPr>
      </w:pPr>
    </w:p>
    <w:p w14:paraId="756015E6" w14:textId="652515D1" w:rsidR="00746720" w:rsidRPr="00746720" w:rsidRDefault="00746720" w:rsidP="00746720">
      <w:pPr>
        <w:shd w:val="clear" w:color="auto" w:fill="FFFFFF"/>
        <w:rPr>
          <w:rFonts w:ascii="Arial" w:eastAsia="Times New Roman" w:hAnsi="Arial" w:cs="Arial"/>
          <w:color w:val="191E23"/>
          <w:sz w:val="20"/>
          <w:szCs w:val="20"/>
          <w:lang w:eastAsia="en-US"/>
        </w:rPr>
      </w:pPr>
      <w:r w:rsidRPr="00746720">
        <w:rPr>
          <w:rFonts w:ascii="Arial" w:eastAsia="Times New Roman" w:hAnsi="Arial" w:cs="Arial"/>
          <w:b/>
          <w:bCs/>
          <w:color w:val="191E23"/>
          <w:sz w:val="20"/>
          <w:szCs w:val="20"/>
          <w:lang w:eastAsia="en-US"/>
        </w:rPr>
        <w:t>DCAPs</w:t>
      </w:r>
    </w:p>
    <w:p w14:paraId="39EDFF08" w14:textId="77777777" w:rsidR="009010CA" w:rsidRDefault="009010CA" w:rsidP="00746720">
      <w:pPr>
        <w:shd w:val="clear" w:color="auto" w:fill="FFFFFF"/>
        <w:rPr>
          <w:rFonts w:ascii="Arial" w:eastAsia="Times New Roman" w:hAnsi="Arial" w:cs="Arial"/>
          <w:color w:val="191E23"/>
          <w:sz w:val="20"/>
          <w:szCs w:val="20"/>
          <w:lang w:eastAsia="en-US"/>
        </w:rPr>
      </w:pPr>
    </w:p>
    <w:p w14:paraId="02351AA2" w14:textId="12CC127D" w:rsidR="00746720" w:rsidRPr="00746720" w:rsidRDefault="00746720" w:rsidP="009010CA">
      <w:pPr>
        <w:shd w:val="clear" w:color="auto" w:fill="FFFFFF"/>
        <w:spacing w:line="276" w:lineRule="auto"/>
        <w:rPr>
          <w:rFonts w:ascii="Arial" w:eastAsia="Times New Roman" w:hAnsi="Arial" w:cs="Arial"/>
          <w:color w:val="191E23"/>
          <w:sz w:val="20"/>
          <w:szCs w:val="20"/>
          <w:lang w:eastAsia="en-US"/>
        </w:rPr>
      </w:pPr>
      <w:r w:rsidRPr="00746720">
        <w:rPr>
          <w:rFonts w:ascii="Arial" w:eastAsia="Times New Roman" w:hAnsi="Arial" w:cs="Arial"/>
          <w:color w:val="191E23"/>
          <w:sz w:val="20"/>
          <w:szCs w:val="20"/>
          <w:lang w:eastAsia="en-US"/>
        </w:rPr>
        <w:t>DCAP contributions apply on a calendar year basis, and apply per family, rather than per plan. Therefore, an individual who enrolls in a DCAP midyear may be able to make the full allowable contribution as long contributions are not made to another employer’s DCAP for the same calendar year (e.g., as long as a spouse isn’t also contributing to an employer’s DCAP, or as long as the individual wasn’t previously contributing to another employer’s DCAP during the calendar year).</w:t>
      </w:r>
    </w:p>
    <w:p w14:paraId="4A4B78EA" w14:textId="77777777" w:rsidR="00746720" w:rsidRPr="00746720" w:rsidRDefault="00746720" w:rsidP="009010CA">
      <w:pPr>
        <w:shd w:val="clear" w:color="auto" w:fill="FFFFFF"/>
        <w:spacing w:line="276" w:lineRule="auto"/>
        <w:rPr>
          <w:rFonts w:ascii="Arial" w:eastAsia="Times New Roman" w:hAnsi="Arial" w:cs="Arial"/>
          <w:color w:val="191E23"/>
          <w:sz w:val="20"/>
          <w:szCs w:val="20"/>
          <w:lang w:eastAsia="en-US"/>
        </w:rPr>
      </w:pPr>
      <w:r w:rsidRPr="00746720">
        <w:rPr>
          <w:rFonts w:ascii="Arial" w:eastAsia="Times New Roman" w:hAnsi="Arial" w:cs="Arial"/>
          <w:color w:val="191E23"/>
          <w:sz w:val="20"/>
          <w:szCs w:val="20"/>
          <w:lang w:eastAsia="en-US"/>
        </w:rPr>
        <w:t xml:space="preserve">The maximum calendar year contribution for a DCAP for a household (i.e., both individuals and spouses who are married and filing jointly) is $5,000. Therefore, if spouses work at separate employers, they may only contribute a </w:t>
      </w:r>
      <w:r w:rsidRPr="00746720">
        <w:rPr>
          <w:rFonts w:ascii="Arial" w:eastAsia="Times New Roman" w:hAnsi="Arial" w:cs="Arial"/>
          <w:i/>
          <w:iCs/>
          <w:color w:val="191E23"/>
          <w:sz w:val="20"/>
          <w:szCs w:val="20"/>
          <w:lang w:eastAsia="en-US"/>
        </w:rPr>
        <w:t>combined</w:t>
      </w:r>
      <w:r w:rsidRPr="00746720">
        <w:rPr>
          <w:rFonts w:ascii="Arial" w:eastAsia="Times New Roman" w:hAnsi="Arial" w:cs="Arial"/>
          <w:color w:val="191E23"/>
          <w:sz w:val="20"/>
          <w:szCs w:val="20"/>
          <w:lang w:eastAsia="en-US"/>
        </w:rPr>
        <w:t xml:space="preserve"> total of $5,000 to their respective DCAPs per calendar year.</w:t>
      </w:r>
    </w:p>
    <w:p w14:paraId="75577923" w14:textId="77777777" w:rsidR="009010CA" w:rsidRDefault="009010CA" w:rsidP="009010CA">
      <w:pPr>
        <w:shd w:val="clear" w:color="auto" w:fill="FFFFFF"/>
        <w:spacing w:line="276" w:lineRule="auto"/>
        <w:rPr>
          <w:rFonts w:ascii="Arial" w:eastAsia="Times New Roman" w:hAnsi="Arial" w:cs="Arial"/>
          <w:i/>
          <w:iCs/>
          <w:color w:val="191E23"/>
          <w:sz w:val="20"/>
          <w:szCs w:val="20"/>
          <w:lang w:eastAsia="en-US"/>
        </w:rPr>
      </w:pPr>
    </w:p>
    <w:p w14:paraId="4C6A8E76" w14:textId="7A5DA387" w:rsidR="00746720" w:rsidRPr="00746720" w:rsidRDefault="00746720" w:rsidP="009010CA">
      <w:pPr>
        <w:shd w:val="clear" w:color="auto" w:fill="FFFFFF"/>
        <w:spacing w:line="276" w:lineRule="auto"/>
        <w:rPr>
          <w:rFonts w:ascii="Arial" w:eastAsia="Times New Roman" w:hAnsi="Arial" w:cs="Arial"/>
          <w:color w:val="191E23"/>
          <w:sz w:val="20"/>
          <w:szCs w:val="20"/>
          <w:lang w:eastAsia="en-US"/>
        </w:rPr>
      </w:pPr>
      <w:r w:rsidRPr="00746720">
        <w:rPr>
          <w:rFonts w:ascii="Arial" w:eastAsia="Times New Roman" w:hAnsi="Arial" w:cs="Arial"/>
          <w:i/>
          <w:iCs/>
          <w:color w:val="191E23"/>
          <w:sz w:val="20"/>
          <w:szCs w:val="20"/>
          <w:lang w:eastAsia="en-US"/>
        </w:rPr>
        <w:t>Example 1: Andrea switches jobs midyear. Under her previous employer, she had participated in a DCAP and had contributed a total of $2,400 to the plan. She joins her new employer’s DCAP and may contribute an additional $2,600 to the DCAP for the remainder of the calendar year.</w:t>
      </w:r>
    </w:p>
    <w:p w14:paraId="2027B13A" w14:textId="77777777" w:rsidR="009010CA" w:rsidRDefault="009010CA" w:rsidP="009010CA">
      <w:pPr>
        <w:shd w:val="clear" w:color="auto" w:fill="FFFFFF"/>
        <w:spacing w:line="276" w:lineRule="auto"/>
        <w:rPr>
          <w:rFonts w:ascii="Arial" w:eastAsia="Times New Roman" w:hAnsi="Arial" w:cs="Arial"/>
          <w:i/>
          <w:iCs/>
          <w:color w:val="191E23"/>
          <w:sz w:val="20"/>
          <w:szCs w:val="20"/>
          <w:lang w:eastAsia="en-US"/>
        </w:rPr>
      </w:pPr>
    </w:p>
    <w:p w14:paraId="2EE83376" w14:textId="37CF20BD" w:rsidR="00746720" w:rsidRPr="00746720" w:rsidRDefault="00746720" w:rsidP="009010CA">
      <w:pPr>
        <w:shd w:val="clear" w:color="auto" w:fill="FFFFFF"/>
        <w:spacing w:line="276" w:lineRule="auto"/>
        <w:rPr>
          <w:rFonts w:ascii="Arial" w:eastAsia="Times New Roman" w:hAnsi="Arial" w:cs="Arial"/>
          <w:color w:val="191E23"/>
          <w:sz w:val="20"/>
          <w:szCs w:val="20"/>
          <w:lang w:eastAsia="en-US"/>
        </w:rPr>
      </w:pPr>
      <w:r w:rsidRPr="00746720">
        <w:rPr>
          <w:rFonts w:ascii="Arial" w:eastAsia="Times New Roman" w:hAnsi="Arial" w:cs="Arial"/>
          <w:i/>
          <w:iCs/>
          <w:color w:val="191E23"/>
          <w:sz w:val="20"/>
          <w:szCs w:val="20"/>
          <w:lang w:eastAsia="en-US"/>
        </w:rPr>
        <w:t>Example 2: Same facts as Example 1, except that Andrea had not contributed to a DCAP with her previous employer. Andrea may elect the full $5,000 to contribute to her DCAP with her new employer for the remainder of the calendar year.</w:t>
      </w:r>
    </w:p>
    <w:p w14:paraId="3E700D2C" w14:textId="77777777" w:rsidR="009010CA" w:rsidRDefault="009010CA" w:rsidP="009010CA">
      <w:pPr>
        <w:shd w:val="clear" w:color="auto" w:fill="FFFFFF"/>
        <w:spacing w:line="276" w:lineRule="auto"/>
        <w:rPr>
          <w:rFonts w:ascii="Arial" w:eastAsia="Times New Roman" w:hAnsi="Arial" w:cs="Arial"/>
          <w:i/>
          <w:iCs/>
          <w:color w:val="191E23"/>
          <w:sz w:val="20"/>
          <w:szCs w:val="20"/>
          <w:lang w:eastAsia="en-US"/>
        </w:rPr>
      </w:pPr>
    </w:p>
    <w:p w14:paraId="1D0B139B" w14:textId="2DC6CB3F" w:rsidR="00746720" w:rsidRPr="00746720" w:rsidRDefault="00746720" w:rsidP="009010CA">
      <w:pPr>
        <w:shd w:val="clear" w:color="auto" w:fill="FFFFFF"/>
        <w:spacing w:line="276" w:lineRule="auto"/>
        <w:rPr>
          <w:rFonts w:ascii="Arial" w:eastAsia="Times New Roman" w:hAnsi="Arial" w:cs="Arial"/>
          <w:color w:val="191E23"/>
          <w:sz w:val="20"/>
          <w:szCs w:val="20"/>
          <w:lang w:eastAsia="en-US"/>
        </w:rPr>
      </w:pPr>
      <w:r w:rsidRPr="00746720">
        <w:rPr>
          <w:rFonts w:ascii="Arial" w:eastAsia="Times New Roman" w:hAnsi="Arial" w:cs="Arial"/>
          <w:i/>
          <w:iCs/>
          <w:color w:val="191E23"/>
          <w:sz w:val="20"/>
          <w:szCs w:val="20"/>
          <w:lang w:eastAsia="en-US"/>
        </w:rPr>
        <w:t>Example 3: Same facts as Example 2, except that Andrea’s spouse (with whom she files jointly) also participates in a DCAP and has contributed $3,000 to that DCAP for the calendar year. When Andrea joins her new employer’s DCAP, she may contribute up to $2,000 for the calendar year assuming her spouse does not contribute any additional amounts to their DCAP.</w:t>
      </w:r>
    </w:p>
    <w:p w14:paraId="6684DBF7" w14:textId="77777777" w:rsidR="002F4F46" w:rsidRPr="009E5CED" w:rsidRDefault="002F4F46">
      <w:pPr>
        <w:spacing w:line="360" w:lineRule="auto"/>
        <w:rPr>
          <w:rFonts w:ascii="Arial" w:hAnsi="Arial" w:cs="Arial"/>
          <w:b/>
          <w:bCs/>
          <w:color w:val="0070C0"/>
          <w:sz w:val="32"/>
          <w:szCs w:val="32"/>
        </w:rPr>
      </w:pPr>
    </w:p>
    <w:sectPr w:rsidR="002F4F46" w:rsidRPr="009E5CED" w:rsidSect="002B4808">
      <w:footerReference w:type="default" r:id="rId76"/>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2D693" w14:textId="77777777" w:rsidR="00DF3BC5" w:rsidRDefault="00DF3BC5" w:rsidP="00790E63">
      <w:r>
        <w:separator/>
      </w:r>
    </w:p>
  </w:endnote>
  <w:endnote w:type="continuationSeparator" w:id="0">
    <w:p w14:paraId="06C4028C" w14:textId="77777777" w:rsidR="00DF3BC5" w:rsidRDefault="00DF3BC5" w:rsidP="0079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B0604020202020204"/>
    <w:charset w:val="00"/>
    <w:family w:val="roman"/>
    <w:pitch w:val="variable"/>
    <w:sig w:usb0="00000287" w:usb1="00000000" w:usb2="00000000" w:usb3="00000000" w:csb0="0000009F" w:csb1="00000000"/>
  </w:font>
  <w:font w:name="Times">
    <w:panose1 w:val="00000500000000020000"/>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1EFDE" w14:textId="77777777" w:rsidR="00B04EDA" w:rsidRDefault="00B04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D91A" w14:textId="19169B4B" w:rsidR="005A10A7" w:rsidRPr="008D1681" w:rsidRDefault="005A10A7" w:rsidP="005A10A7">
    <w:pPr>
      <w:pStyle w:val="IssueInfo"/>
      <w:ind w:left="0" w:right="3996"/>
      <w:jc w:val="both"/>
    </w:pPr>
    <w:r>
      <w:t xml:space="preserve"> </w:t>
    </w:r>
    <w:sdt>
      <w:sdtPr>
        <w:id w:val="609012785"/>
        <w:placeholder>
          <w:docPart w:val="77DD6E8A713ED24886BA01C76841B757"/>
        </w:placeholder>
        <w:temporary/>
        <w:showingPlcHdr/>
        <w15:appearance w15:val="hidden"/>
      </w:sdtPr>
      <w:sdtEndPr/>
      <w:sdtContent>
        <w:r w:rsidRPr="005075CA">
          <w:t>ISSUE</w:t>
        </w:r>
      </w:sdtContent>
    </w:sdt>
    <w:r>
      <w:t xml:space="preserve"> </w:t>
    </w:r>
    <w:r w:rsidR="00B04EDA">
      <w:t>4</w:t>
    </w:r>
    <w:r>
      <w:t xml:space="preserve"> | Q</w:t>
    </w:r>
    <w:r w:rsidR="00B04EDA">
      <w:t>3</w:t>
    </w:r>
    <w:r>
      <w:t xml:space="preserve"> | 20</w:t>
    </w:r>
    <w:r w:rsidR="00F7782B">
      <w:t>20</w:t>
    </w:r>
  </w:p>
  <w:p w14:paraId="5736781F" w14:textId="21A838BD" w:rsidR="00BF7CDD" w:rsidRDefault="00BF7CDD" w:rsidP="00790E63">
    <w:pPr>
      <w:pStyle w:val="Footer"/>
    </w:pPr>
    <w:r>
      <w:ptab w:relativeTo="margin" w:alignment="right" w:leader="none"/>
    </w:r>
    <w:r w:rsidRPr="009E6E6B">
      <w:rPr>
        <w:color w:val="61ADBF" w:themeColor="accent4"/>
      </w:rPr>
      <w:fldChar w:fldCharType="begin"/>
    </w:r>
    <w:r w:rsidRPr="009E6E6B">
      <w:rPr>
        <w:color w:val="61ADBF" w:themeColor="accent4"/>
      </w:rPr>
      <w:instrText xml:space="preserve"> PAGE   \* MERGEFORMAT </w:instrText>
    </w:r>
    <w:r w:rsidRPr="009E6E6B">
      <w:rPr>
        <w:color w:val="61ADBF" w:themeColor="accent4"/>
      </w:rPr>
      <w:fldChar w:fldCharType="separate"/>
    </w:r>
    <w:r w:rsidR="000668D8">
      <w:rPr>
        <w:noProof/>
        <w:color w:val="61ADBF" w:themeColor="accent4"/>
      </w:rPr>
      <w:t>1</w:t>
    </w:r>
    <w:r w:rsidRPr="009E6E6B">
      <w:rPr>
        <w:noProof/>
        <w:color w:val="61ADBF" w:themeColor="accent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9BCD" w14:textId="77777777" w:rsidR="00B04EDA" w:rsidRDefault="00B04E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421F0" w14:textId="30452B25" w:rsidR="00962BC0" w:rsidRPr="008D1681" w:rsidRDefault="00962BC0" w:rsidP="005A10A7">
    <w:pPr>
      <w:pStyle w:val="IssueInfo"/>
      <w:ind w:left="0" w:right="3996"/>
      <w:jc w:val="both"/>
    </w:pPr>
    <w:r>
      <w:t xml:space="preserve"> </w:t>
    </w:r>
    <w:sdt>
      <w:sdtPr>
        <w:id w:val="1116948728"/>
        <w:placeholder>
          <w:docPart w:val="77DD6E8A713ED24886BA01C76841B757"/>
        </w:placeholder>
        <w:temporary/>
        <w:showingPlcHdr/>
        <w15:appearance w15:val="hidden"/>
      </w:sdtPr>
      <w:sdtEndPr/>
      <w:sdtContent>
        <w:r w:rsidRPr="005075CA">
          <w:t>ISSUE</w:t>
        </w:r>
      </w:sdtContent>
    </w:sdt>
    <w:r>
      <w:t xml:space="preserve"> </w:t>
    </w:r>
    <w:r w:rsidR="00FE1A58">
      <w:t>4</w:t>
    </w:r>
    <w:r>
      <w:t xml:space="preserve"> | Q</w:t>
    </w:r>
    <w:r w:rsidR="00FE1A58">
      <w:t xml:space="preserve">3 </w:t>
    </w:r>
    <w:r>
      <w:t>| 2020</w:t>
    </w:r>
  </w:p>
  <w:p w14:paraId="0126C8DC" w14:textId="77777777" w:rsidR="00962BC0" w:rsidRDefault="00962BC0" w:rsidP="00790E63">
    <w:pPr>
      <w:pStyle w:val="Footer"/>
    </w:pPr>
    <w:r>
      <w:ptab w:relativeTo="margin" w:alignment="right" w:leader="none"/>
    </w:r>
    <w:r w:rsidRPr="009E6E6B">
      <w:rPr>
        <w:color w:val="61ADBF" w:themeColor="accent4"/>
      </w:rPr>
      <w:fldChar w:fldCharType="begin"/>
    </w:r>
    <w:r w:rsidRPr="009E6E6B">
      <w:rPr>
        <w:color w:val="61ADBF" w:themeColor="accent4"/>
      </w:rPr>
      <w:instrText xml:space="preserve"> PAGE   \* MERGEFORMAT </w:instrText>
    </w:r>
    <w:r w:rsidRPr="009E6E6B">
      <w:rPr>
        <w:color w:val="61ADBF" w:themeColor="accent4"/>
      </w:rPr>
      <w:fldChar w:fldCharType="separate"/>
    </w:r>
    <w:r>
      <w:rPr>
        <w:noProof/>
        <w:color w:val="61ADBF" w:themeColor="accent4"/>
      </w:rPr>
      <w:t>1</w:t>
    </w:r>
    <w:r w:rsidRPr="009E6E6B">
      <w:rPr>
        <w:noProof/>
        <w:color w:val="61ADBF" w:themeColor="accent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11E96" w14:textId="77777777" w:rsidR="00DF3BC5" w:rsidRDefault="00DF3BC5" w:rsidP="00790E63">
      <w:r>
        <w:separator/>
      </w:r>
    </w:p>
  </w:footnote>
  <w:footnote w:type="continuationSeparator" w:id="0">
    <w:p w14:paraId="1EC8A9CF" w14:textId="77777777" w:rsidR="00DF3BC5" w:rsidRDefault="00DF3BC5" w:rsidP="00790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6E2DA" w14:textId="77777777" w:rsidR="00B04EDA" w:rsidRDefault="00B04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8F629" w14:textId="77777777" w:rsidR="00B04EDA" w:rsidRDefault="00B04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E5837" w14:textId="77777777" w:rsidR="00B04EDA" w:rsidRDefault="00B04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AA0A53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0795133E"/>
    <w:multiLevelType w:val="hybridMultilevel"/>
    <w:tmpl w:val="3B22D104"/>
    <w:lvl w:ilvl="0" w:tplc="BB4CD6B4">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A346E"/>
    <w:multiLevelType w:val="hybridMultilevel"/>
    <w:tmpl w:val="55C84E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2C839C4"/>
    <w:multiLevelType w:val="hybridMultilevel"/>
    <w:tmpl w:val="22C2B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491389"/>
    <w:multiLevelType w:val="hybridMultilevel"/>
    <w:tmpl w:val="1B5C2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2B2DEE"/>
    <w:multiLevelType w:val="hybridMultilevel"/>
    <w:tmpl w:val="6C80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57E2D"/>
    <w:multiLevelType w:val="multilevel"/>
    <w:tmpl w:val="DCF891AC"/>
    <w:numStyleLink w:val="Style1"/>
  </w:abstractNum>
  <w:abstractNum w:abstractNumId="9" w15:restartNumberingAfterBreak="0">
    <w:nsid w:val="291955C4"/>
    <w:multiLevelType w:val="multilevel"/>
    <w:tmpl w:val="DCF891AC"/>
    <w:numStyleLink w:val="Style1"/>
  </w:abstractNum>
  <w:abstractNum w:abstractNumId="10"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217BE"/>
    <w:multiLevelType w:val="hybridMultilevel"/>
    <w:tmpl w:val="14DA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D7EC0"/>
    <w:multiLevelType w:val="hybridMultilevel"/>
    <w:tmpl w:val="9C0887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09D2D07"/>
    <w:multiLevelType w:val="hybridMultilevel"/>
    <w:tmpl w:val="5914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800EB4"/>
    <w:multiLevelType w:val="hybridMultilevel"/>
    <w:tmpl w:val="4CFCE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E766BA"/>
    <w:multiLevelType w:val="hybridMultilevel"/>
    <w:tmpl w:val="8B2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A2B3E"/>
    <w:multiLevelType w:val="hybridMultilevel"/>
    <w:tmpl w:val="6E58A9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3F200108"/>
    <w:multiLevelType w:val="hybridMultilevel"/>
    <w:tmpl w:val="76E6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36C0E"/>
    <w:multiLevelType w:val="hybridMultilevel"/>
    <w:tmpl w:val="315C04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429A4BE7"/>
    <w:multiLevelType w:val="hybridMultilevel"/>
    <w:tmpl w:val="3656D6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43236A1F"/>
    <w:multiLevelType w:val="hybridMultilevel"/>
    <w:tmpl w:val="714C12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44A64F95"/>
    <w:multiLevelType w:val="hybridMultilevel"/>
    <w:tmpl w:val="1FFA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10430"/>
    <w:multiLevelType w:val="hybridMultilevel"/>
    <w:tmpl w:val="A3D8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044C5"/>
    <w:multiLevelType w:val="hybridMultilevel"/>
    <w:tmpl w:val="D4B01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86F77"/>
    <w:multiLevelType w:val="hybridMultilevel"/>
    <w:tmpl w:val="267C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56C24"/>
    <w:multiLevelType w:val="hybridMultilevel"/>
    <w:tmpl w:val="D7B60454"/>
    <w:lvl w:ilvl="0" w:tplc="81D43000">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6542BF"/>
    <w:multiLevelType w:val="hybridMultilevel"/>
    <w:tmpl w:val="AB16E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031DD8"/>
    <w:multiLevelType w:val="hybridMultilevel"/>
    <w:tmpl w:val="21704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A2B5A"/>
    <w:multiLevelType w:val="multilevel"/>
    <w:tmpl w:val="A86EF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BA6C9E"/>
    <w:multiLevelType w:val="hybridMultilevel"/>
    <w:tmpl w:val="4CA6F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D95D6A"/>
    <w:multiLevelType w:val="hybridMultilevel"/>
    <w:tmpl w:val="F35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C0899"/>
    <w:multiLevelType w:val="multilevel"/>
    <w:tmpl w:val="DCF891AC"/>
    <w:styleLink w:val="Styl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085A0E"/>
    <w:multiLevelType w:val="hybridMultilevel"/>
    <w:tmpl w:val="0776A0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C4D1FFB"/>
    <w:multiLevelType w:val="hybridMultilevel"/>
    <w:tmpl w:val="138065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15:restartNumberingAfterBreak="0">
    <w:nsid w:val="6CF3708B"/>
    <w:multiLevelType w:val="hybridMultilevel"/>
    <w:tmpl w:val="885E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B3B3F"/>
    <w:multiLevelType w:val="hybridMultilevel"/>
    <w:tmpl w:val="4BB60B08"/>
    <w:lvl w:ilvl="0" w:tplc="A5902B6A">
      <w:start w:val="1"/>
      <w:numFmt w:val="decimal"/>
      <w:pStyle w:val="Heading2"/>
      <w:lvlText w:val="%1"/>
      <w:lvlJc w:val="left"/>
      <w:pPr>
        <w:ind w:left="720" w:hanging="360"/>
      </w:pPr>
      <w:rPr>
        <w:rFonts w:ascii="Arial Black" w:hAnsi="Arial Black" w:hint="default"/>
        <w:b/>
        <w:color w:val="3E8799" w:themeColor="accent4"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5861A9"/>
    <w:multiLevelType w:val="hybridMultilevel"/>
    <w:tmpl w:val="D6EE13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03B4540"/>
    <w:multiLevelType w:val="hybridMultilevel"/>
    <w:tmpl w:val="CE32FE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741236C2"/>
    <w:multiLevelType w:val="multilevel"/>
    <w:tmpl w:val="DB98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FB6DE9"/>
    <w:multiLevelType w:val="hybridMultilevel"/>
    <w:tmpl w:val="A410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D4AA4"/>
    <w:multiLevelType w:val="multilevel"/>
    <w:tmpl w:val="56FE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A2606A"/>
    <w:multiLevelType w:val="hybridMultilevel"/>
    <w:tmpl w:val="B6709A5E"/>
    <w:lvl w:ilvl="0" w:tplc="6CBE28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465F2"/>
    <w:multiLevelType w:val="hybridMultilevel"/>
    <w:tmpl w:val="FBE2B8C4"/>
    <w:lvl w:ilvl="0" w:tplc="6E4E38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10"/>
  </w:num>
  <w:num w:numId="4">
    <w:abstractNumId w:val="1"/>
  </w:num>
  <w:num w:numId="5">
    <w:abstractNumId w:val="0"/>
  </w:num>
  <w:num w:numId="6">
    <w:abstractNumId w:val="2"/>
  </w:num>
  <w:num w:numId="7">
    <w:abstractNumId w:val="42"/>
  </w:num>
  <w:num w:numId="8">
    <w:abstractNumId w:val="41"/>
  </w:num>
  <w:num w:numId="9">
    <w:abstractNumId w:val="17"/>
  </w:num>
  <w:num w:numId="10">
    <w:abstractNumId w:val="27"/>
  </w:num>
  <w:num w:numId="11">
    <w:abstractNumId w:val="34"/>
  </w:num>
  <w:num w:numId="12">
    <w:abstractNumId w:val="14"/>
  </w:num>
  <w:num w:numId="13">
    <w:abstractNumId w:val="6"/>
  </w:num>
  <w:num w:numId="14">
    <w:abstractNumId w:val="23"/>
  </w:num>
  <w:num w:numId="15">
    <w:abstractNumId w:val="39"/>
  </w:num>
  <w:num w:numId="16">
    <w:abstractNumId w:val="30"/>
  </w:num>
  <w:num w:numId="17">
    <w:abstractNumId w:val="11"/>
  </w:num>
  <w:num w:numId="18">
    <w:abstractNumId w:val="21"/>
  </w:num>
  <w:num w:numId="19">
    <w:abstractNumId w:val="33"/>
  </w:num>
  <w:num w:numId="20">
    <w:abstractNumId w:val="37"/>
  </w:num>
  <w:num w:numId="21">
    <w:abstractNumId w:val="31"/>
  </w:num>
  <w:num w:numId="22">
    <w:abstractNumId w:val="9"/>
  </w:num>
  <w:num w:numId="23">
    <w:abstractNumId w:val="8"/>
  </w:num>
  <w:num w:numId="24">
    <w:abstractNumId w:val="35"/>
  </w:num>
  <w:num w:numId="25">
    <w:abstractNumId w:val="3"/>
  </w:num>
  <w:num w:numId="26">
    <w:abstractNumId w:val="20"/>
  </w:num>
  <w:num w:numId="27">
    <w:abstractNumId w:val="12"/>
  </w:num>
  <w:num w:numId="28">
    <w:abstractNumId w:val="16"/>
  </w:num>
  <w:num w:numId="29">
    <w:abstractNumId w:val="36"/>
  </w:num>
  <w:num w:numId="30">
    <w:abstractNumId w:val="19"/>
  </w:num>
  <w:num w:numId="31">
    <w:abstractNumId w:val="32"/>
  </w:num>
  <w:num w:numId="32">
    <w:abstractNumId w:val="18"/>
  </w:num>
  <w:num w:numId="33">
    <w:abstractNumId w:val="5"/>
  </w:num>
  <w:num w:numId="34">
    <w:abstractNumId w:val="24"/>
  </w:num>
  <w:num w:numId="35">
    <w:abstractNumId w:val="15"/>
  </w:num>
  <w:num w:numId="36">
    <w:abstractNumId w:val="29"/>
  </w:num>
  <w:num w:numId="37">
    <w:abstractNumId w:val="40"/>
  </w:num>
  <w:num w:numId="38">
    <w:abstractNumId w:val="28"/>
  </w:num>
  <w:num w:numId="39">
    <w:abstractNumId w:val="38"/>
  </w:num>
  <w:num w:numId="40">
    <w:abstractNumId w:val="22"/>
  </w:num>
  <w:num w:numId="41">
    <w:abstractNumId w:val="4"/>
  </w:num>
  <w:num w:numId="42">
    <w:abstractNumId w:val="1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AE"/>
    <w:rsid w:val="00002CDA"/>
    <w:rsid w:val="00005732"/>
    <w:rsid w:val="0001225A"/>
    <w:rsid w:val="00014204"/>
    <w:rsid w:val="000154E5"/>
    <w:rsid w:val="00015E79"/>
    <w:rsid w:val="000221EE"/>
    <w:rsid w:val="00025991"/>
    <w:rsid w:val="00025B4C"/>
    <w:rsid w:val="00032EF5"/>
    <w:rsid w:val="000345BB"/>
    <w:rsid w:val="00037F4F"/>
    <w:rsid w:val="00041675"/>
    <w:rsid w:val="00044AD3"/>
    <w:rsid w:val="000518EE"/>
    <w:rsid w:val="0006238D"/>
    <w:rsid w:val="00062C5A"/>
    <w:rsid w:val="00062F13"/>
    <w:rsid w:val="000668D8"/>
    <w:rsid w:val="00066D53"/>
    <w:rsid w:val="00072EB5"/>
    <w:rsid w:val="0008151C"/>
    <w:rsid w:val="00082AE1"/>
    <w:rsid w:val="00083A30"/>
    <w:rsid w:val="000929E6"/>
    <w:rsid w:val="0009587D"/>
    <w:rsid w:val="000962F5"/>
    <w:rsid w:val="00097300"/>
    <w:rsid w:val="000A6609"/>
    <w:rsid w:val="000A7618"/>
    <w:rsid w:val="000B23AB"/>
    <w:rsid w:val="000B2A02"/>
    <w:rsid w:val="000B2DA7"/>
    <w:rsid w:val="000C462E"/>
    <w:rsid w:val="000D2BC5"/>
    <w:rsid w:val="000D60F7"/>
    <w:rsid w:val="000E21E5"/>
    <w:rsid w:val="000F4E7A"/>
    <w:rsid w:val="000F53EE"/>
    <w:rsid w:val="000F59F3"/>
    <w:rsid w:val="001003D3"/>
    <w:rsid w:val="0010069B"/>
    <w:rsid w:val="001029D9"/>
    <w:rsid w:val="00103408"/>
    <w:rsid w:val="00105934"/>
    <w:rsid w:val="00106354"/>
    <w:rsid w:val="0011016B"/>
    <w:rsid w:val="001179ED"/>
    <w:rsid w:val="00121172"/>
    <w:rsid w:val="0012276C"/>
    <w:rsid w:val="00125316"/>
    <w:rsid w:val="00126F49"/>
    <w:rsid w:val="001433B3"/>
    <w:rsid w:val="0014471F"/>
    <w:rsid w:val="001501CB"/>
    <w:rsid w:val="001503BD"/>
    <w:rsid w:val="0015726B"/>
    <w:rsid w:val="001600D5"/>
    <w:rsid w:val="00161DD0"/>
    <w:rsid w:val="00162742"/>
    <w:rsid w:val="00162E67"/>
    <w:rsid w:val="00164089"/>
    <w:rsid w:val="001727D6"/>
    <w:rsid w:val="00177C33"/>
    <w:rsid w:val="00181D4C"/>
    <w:rsid w:val="00184359"/>
    <w:rsid w:val="00196381"/>
    <w:rsid w:val="001A08AE"/>
    <w:rsid w:val="001A14F7"/>
    <w:rsid w:val="001A5D1F"/>
    <w:rsid w:val="001A6F61"/>
    <w:rsid w:val="001A7F9F"/>
    <w:rsid w:val="001B2E28"/>
    <w:rsid w:val="001C1A6D"/>
    <w:rsid w:val="001C1C37"/>
    <w:rsid w:val="001D2EB5"/>
    <w:rsid w:val="001D3A41"/>
    <w:rsid w:val="001D3D71"/>
    <w:rsid w:val="001D5400"/>
    <w:rsid w:val="001E026E"/>
    <w:rsid w:val="001E09CF"/>
    <w:rsid w:val="001E3FA2"/>
    <w:rsid w:val="001F0364"/>
    <w:rsid w:val="001F3227"/>
    <w:rsid w:val="001F39C6"/>
    <w:rsid w:val="001F5D04"/>
    <w:rsid w:val="00200C32"/>
    <w:rsid w:val="0020660C"/>
    <w:rsid w:val="00213545"/>
    <w:rsid w:val="00217731"/>
    <w:rsid w:val="00223A51"/>
    <w:rsid w:val="00226A7E"/>
    <w:rsid w:val="00246A10"/>
    <w:rsid w:val="00250745"/>
    <w:rsid w:val="00251315"/>
    <w:rsid w:val="00254637"/>
    <w:rsid w:val="00261647"/>
    <w:rsid w:val="00262AE9"/>
    <w:rsid w:val="00264284"/>
    <w:rsid w:val="00271A31"/>
    <w:rsid w:val="00272438"/>
    <w:rsid w:val="00273D63"/>
    <w:rsid w:val="00287F34"/>
    <w:rsid w:val="0029520D"/>
    <w:rsid w:val="002957B7"/>
    <w:rsid w:val="00295C14"/>
    <w:rsid w:val="002978C5"/>
    <w:rsid w:val="002A0550"/>
    <w:rsid w:val="002A0B57"/>
    <w:rsid w:val="002A4B74"/>
    <w:rsid w:val="002A70F7"/>
    <w:rsid w:val="002B137D"/>
    <w:rsid w:val="002B223B"/>
    <w:rsid w:val="002B4808"/>
    <w:rsid w:val="002B69F0"/>
    <w:rsid w:val="002C17ED"/>
    <w:rsid w:val="002C3D19"/>
    <w:rsid w:val="002D4A94"/>
    <w:rsid w:val="002D4C25"/>
    <w:rsid w:val="002E10CF"/>
    <w:rsid w:val="002E4717"/>
    <w:rsid w:val="002E6F08"/>
    <w:rsid w:val="002F33C8"/>
    <w:rsid w:val="002F3CA3"/>
    <w:rsid w:val="002F4F46"/>
    <w:rsid w:val="003005AF"/>
    <w:rsid w:val="003044C8"/>
    <w:rsid w:val="00314D57"/>
    <w:rsid w:val="0031604A"/>
    <w:rsid w:val="0031707C"/>
    <w:rsid w:val="00320CFF"/>
    <w:rsid w:val="003246EE"/>
    <w:rsid w:val="00326A75"/>
    <w:rsid w:val="00330A73"/>
    <w:rsid w:val="0033447C"/>
    <w:rsid w:val="0034308A"/>
    <w:rsid w:val="003532E0"/>
    <w:rsid w:val="003551A3"/>
    <w:rsid w:val="00356AB6"/>
    <w:rsid w:val="003625E3"/>
    <w:rsid w:val="003646E8"/>
    <w:rsid w:val="0036714C"/>
    <w:rsid w:val="003672F0"/>
    <w:rsid w:val="00367FF9"/>
    <w:rsid w:val="00373911"/>
    <w:rsid w:val="00382A04"/>
    <w:rsid w:val="00392D38"/>
    <w:rsid w:val="003A2DA0"/>
    <w:rsid w:val="003B1180"/>
    <w:rsid w:val="003B647D"/>
    <w:rsid w:val="003B6AD4"/>
    <w:rsid w:val="003C0852"/>
    <w:rsid w:val="003C0B47"/>
    <w:rsid w:val="003C6878"/>
    <w:rsid w:val="003C6AE1"/>
    <w:rsid w:val="003D1327"/>
    <w:rsid w:val="003D299D"/>
    <w:rsid w:val="003D3826"/>
    <w:rsid w:val="003D72FA"/>
    <w:rsid w:val="003E00B3"/>
    <w:rsid w:val="003E00E7"/>
    <w:rsid w:val="003F3D8F"/>
    <w:rsid w:val="003F631E"/>
    <w:rsid w:val="003F78DB"/>
    <w:rsid w:val="00402329"/>
    <w:rsid w:val="00402376"/>
    <w:rsid w:val="0041158D"/>
    <w:rsid w:val="004115DF"/>
    <w:rsid w:val="00411F35"/>
    <w:rsid w:val="004120F7"/>
    <w:rsid w:val="00416DBA"/>
    <w:rsid w:val="004214A6"/>
    <w:rsid w:val="0042356B"/>
    <w:rsid w:val="00424FAB"/>
    <w:rsid w:val="00426B00"/>
    <w:rsid w:val="00430CBD"/>
    <w:rsid w:val="00440F16"/>
    <w:rsid w:val="004441FA"/>
    <w:rsid w:val="00447296"/>
    <w:rsid w:val="00453449"/>
    <w:rsid w:val="00454939"/>
    <w:rsid w:val="00454CEF"/>
    <w:rsid w:val="00456D89"/>
    <w:rsid w:val="00460DA0"/>
    <w:rsid w:val="004618A9"/>
    <w:rsid w:val="00462068"/>
    <w:rsid w:val="00467CC1"/>
    <w:rsid w:val="00472FC4"/>
    <w:rsid w:val="0047422F"/>
    <w:rsid w:val="00480245"/>
    <w:rsid w:val="0048544B"/>
    <w:rsid w:val="0049094F"/>
    <w:rsid w:val="0049185D"/>
    <w:rsid w:val="00493283"/>
    <w:rsid w:val="004950EE"/>
    <w:rsid w:val="0049577E"/>
    <w:rsid w:val="004967AF"/>
    <w:rsid w:val="004A1819"/>
    <w:rsid w:val="004A2F62"/>
    <w:rsid w:val="004A34E3"/>
    <w:rsid w:val="004A3FAC"/>
    <w:rsid w:val="004A73F8"/>
    <w:rsid w:val="004B5C8F"/>
    <w:rsid w:val="004C0268"/>
    <w:rsid w:val="004D4130"/>
    <w:rsid w:val="004E5D02"/>
    <w:rsid w:val="00506C0F"/>
    <w:rsid w:val="00507514"/>
    <w:rsid w:val="005079AE"/>
    <w:rsid w:val="00510E05"/>
    <w:rsid w:val="00511DB3"/>
    <w:rsid w:val="00513E92"/>
    <w:rsid w:val="00527B3F"/>
    <w:rsid w:val="005314C6"/>
    <w:rsid w:val="005360D0"/>
    <w:rsid w:val="00542C15"/>
    <w:rsid w:val="005431BE"/>
    <w:rsid w:val="00544D1F"/>
    <w:rsid w:val="0054516F"/>
    <w:rsid w:val="00546DAB"/>
    <w:rsid w:val="00547DAC"/>
    <w:rsid w:val="00550362"/>
    <w:rsid w:val="0055096F"/>
    <w:rsid w:val="005635D3"/>
    <w:rsid w:val="00567CCE"/>
    <w:rsid w:val="005723A0"/>
    <w:rsid w:val="00576F96"/>
    <w:rsid w:val="005809DA"/>
    <w:rsid w:val="00583DDE"/>
    <w:rsid w:val="00592262"/>
    <w:rsid w:val="00593C4D"/>
    <w:rsid w:val="005A0881"/>
    <w:rsid w:val="005A10A7"/>
    <w:rsid w:val="005A2CAD"/>
    <w:rsid w:val="005A6FAC"/>
    <w:rsid w:val="005A7998"/>
    <w:rsid w:val="005C01C7"/>
    <w:rsid w:val="005C0E3D"/>
    <w:rsid w:val="005C1CBC"/>
    <w:rsid w:val="005C3316"/>
    <w:rsid w:val="005C38B2"/>
    <w:rsid w:val="005C7A6D"/>
    <w:rsid w:val="005D0F2E"/>
    <w:rsid w:val="005D3563"/>
    <w:rsid w:val="005D7827"/>
    <w:rsid w:val="005E3726"/>
    <w:rsid w:val="005F14B5"/>
    <w:rsid w:val="005F31F2"/>
    <w:rsid w:val="005F5EAD"/>
    <w:rsid w:val="006000F7"/>
    <w:rsid w:val="006118C4"/>
    <w:rsid w:val="00612CEA"/>
    <w:rsid w:val="00613002"/>
    <w:rsid w:val="00615015"/>
    <w:rsid w:val="006236EF"/>
    <w:rsid w:val="00630A61"/>
    <w:rsid w:val="00630EB6"/>
    <w:rsid w:val="00633C48"/>
    <w:rsid w:val="00634A1E"/>
    <w:rsid w:val="006371F5"/>
    <w:rsid w:val="0063763B"/>
    <w:rsid w:val="00650E55"/>
    <w:rsid w:val="0065394F"/>
    <w:rsid w:val="00654986"/>
    <w:rsid w:val="00654C07"/>
    <w:rsid w:val="0065523B"/>
    <w:rsid w:val="00660B36"/>
    <w:rsid w:val="00662D0F"/>
    <w:rsid w:val="006721C5"/>
    <w:rsid w:val="00672378"/>
    <w:rsid w:val="006723BB"/>
    <w:rsid w:val="006751C9"/>
    <w:rsid w:val="006751E5"/>
    <w:rsid w:val="00684F44"/>
    <w:rsid w:val="006874B4"/>
    <w:rsid w:val="006979BA"/>
    <w:rsid w:val="006A7A3B"/>
    <w:rsid w:val="006B313B"/>
    <w:rsid w:val="006B5869"/>
    <w:rsid w:val="006B68A9"/>
    <w:rsid w:val="006C4790"/>
    <w:rsid w:val="006D3FC1"/>
    <w:rsid w:val="006D4A21"/>
    <w:rsid w:val="006E32EC"/>
    <w:rsid w:val="006F40D0"/>
    <w:rsid w:val="006F5AB9"/>
    <w:rsid w:val="006F5EC0"/>
    <w:rsid w:val="007073A2"/>
    <w:rsid w:val="00711609"/>
    <w:rsid w:val="0071628A"/>
    <w:rsid w:val="00720027"/>
    <w:rsid w:val="007207CB"/>
    <w:rsid w:val="007237C6"/>
    <w:rsid w:val="00723D69"/>
    <w:rsid w:val="007252DA"/>
    <w:rsid w:val="00733C58"/>
    <w:rsid w:val="0073704E"/>
    <w:rsid w:val="007419D6"/>
    <w:rsid w:val="00744A71"/>
    <w:rsid w:val="00746720"/>
    <w:rsid w:val="00760EF4"/>
    <w:rsid w:val="00762A7F"/>
    <w:rsid w:val="007633AE"/>
    <w:rsid w:val="00763DC8"/>
    <w:rsid w:val="00764FED"/>
    <w:rsid w:val="00771AA8"/>
    <w:rsid w:val="00772B29"/>
    <w:rsid w:val="00772C29"/>
    <w:rsid w:val="00772F9E"/>
    <w:rsid w:val="00783703"/>
    <w:rsid w:val="007845E3"/>
    <w:rsid w:val="00790676"/>
    <w:rsid w:val="00790E63"/>
    <w:rsid w:val="00796EAE"/>
    <w:rsid w:val="007A6C33"/>
    <w:rsid w:val="007A7423"/>
    <w:rsid w:val="007B0C57"/>
    <w:rsid w:val="007B5968"/>
    <w:rsid w:val="007B59C6"/>
    <w:rsid w:val="007C074B"/>
    <w:rsid w:val="007C2BC6"/>
    <w:rsid w:val="007C5CDF"/>
    <w:rsid w:val="007C5F9B"/>
    <w:rsid w:val="007D017A"/>
    <w:rsid w:val="007D25F4"/>
    <w:rsid w:val="007D3787"/>
    <w:rsid w:val="007E006C"/>
    <w:rsid w:val="007E3DD4"/>
    <w:rsid w:val="007E68BA"/>
    <w:rsid w:val="007E6D0E"/>
    <w:rsid w:val="007E7565"/>
    <w:rsid w:val="007F0D31"/>
    <w:rsid w:val="00800AE2"/>
    <w:rsid w:val="008011AC"/>
    <w:rsid w:val="00806DF2"/>
    <w:rsid w:val="00810BF4"/>
    <w:rsid w:val="00814189"/>
    <w:rsid w:val="0082150F"/>
    <w:rsid w:val="00821E16"/>
    <w:rsid w:val="0082709E"/>
    <w:rsid w:val="0084247A"/>
    <w:rsid w:val="00846F77"/>
    <w:rsid w:val="00854BC8"/>
    <w:rsid w:val="00855C70"/>
    <w:rsid w:val="0086482F"/>
    <w:rsid w:val="00875550"/>
    <w:rsid w:val="00893053"/>
    <w:rsid w:val="00894AB6"/>
    <w:rsid w:val="00897FDD"/>
    <w:rsid w:val="008A484C"/>
    <w:rsid w:val="008A4B11"/>
    <w:rsid w:val="008A59DE"/>
    <w:rsid w:val="008B4435"/>
    <w:rsid w:val="008D2CD8"/>
    <w:rsid w:val="008E0DA7"/>
    <w:rsid w:val="008E11C0"/>
    <w:rsid w:val="008E2A0E"/>
    <w:rsid w:val="008E47FD"/>
    <w:rsid w:val="008F3B97"/>
    <w:rsid w:val="008F6701"/>
    <w:rsid w:val="008F7536"/>
    <w:rsid w:val="009010CA"/>
    <w:rsid w:val="00910FB7"/>
    <w:rsid w:val="009124FD"/>
    <w:rsid w:val="00913DD7"/>
    <w:rsid w:val="00914850"/>
    <w:rsid w:val="00917383"/>
    <w:rsid w:val="0092085F"/>
    <w:rsid w:val="009214C5"/>
    <w:rsid w:val="00923F9B"/>
    <w:rsid w:val="0092623B"/>
    <w:rsid w:val="00926F35"/>
    <w:rsid w:val="0093229E"/>
    <w:rsid w:val="00933B91"/>
    <w:rsid w:val="00940032"/>
    <w:rsid w:val="0094024B"/>
    <w:rsid w:val="00942529"/>
    <w:rsid w:val="009500CC"/>
    <w:rsid w:val="00951A34"/>
    <w:rsid w:val="0095220C"/>
    <w:rsid w:val="00962BC0"/>
    <w:rsid w:val="00963DF9"/>
    <w:rsid w:val="00967099"/>
    <w:rsid w:val="00970C55"/>
    <w:rsid w:val="00971667"/>
    <w:rsid w:val="009729B0"/>
    <w:rsid w:val="00981027"/>
    <w:rsid w:val="00990AFB"/>
    <w:rsid w:val="00996320"/>
    <w:rsid w:val="009A217A"/>
    <w:rsid w:val="009A2C1C"/>
    <w:rsid w:val="009A5676"/>
    <w:rsid w:val="009A6796"/>
    <w:rsid w:val="009A7A75"/>
    <w:rsid w:val="009B3E99"/>
    <w:rsid w:val="009B3EEA"/>
    <w:rsid w:val="009B4166"/>
    <w:rsid w:val="009B4F01"/>
    <w:rsid w:val="009B545A"/>
    <w:rsid w:val="009B5B71"/>
    <w:rsid w:val="009D4089"/>
    <w:rsid w:val="009D47D0"/>
    <w:rsid w:val="009D53B7"/>
    <w:rsid w:val="009D7B3B"/>
    <w:rsid w:val="009E15ED"/>
    <w:rsid w:val="009E454E"/>
    <w:rsid w:val="009E5CED"/>
    <w:rsid w:val="009E6E6B"/>
    <w:rsid w:val="009E7CC8"/>
    <w:rsid w:val="009F0DA3"/>
    <w:rsid w:val="00A00736"/>
    <w:rsid w:val="00A151F0"/>
    <w:rsid w:val="00A215D9"/>
    <w:rsid w:val="00A233DE"/>
    <w:rsid w:val="00A23535"/>
    <w:rsid w:val="00A2440F"/>
    <w:rsid w:val="00A25C80"/>
    <w:rsid w:val="00A46240"/>
    <w:rsid w:val="00A53ABC"/>
    <w:rsid w:val="00A56A02"/>
    <w:rsid w:val="00A61F56"/>
    <w:rsid w:val="00A709A9"/>
    <w:rsid w:val="00A70AF4"/>
    <w:rsid w:val="00A71C91"/>
    <w:rsid w:val="00A77FE6"/>
    <w:rsid w:val="00A81A7D"/>
    <w:rsid w:val="00A83224"/>
    <w:rsid w:val="00A83834"/>
    <w:rsid w:val="00A853FD"/>
    <w:rsid w:val="00A904FF"/>
    <w:rsid w:val="00A925C6"/>
    <w:rsid w:val="00AB11F8"/>
    <w:rsid w:val="00AB4EFB"/>
    <w:rsid w:val="00AC58F5"/>
    <w:rsid w:val="00AC5DBA"/>
    <w:rsid w:val="00AD00DF"/>
    <w:rsid w:val="00AD2FD5"/>
    <w:rsid w:val="00AD44D9"/>
    <w:rsid w:val="00AD4D40"/>
    <w:rsid w:val="00AD5CE9"/>
    <w:rsid w:val="00AE4B6B"/>
    <w:rsid w:val="00AE4B73"/>
    <w:rsid w:val="00AE4C42"/>
    <w:rsid w:val="00AF423D"/>
    <w:rsid w:val="00AF6D05"/>
    <w:rsid w:val="00B00E97"/>
    <w:rsid w:val="00B027A8"/>
    <w:rsid w:val="00B04EDA"/>
    <w:rsid w:val="00B06F14"/>
    <w:rsid w:val="00B10215"/>
    <w:rsid w:val="00B138FD"/>
    <w:rsid w:val="00B1461A"/>
    <w:rsid w:val="00B22787"/>
    <w:rsid w:val="00B23F65"/>
    <w:rsid w:val="00B30C6A"/>
    <w:rsid w:val="00B30ED1"/>
    <w:rsid w:val="00B35EA0"/>
    <w:rsid w:val="00B43DAE"/>
    <w:rsid w:val="00B56046"/>
    <w:rsid w:val="00B56285"/>
    <w:rsid w:val="00B62E66"/>
    <w:rsid w:val="00B6401E"/>
    <w:rsid w:val="00B64844"/>
    <w:rsid w:val="00B70C8A"/>
    <w:rsid w:val="00B7435E"/>
    <w:rsid w:val="00B77AC2"/>
    <w:rsid w:val="00B87F35"/>
    <w:rsid w:val="00B97384"/>
    <w:rsid w:val="00BA18F8"/>
    <w:rsid w:val="00BA32D5"/>
    <w:rsid w:val="00BA3DE1"/>
    <w:rsid w:val="00BA4A3C"/>
    <w:rsid w:val="00BB0219"/>
    <w:rsid w:val="00BB3AEB"/>
    <w:rsid w:val="00BB44A0"/>
    <w:rsid w:val="00BB7EDB"/>
    <w:rsid w:val="00BC0DE4"/>
    <w:rsid w:val="00BC5452"/>
    <w:rsid w:val="00BC56BB"/>
    <w:rsid w:val="00BC6E32"/>
    <w:rsid w:val="00BD2304"/>
    <w:rsid w:val="00BD3F02"/>
    <w:rsid w:val="00BD6B22"/>
    <w:rsid w:val="00BE1BBF"/>
    <w:rsid w:val="00BE464A"/>
    <w:rsid w:val="00BE5529"/>
    <w:rsid w:val="00BF7CDD"/>
    <w:rsid w:val="00C03DEA"/>
    <w:rsid w:val="00C10FBA"/>
    <w:rsid w:val="00C12F10"/>
    <w:rsid w:val="00C144E1"/>
    <w:rsid w:val="00C2344E"/>
    <w:rsid w:val="00C3686A"/>
    <w:rsid w:val="00C47D05"/>
    <w:rsid w:val="00C51225"/>
    <w:rsid w:val="00C574FB"/>
    <w:rsid w:val="00C57C98"/>
    <w:rsid w:val="00C62225"/>
    <w:rsid w:val="00C65FEF"/>
    <w:rsid w:val="00C70647"/>
    <w:rsid w:val="00C716AB"/>
    <w:rsid w:val="00C74A2B"/>
    <w:rsid w:val="00C775C3"/>
    <w:rsid w:val="00C815C2"/>
    <w:rsid w:val="00C82988"/>
    <w:rsid w:val="00C84AD5"/>
    <w:rsid w:val="00C84C84"/>
    <w:rsid w:val="00C922F5"/>
    <w:rsid w:val="00C92D7B"/>
    <w:rsid w:val="00C952BD"/>
    <w:rsid w:val="00C978DD"/>
    <w:rsid w:val="00CA23ED"/>
    <w:rsid w:val="00CA2AE2"/>
    <w:rsid w:val="00CB595C"/>
    <w:rsid w:val="00CC6110"/>
    <w:rsid w:val="00CD2ACF"/>
    <w:rsid w:val="00CD7C64"/>
    <w:rsid w:val="00CE07F2"/>
    <w:rsid w:val="00CE3F9B"/>
    <w:rsid w:val="00CE696A"/>
    <w:rsid w:val="00CE77C7"/>
    <w:rsid w:val="00CF3B31"/>
    <w:rsid w:val="00D039D0"/>
    <w:rsid w:val="00D056FF"/>
    <w:rsid w:val="00D10BC1"/>
    <w:rsid w:val="00D13746"/>
    <w:rsid w:val="00D14EA3"/>
    <w:rsid w:val="00D176FE"/>
    <w:rsid w:val="00D312AA"/>
    <w:rsid w:val="00D35526"/>
    <w:rsid w:val="00D36A32"/>
    <w:rsid w:val="00D379C7"/>
    <w:rsid w:val="00D403BC"/>
    <w:rsid w:val="00D405F6"/>
    <w:rsid w:val="00D4084B"/>
    <w:rsid w:val="00D41E7B"/>
    <w:rsid w:val="00D474BE"/>
    <w:rsid w:val="00D500B6"/>
    <w:rsid w:val="00D51254"/>
    <w:rsid w:val="00D53242"/>
    <w:rsid w:val="00D63369"/>
    <w:rsid w:val="00D650AE"/>
    <w:rsid w:val="00D65FCB"/>
    <w:rsid w:val="00D666CB"/>
    <w:rsid w:val="00D71E1A"/>
    <w:rsid w:val="00D74A6F"/>
    <w:rsid w:val="00D76DBE"/>
    <w:rsid w:val="00D77C5D"/>
    <w:rsid w:val="00D84DCC"/>
    <w:rsid w:val="00D863E9"/>
    <w:rsid w:val="00D97457"/>
    <w:rsid w:val="00DA1573"/>
    <w:rsid w:val="00DA1E86"/>
    <w:rsid w:val="00DA7B28"/>
    <w:rsid w:val="00DB0F8D"/>
    <w:rsid w:val="00DB148D"/>
    <w:rsid w:val="00DC0063"/>
    <w:rsid w:val="00DD4EFC"/>
    <w:rsid w:val="00DD7BDE"/>
    <w:rsid w:val="00DE49AD"/>
    <w:rsid w:val="00DE4ACC"/>
    <w:rsid w:val="00DE50BB"/>
    <w:rsid w:val="00DE54ED"/>
    <w:rsid w:val="00DE61D6"/>
    <w:rsid w:val="00DF1B8E"/>
    <w:rsid w:val="00DF1D7C"/>
    <w:rsid w:val="00DF3BC5"/>
    <w:rsid w:val="00DF3D01"/>
    <w:rsid w:val="00DF60BE"/>
    <w:rsid w:val="00DF75C1"/>
    <w:rsid w:val="00E130DE"/>
    <w:rsid w:val="00E150B4"/>
    <w:rsid w:val="00E20BEB"/>
    <w:rsid w:val="00E325D6"/>
    <w:rsid w:val="00E423FA"/>
    <w:rsid w:val="00E45791"/>
    <w:rsid w:val="00E5241D"/>
    <w:rsid w:val="00E542C1"/>
    <w:rsid w:val="00E63217"/>
    <w:rsid w:val="00E63E92"/>
    <w:rsid w:val="00E704D0"/>
    <w:rsid w:val="00E72903"/>
    <w:rsid w:val="00E82FCA"/>
    <w:rsid w:val="00E84F1C"/>
    <w:rsid w:val="00E85322"/>
    <w:rsid w:val="00E859A6"/>
    <w:rsid w:val="00E87DC2"/>
    <w:rsid w:val="00EA3527"/>
    <w:rsid w:val="00EA364A"/>
    <w:rsid w:val="00EA3D7E"/>
    <w:rsid w:val="00EA7950"/>
    <w:rsid w:val="00EB016C"/>
    <w:rsid w:val="00EB3E2A"/>
    <w:rsid w:val="00EB3FBD"/>
    <w:rsid w:val="00EB6F83"/>
    <w:rsid w:val="00EC5ADE"/>
    <w:rsid w:val="00EC5E10"/>
    <w:rsid w:val="00EC7556"/>
    <w:rsid w:val="00ED0C88"/>
    <w:rsid w:val="00ED102F"/>
    <w:rsid w:val="00ED50B1"/>
    <w:rsid w:val="00EE0AA2"/>
    <w:rsid w:val="00EF073A"/>
    <w:rsid w:val="00EF3652"/>
    <w:rsid w:val="00F00CE2"/>
    <w:rsid w:val="00F01CA5"/>
    <w:rsid w:val="00F049A6"/>
    <w:rsid w:val="00F1367B"/>
    <w:rsid w:val="00F1588E"/>
    <w:rsid w:val="00F2799F"/>
    <w:rsid w:val="00F31CF5"/>
    <w:rsid w:val="00F31F18"/>
    <w:rsid w:val="00F32074"/>
    <w:rsid w:val="00F37F4B"/>
    <w:rsid w:val="00F41D4A"/>
    <w:rsid w:val="00F43B42"/>
    <w:rsid w:val="00F478B5"/>
    <w:rsid w:val="00F72394"/>
    <w:rsid w:val="00F7782B"/>
    <w:rsid w:val="00F8362A"/>
    <w:rsid w:val="00F839A8"/>
    <w:rsid w:val="00F83A1E"/>
    <w:rsid w:val="00F9140C"/>
    <w:rsid w:val="00F94537"/>
    <w:rsid w:val="00F96679"/>
    <w:rsid w:val="00F96924"/>
    <w:rsid w:val="00FA10DC"/>
    <w:rsid w:val="00FA12AA"/>
    <w:rsid w:val="00FB17B1"/>
    <w:rsid w:val="00FB38BA"/>
    <w:rsid w:val="00FB4101"/>
    <w:rsid w:val="00FB44D6"/>
    <w:rsid w:val="00FB5550"/>
    <w:rsid w:val="00FB5F3B"/>
    <w:rsid w:val="00FB73A3"/>
    <w:rsid w:val="00FE1A58"/>
    <w:rsid w:val="00FE2BD6"/>
    <w:rsid w:val="00FE57FD"/>
    <w:rsid w:val="00FE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7D36B"/>
  <w15:docId w15:val="{57357A0F-3291-4614-895B-A831F2C4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3834"/>
    <w:pPr>
      <w:spacing w:after="0" w:line="240" w:lineRule="auto"/>
    </w:pPr>
    <w:rPr>
      <w:rFonts w:ascii="Times" w:hAnsi="Times"/>
      <w:color w:val="auto"/>
      <w:sz w:val="24"/>
      <w:szCs w:val="24"/>
      <w:lang w:eastAsia="zh-CN"/>
    </w:rPr>
  </w:style>
  <w:style w:type="paragraph" w:styleId="Heading1">
    <w:name w:val="heading 1"/>
    <w:basedOn w:val="Normal"/>
    <w:next w:val="Normal"/>
    <w:link w:val="Heading1Char"/>
    <w:uiPriority w:val="2"/>
    <w:qFormat/>
    <w:rsid w:val="00AD44D9"/>
    <w:pPr>
      <w:outlineLvl w:val="0"/>
    </w:pPr>
    <w:rPr>
      <w:rFonts w:ascii="Arial" w:hAnsi="Arial" w:cs="Arial"/>
      <w:b/>
      <w:color w:val="2F528F"/>
      <w:spacing w:val="20"/>
      <w:sz w:val="26"/>
      <w:szCs w:val="26"/>
    </w:rPr>
  </w:style>
  <w:style w:type="paragraph" w:styleId="Heading2">
    <w:name w:val="heading 2"/>
    <w:basedOn w:val="ListParagraph"/>
    <w:next w:val="Normal"/>
    <w:link w:val="Heading2Char"/>
    <w:uiPriority w:val="2"/>
    <w:unhideWhenUsed/>
    <w:qFormat/>
    <w:rsid w:val="007A7423"/>
    <w:pPr>
      <w:numPr>
        <w:numId w:val="24"/>
      </w:numPr>
      <w:spacing w:line="360" w:lineRule="auto"/>
      <w:ind w:left="360"/>
      <w:outlineLvl w:val="1"/>
    </w:pPr>
    <w:rPr>
      <w:rFonts w:ascii="Arial" w:eastAsia="MS Mincho" w:hAnsi="Arial" w:cs="Arial"/>
      <w:color w:val="595959" w:themeColor="text1" w:themeTint="A6"/>
      <w:spacing w:val="20"/>
      <w:lang w:eastAsia="en-US"/>
    </w:rPr>
  </w:style>
  <w:style w:type="paragraph" w:styleId="Heading3">
    <w:name w:val="heading 3"/>
    <w:basedOn w:val="Normal"/>
    <w:next w:val="Normal"/>
    <w:link w:val="Heading3Char"/>
    <w:uiPriority w:val="2"/>
    <w:unhideWhenUsed/>
    <w:qFormat/>
    <w:pPr>
      <w:keepNext/>
      <w:keepLines/>
      <w:spacing w:before="360" w:after="120" w:line="300" w:lineRule="auto"/>
      <w:outlineLvl w:val="2"/>
    </w:pPr>
    <w:rPr>
      <w:rFonts w:ascii="Calibri" w:hAnsi="Calibri"/>
      <w:b/>
      <w:bCs/>
      <w:i/>
      <w:iCs/>
      <w:color w:val="4C483D" w:themeColor="text2"/>
      <w:lang w:eastAsia="ja-JP"/>
    </w:rPr>
  </w:style>
  <w:style w:type="paragraph" w:styleId="Heading4">
    <w:name w:val="heading 4"/>
    <w:basedOn w:val="Normal"/>
    <w:next w:val="Normal"/>
    <w:link w:val="Heading4Char"/>
    <w:uiPriority w:val="2"/>
    <w:unhideWhenUsed/>
    <w:qFormat/>
    <w:rsid w:val="00790E63"/>
    <w:pPr>
      <w:spacing w:after="120"/>
      <w:outlineLvl w:val="3"/>
    </w:pPr>
    <w:rPr>
      <w:rFonts w:ascii="Calibri" w:hAnsi="Calibri"/>
      <w:b/>
      <w:color w:val="4C483D" w:themeColor="text2"/>
      <w:sz w:val="20"/>
      <w:szCs w:val="20"/>
      <w:lang w:eastAsia="ja-JP"/>
    </w:rPr>
  </w:style>
  <w:style w:type="paragraph" w:styleId="Heading5">
    <w:name w:val="heading 5"/>
    <w:basedOn w:val="Normal"/>
    <w:next w:val="Normal"/>
    <w:link w:val="Heading5Char"/>
    <w:uiPriority w:val="99"/>
    <w:unhideWhenUsed/>
    <w:qFormat/>
    <w:pPr>
      <w:keepNext/>
      <w:keepLines/>
      <w:spacing w:before="40" w:line="300" w:lineRule="auto"/>
      <w:outlineLvl w:val="4"/>
    </w:pPr>
    <w:rPr>
      <w:rFonts w:asciiTheme="majorHAnsi" w:eastAsiaTheme="majorEastAsia" w:hAnsiTheme="majorHAnsi" w:cstheme="majorBidi"/>
      <w:color w:val="F24F4F" w:themeColor="accent1"/>
      <w:sz w:val="20"/>
      <w:szCs w:val="20"/>
      <w:lang w:eastAsia="ja-JP"/>
    </w:rPr>
  </w:style>
  <w:style w:type="paragraph" w:styleId="Heading6">
    <w:name w:val="heading 6"/>
    <w:basedOn w:val="Normal"/>
    <w:next w:val="Normal"/>
    <w:link w:val="Heading6Char"/>
    <w:uiPriority w:val="99"/>
    <w:semiHidden/>
    <w:unhideWhenUsed/>
    <w:qFormat/>
    <w:pPr>
      <w:keepNext/>
      <w:keepLines/>
      <w:spacing w:before="40" w:line="300" w:lineRule="auto"/>
      <w:outlineLvl w:val="5"/>
    </w:pPr>
    <w:rPr>
      <w:rFonts w:asciiTheme="majorHAnsi" w:eastAsiaTheme="majorEastAsia" w:hAnsiTheme="majorHAnsi" w:cstheme="majorBidi"/>
      <w:color w:val="F24F4F" w:themeColor="accent1"/>
      <w:sz w:val="20"/>
      <w:szCs w:val="20"/>
      <w:lang w:eastAsia="ja-JP"/>
    </w:rPr>
  </w:style>
  <w:style w:type="paragraph" w:styleId="Heading9">
    <w:name w:val="heading 9"/>
    <w:basedOn w:val="Normal"/>
    <w:next w:val="Normal"/>
    <w:link w:val="Heading9Char"/>
    <w:uiPriority w:val="99"/>
    <w:semiHidden/>
    <w:unhideWhenUsed/>
    <w:qFormat/>
    <w:rsid w:val="00D355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after="240" w:line="300" w:lineRule="auto"/>
    </w:pPr>
    <w:rPr>
      <w:rFonts w:ascii="Calibri" w:hAnsi="Calibri"/>
      <w:color w:val="4C483D" w:themeColor="text2"/>
      <w:sz w:val="20"/>
      <w:szCs w:val="20"/>
      <w:lang w:eastAsia="ja-JP"/>
    </w:r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rsid w:val="00BA18F8"/>
    <w:pPr>
      <w:spacing w:after="600"/>
      <w:contextualSpacing/>
    </w:pPr>
    <w:rPr>
      <w:rFonts w:asciiTheme="majorHAnsi" w:eastAsiaTheme="majorEastAsia" w:hAnsiTheme="majorHAnsi" w:cstheme="majorBidi"/>
      <w:color w:val="61ADBF" w:themeColor="accent4"/>
      <w:kern w:val="28"/>
      <w:sz w:val="96"/>
      <w:szCs w:val="96"/>
      <w:lang w:eastAsia="ja-JP"/>
    </w:rPr>
  </w:style>
  <w:style w:type="character" w:customStyle="1" w:styleId="TitleChar">
    <w:name w:val="Title Char"/>
    <w:basedOn w:val="DefaultParagraphFont"/>
    <w:link w:val="Title"/>
    <w:uiPriority w:val="3"/>
    <w:rsid w:val="00BA18F8"/>
    <w:rPr>
      <w:rFonts w:asciiTheme="majorHAnsi" w:eastAsiaTheme="majorEastAsia" w:hAnsiTheme="majorHAnsi" w:cstheme="majorBidi"/>
      <w:color w:val="61ADBF" w:themeColor="accent4"/>
      <w:kern w:val="28"/>
      <w:sz w:val="96"/>
      <w:szCs w:val="96"/>
    </w:rPr>
  </w:style>
  <w:style w:type="paragraph" w:styleId="Subtitle">
    <w:name w:val="Subtitle"/>
    <w:basedOn w:val="Normal"/>
    <w:next w:val="Normal"/>
    <w:link w:val="SubtitleChar"/>
    <w:uiPriority w:val="4"/>
    <w:qFormat/>
    <w:pPr>
      <w:numPr>
        <w:ilvl w:val="1"/>
      </w:numPr>
    </w:pPr>
    <w:rPr>
      <w:rFonts w:ascii="Calibri" w:hAnsi="Calibri"/>
      <w:color w:val="4C483D" w:themeColor="text2"/>
      <w:sz w:val="32"/>
      <w:szCs w:val="32"/>
      <w:lang w:eastAsia="ja-JP"/>
    </w:rPr>
  </w:style>
  <w:style w:type="character" w:customStyle="1" w:styleId="SubtitleChar">
    <w:name w:val="Subtitle Char"/>
    <w:basedOn w:val="DefaultParagraphFont"/>
    <w:link w:val="Subtitle"/>
    <w:uiPriority w:val="4"/>
    <w:rPr>
      <w:sz w:val="32"/>
      <w:szCs w:val="32"/>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5"/>
    <w:qFormat/>
    <w:rPr>
      <w:color w:val="FFFFFF" w:themeColor="background1"/>
      <w:sz w:val="22"/>
      <w:szCs w:val="22"/>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F24F4F" w:themeColor="accent1"/>
    </w:rPr>
  </w:style>
  <w:style w:type="paragraph" w:styleId="Header">
    <w:name w:val="header"/>
    <w:basedOn w:val="Normal"/>
    <w:link w:val="HeaderChar"/>
    <w:uiPriority w:val="99"/>
    <w:unhideWhenUsed/>
    <w:pPr>
      <w:tabs>
        <w:tab w:val="center" w:pos="4680"/>
        <w:tab w:val="right" w:pos="9360"/>
      </w:tabs>
    </w:pPr>
    <w:rPr>
      <w:rFonts w:ascii="Calibri" w:hAnsi="Calibri"/>
      <w:color w:val="4C483D" w:themeColor="text2"/>
      <w:sz w:val="20"/>
      <w:szCs w:val="20"/>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Pr>
      <w:rFonts w:asciiTheme="majorHAnsi" w:eastAsiaTheme="majorEastAsia" w:hAnsiTheme="majorHAnsi" w:cstheme="majorBidi"/>
      <w:caps/>
      <w:color w:val="F24F4F" w:themeColor="accent1"/>
      <w:sz w:val="16"/>
      <w:szCs w:val="16"/>
      <w:lang w:eastAsia="ja-JP"/>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2"/>
    <w:rsid w:val="00AD44D9"/>
    <w:rPr>
      <w:rFonts w:ascii="Arial" w:hAnsi="Arial" w:cs="Arial"/>
      <w:b/>
      <w:color w:val="2F528F"/>
      <w:spacing w:val="20"/>
      <w:sz w:val="26"/>
      <w:szCs w:val="26"/>
      <w:lang w:eastAsia="zh-CN"/>
    </w:rPr>
  </w:style>
  <w:style w:type="character" w:customStyle="1" w:styleId="Heading2Char">
    <w:name w:val="Heading 2 Char"/>
    <w:basedOn w:val="DefaultParagraphFont"/>
    <w:link w:val="Heading2"/>
    <w:uiPriority w:val="2"/>
    <w:rsid w:val="007A7423"/>
    <w:rPr>
      <w:rFonts w:ascii="Arial" w:eastAsia="MS Mincho" w:hAnsi="Arial" w:cs="Arial"/>
      <w:color w:val="595959" w:themeColor="text1" w:themeTint="A6"/>
      <w:spacing w:val="20"/>
      <w:lang w:eastAsia="en-US"/>
    </w:rPr>
  </w:style>
  <w:style w:type="paragraph" w:styleId="TOCHeading">
    <w:name w:val="TOC Heading"/>
    <w:basedOn w:val="Heading1"/>
    <w:next w:val="Normal"/>
    <w:uiPriority w:val="99"/>
    <w:unhideWhenUsed/>
    <w:qFormat/>
    <w:rsid w:val="00BA18F8"/>
    <w:pPr>
      <w:spacing w:after="400"/>
      <w:outlineLvl w:val="9"/>
    </w:pPr>
    <w:rPr>
      <w:sz w:val="72"/>
      <w:szCs w:val="72"/>
    </w:rPr>
  </w:style>
  <w:style w:type="paragraph" w:styleId="TOC1">
    <w:name w:val="toc 1"/>
    <w:basedOn w:val="Normal"/>
    <w:next w:val="Normal"/>
    <w:autoRedefine/>
    <w:uiPriority w:val="39"/>
    <w:unhideWhenUsed/>
    <w:qFormat/>
    <w:rsid w:val="00660B36"/>
    <w:pPr>
      <w:spacing w:before="360"/>
      <w:ind w:right="3996"/>
    </w:pPr>
    <w:rPr>
      <w:rFonts w:ascii="Arial" w:hAnsi="Arial" w:cs="Arial"/>
      <w:b/>
      <w:bCs/>
      <w:sz w:val="32"/>
      <w:szCs w:val="32"/>
    </w:rPr>
  </w:style>
  <w:style w:type="character" w:customStyle="1" w:styleId="NoSpacingChar">
    <w:name w:val="No Spacing Char"/>
    <w:basedOn w:val="DefaultParagraphFont"/>
    <w:link w:val="NoSpacing"/>
    <w:uiPriority w:val="1"/>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2"/>
    <w:rPr>
      <w:b/>
      <w:bCs/>
      <w:i/>
      <w:iCs/>
      <w:sz w:val="24"/>
      <w:szCs w:val="24"/>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color w:val="4C483D" w:themeColor="text2"/>
      <w:sz w:val="16"/>
      <w:szCs w:val="16"/>
      <w:lang w:eastAsia="ja-JP"/>
    </w:rPr>
  </w:style>
  <w:style w:type="paragraph" w:customStyle="1" w:styleId="Icon">
    <w:name w:val="Icon"/>
    <w:basedOn w:val="Normal"/>
    <w:uiPriority w:val="99"/>
    <w:unhideWhenUsed/>
    <w:pPr>
      <w:spacing w:before="160" w:after="160"/>
      <w:jc w:val="center"/>
    </w:pPr>
    <w:rPr>
      <w:rFonts w:ascii="Calibri" w:hAnsi="Calibri"/>
      <w:color w:val="4C483D" w:themeColor="text2"/>
      <w:sz w:val="20"/>
      <w:szCs w:val="20"/>
      <w:lang w:eastAsia="ja-JP"/>
    </w:rPr>
  </w:style>
  <w:style w:type="character" w:customStyle="1" w:styleId="Heading4Char">
    <w:name w:val="Heading 4 Char"/>
    <w:basedOn w:val="DefaultParagraphFont"/>
    <w:link w:val="Heading4"/>
    <w:uiPriority w:val="2"/>
    <w:rsid w:val="00790E63"/>
    <w:rPr>
      <w:rFonts w:ascii="Calibri" w:hAnsi="Calibri"/>
      <w:b/>
    </w:rPr>
  </w:style>
  <w:style w:type="table" w:customStyle="1" w:styleId="ReportTable">
    <w:name w:val="Report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99"/>
    <w:unhideWhenUsed/>
    <w:pPr>
      <w:ind w:left="240"/>
    </w:pPr>
    <w:rPr>
      <w:rFonts w:asciiTheme="minorHAnsi" w:hAnsiTheme="minorHAnsi"/>
      <w:sz w:val="20"/>
      <w:szCs w:val="20"/>
    </w:rPr>
  </w:style>
  <w:style w:type="paragraph" w:styleId="TOC4">
    <w:name w:val="toc 4"/>
    <w:basedOn w:val="Normal"/>
    <w:next w:val="Normal"/>
    <w:autoRedefine/>
    <w:uiPriority w:val="99"/>
    <w:unhideWhenUsed/>
    <w:pPr>
      <w:ind w:left="480"/>
    </w:pPr>
    <w:rPr>
      <w:rFonts w:asciiTheme="minorHAnsi" w:hAnsiTheme="minorHAnsi"/>
      <w:sz w:val="20"/>
      <w:szCs w:val="20"/>
    </w:rPr>
  </w:style>
  <w:style w:type="paragraph" w:styleId="ListBullet">
    <w:name w:val="List Bullet"/>
    <w:basedOn w:val="Normal"/>
    <w:uiPriority w:val="2"/>
    <w:unhideWhenUsed/>
    <w:qFormat/>
    <w:pPr>
      <w:spacing w:after="240" w:line="300" w:lineRule="auto"/>
      <w:contextualSpacing/>
    </w:pPr>
    <w:rPr>
      <w:rFonts w:ascii="Calibri" w:hAnsi="Calibri"/>
      <w:color w:val="4C483D" w:themeColor="text2"/>
      <w:sz w:val="20"/>
      <w:szCs w:val="20"/>
      <w:lang w:eastAsia="ja-JP"/>
    </w:rPr>
  </w:style>
  <w:style w:type="paragraph" w:styleId="ListBullet2">
    <w:name w:val="List Bullet 2"/>
    <w:basedOn w:val="Normal"/>
    <w:uiPriority w:val="2"/>
    <w:unhideWhenUsed/>
    <w:qFormat/>
    <w:pPr>
      <w:numPr>
        <w:numId w:val="5"/>
      </w:numPr>
      <w:spacing w:after="240" w:line="300" w:lineRule="auto"/>
      <w:contextualSpacing/>
    </w:pPr>
    <w:rPr>
      <w:rFonts w:ascii="Calibri" w:hAnsi="Calibri"/>
      <w:color w:val="4C483D" w:themeColor="text2"/>
      <w:sz w:val="20"/>
      <w:szCs w:val="20"/>
      <w:lang w:eastAsia="ja-JP"/>
    </w:rPr>
  </w:style>
  <w:style w:type="character" w:styleId="Strong">
    <w:name w:val="Strong"/>
    <w:basedOn w:val="DefaultParagraphFont"/>
    <w:uiPriority w:val="22"/>
    <w:unhideWhenUsed/>
    <w:qFormat/>
    <w:rPr>
      <w:b w:val="0"/>
      <w:bCs w:val="0"/>
      <w:color w:val="F24F4F" w:themeColor="accent1"/>
    </w:rPr>
  </w:style>
  <w:style w:type="paragraph" w:customStyle="1" w:styleId="Checkbox">
    <w:name w:val="Checkbox"/>
    <w:basedOn w:val="Normal"/>
    <w:link w:val="CheckboxChar"/>
    <w:uiPriority w:val="3"/>
    <w:qFormat/>
    <w:pPr>
      <w:spacing w:after="80"/>
    </w:pPr>
    <w:rPr>
      <w:rFonts w:ascii="Calibri" w:hAnsi="Calibri"/>
      <w:color w:val="F24F4F" w:themeColor="accent1"/>
      <w:sz w:val="20"/>
      <w:szCs w:val="20"/>
      <w:lang w:eastAsia="ja-JP"/>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style>
  <w:style w:type="character" w:customStyle="1" w:styleId="Heading6Char">
    <w:name w:val="Heading 6 Char"/>
    <w:basedOn w:val="DefaultParagraphFont"/>
    <w:link w:val="Heading6"/>
    <w:uiPriority w:val="99"/>
    <w:semiHidden/>
    <w:rPr>
      <w:rFonts w:asciiTheme="majorHAnsi" w:eastAsiaTheme="majorEastAsia" w:hAnsiTheme="majorHAnsi" w:cstheme="majorBidi"/>
      <w:color w:val="F24F4F" w:themeColor="accent1"/>
    </w:rPr>
  </w:style>
  <w:style w:type="character" w:customStyle="1" w:styleId="CheckboxChar">
    <w:name w:val="Checkbox Char"/>
    <w:basedOn w:val="DefaultParagraphFont"/>
    <w:link w:val="Checkbox"/>
    <w:uiPriority w:val="3"/>
    <w:rPr>
      <w:color w:val="F24F4F" w:themeColor="accent1"/>
    </w:rPr>
  </w:style>
  <w:style w:type="paragraph" w:styleId="Closing">
    <w:name w:val="Closing"/>
    <w:basedOn w:val="Normal"/>
    <w:link w:val="ClosingChar"/>
    <w:uiPriority w:val="99"/>
    <w:unhideWhenUsed/>
    <w:qFormat/>
    <w:pPr>
      <w:spacing w:before="960" w:after="240" w:line="300" w:lineRule="auto"/>
    </w:pPr>
    <w:rPr>
      <w:rFonts w:ascii="Calibri" w:hAnsi="Calibri"/>
      <w:color w:val="4C483D" w:themeColor="text2"/>
      <w:sz w:val="20"/>
      <w:szCs w:val="20"/>
      <w:lang w:eastAsia="ja-JP"/>
    </w:rPr>
  </w:style>
  <w:style w:type="character" w:customStyle="1" w:styleId="ClosingChar">
    <w:name w:val="Closing Char"/>
    <w:basedOn w:val="DefaultParagraphFont"/>
    <w:link w:val="Closing"/>
    <w:uiPriority w:val="99"/>
  </w:style>
  <w:style w:type="paragraph" w:styleId="DocumentMap">
    <w:name w:val="Document Map"/>
    <w:basedOn w:val="Normal"/>
    <w:link w:val="DocumentMapChar"/>
    <w:uiPriority w:val="99"/>
    <w:semiHidden/>
    <w:unhideWhenUsed/>
    <w:rPr>
      <w:rFonts w:ascii="Segoe UI" w:hAnsi="Segoe UI" w:cs="Segoe UI"/>
      <w:color w:val="4C483D" w:themeColor="text2"/>
      <w:sz w:val="16"/>
      <w:szCs w:val="16"/>
      <w:lang w:eastAsia="ja-JP"/>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ListParagraph">
    <w:name w:val="List Paragraph"/>
    <w:basedOn w:val="Normal"/>
    <w:uiPriority w:val="34"/>
    <w:unhideWhenUsed/>
    <w:qFormat/>
    <w:rsid w:val="00B35EA0"/>
    <w:pPr>
      <w:spacing w:after="240" w:line="300" w:lineRule="auto"/>
      <w:ind w:left="720"/>
      <w:contextualSpacing/>
    </w:pPr>
    <w:rPr>
      <w:rFonts w:ascii="Calibri" w:hAnsi="Calibri"/>
      <w:color w:val="4C483D" w:themeColor="text2"/>
      <w:sz w:val="20"/>
      <w:szCs w:val="20"/>
      <w:lang w:eastAsia="ja-JP"/>
    </w:rPr>
  </w:style>
  <w:style w:type="character" w:styleId="CommentReference">
    <w:name w:val="annotation reference"/>
    <w:basedOn w:val="DefaultParagraphFont"/>
    <w:uiPriority w:val="99"/>
    <w:semiHidden/>
    <w:unhideWhenUsed/>
    <w:rsid w:val="00262AE9"/>
    <w:rPr>
      <w:sz w:val="16"/>
      <w:szCs w:val="16"/>
    </w:rPr>
  </w:style>
  <w:style w:type="paragraph" w:styleId="CommentText">
    <w:name w:val="annotation text"/>
    <w:basedOn w:val="Normal"/>
    <w:link w:val="CommentTextChar"/>
    <w:uiPriority w:val="99"/>
    <w:semiHidden/>
    <w:unhideWhenUsed/>
    <w:rsid w:val="00262AE9"/>
    <w:pPr>
      <w:spacing w:after="240"/>
    </w:pPr>
    <w:rPr>
      <w:rFonts w:ascii="Calibri" w:hAnsi="Calibri"/>
      <w:color w:val="4C483D" w:themeColor="text2"/>
      <w:sz w:val="20"/>
      <w:szCs w:val="20"/>
      <w:lang w:eastAsia="ja-JP"/>
    </w:rPr>
  </w:style>
  <w:style w:type="character" w:customStyle="1" w:styleId="CommentTextChar">
    <w:name w:val="Comment Text Char"/>
    <w:basedOn w:val="DefaultParagraphFont"/>
    <w:link w:val="CommentText"/>
    <w:uiPriority w:val="99"/>
    <w:semiHidden/>
    <w:rsid w:val="00262AE9"/>
    <w:rPr>
      <w:rFonts w:ascii="Calibri" w:hAnsi="Calibri"/>
    </w:rPr>
  </w:style>
  <w:style w:type="paragraph" w:styleId="CommentSubject">
    <w:name w:val="annotation subject"/>
    <w:basedOn w:val="CommentText"/>
    <w:next w:val="CommentText"/>
    <w:link w:val="CommentSubjectChar"/>
    <w:uiPriority w:val="99"/>
    <w:semiHidden/>
    <w:unhideWhenUsed/>
    <w:rsid w:val="00262AE9"/>
    <w:rPr>
      <w:b/>
      <w:bCs/>
    </w:rPr>
  </w:style>
  <w:style w:type="character" w:customStyle="1" w:styleId="CommentSubjectChar">
    <w:name w:val="Comment Subject Char"/>
    <w:basedOn w:val="CommentTextChar"/>
    <w:link w:val="CommentSubject"/>
    <w:uiPriority w:val="99"/>
    <w:semiHidden/>
    <w:rsid w:val="00262AE9"/>
    <w:rPr>
      <w:rFonts w:ascii="Calibri" w:hAnsi="Calibri"/>
      <w:b/>
      <w:bCs/>
    </w:rPr>
  </w:style>
  <w:style w:type="paragraph" w:styleId="BalloonText">
    <w:name w:val="Balloon Text"/>
    <w:basedOn w:val="Normal"/>
    <w:link w:val="BalloonTextChar"/>
    <w:uiPriority w:val="99"/>
    <w:semiHidden/>
    <w:unhideWhenUsed/>
    <w:rsid w:val="00262AE9"/>
    <w:rPr>
      <w:rFonts w:ascii="Segoe UI" w:hAnsi="Segoe UI" w:cs="Segoe UI"/>
      <w:color w:val="4C483D" w:themeColor="text2"/>
      <w:sz w:val="18"/>
      <w:szCs w:val="18"/>
      <w:lang w:eastAsia="ja-JP"/>
    </w:rPr>
  </w:style>
  <w:style w:type="character" w:customStyle="1" w:styleId="BalloonTextChar">
    <w:name w:val="Balloon Text Char"/>
    <w:basedOn w:val="DefaultParagraphFont"/>
    <w:link w:val="BalloonText"/>
    <w:uiPriority w:val="99"/>
    <w:semiHidden/>
    <w:rsid w:val="00262AE9"/>
    <w:rPr>
      <w:rFonts w:ascii="Segoe UI" w:hAnsi="Segoe UI" w:cs="Segoe UI"/>
      <w:sz w:val="18"/>
      <w:szCs w:val="18"/>
    </w:rPr>
  </w:style>
  <w:style w:type="paragraph" w:customStyle="1" w:styleId="Body">
    <w:name w:val="Body"/>
    <w:basedOn w:val="Heading5"/>
    <w:rsid w:val="002B4808"/>
    <w:pPr>
      <w:tabs>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autoSpaceDE w:val="0"/>
      <w:autoSpaceDN w:val="0"/>
      <w:adjustRightInd w:val="0"/>
      <w:spacing w:before="0" w:line="360" w:lineRule="auto"/>
      <w:ind w:left="547"/>
    </w:pPr>
    <w:rPr>
      <w:rFonts w:ascii="Times New Roman" w:eastAsia="Times New Roman" w:hAnsi="Times New Roman" w:cs="Times New Roman"/>
      <w:color w:val="auto"/>
      <w:sz w:val="22"/>
      <w:szCs w:val="22"/>
      <w:lang w:eastAsia="en-US"/>
    </w:rPr>
  </w:style>
  <w:style w:type="table" w:customStyle="1" w:styleId="TableGrid1">
    <w:name w:val="Table Grid1"/>
    <w:basedOn w:val="TableNormal"/>
    <w:next w:val="TableGrid"/>
    <w:uiPriority w:val="59"/>
    <w:rsid w:val="00454939"/>
    <w:pPr>
      <w:spacing w:after="0" w:line="240" w:lineRule="auto"/>
    </w:pPr>
    <w:rPr>
      <w:rFonts w:ascii="Times New Roman" w:eastAsia="Times New Roman" w:hAnsi="Times New Roman"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54939"/>
    <w:pPr>
      <w:numPr>
        <w:numId w:val="21"/>
      </w:numPr>
    </w:pPr>
  </w:style>
  <w:style w:type="paragraph" w:styleId="TOC2">
    <w:name w:val="toc 2"/>
    <w:basedOn w:val="Normal"/>
    <w:next w:val="Normal"/>
    <w:autoRedefine/>
    <w:uiPriority w:val="39"/>
    <w:unhideWhenUsed/>
    <w:rsid w:val="005A10A7"/>
    <w:pPr>
      <w:tabs>
        <w:tab w:val="right" w:leader="dot" w:pos="9350"/>
      </w:tabs>
      <w:spacing w:before="240"/>
      <w:ind w:right="3996"/>
    </w:pPr>
    <w:rPr>
      <w:rFonts w:asciiTheme="minorHAnsi" w:hAnsiTheme="minorHAnsi"/>
      <w:b/>
      <w:bCs/>
      <w:sz w:val="20"/>
      <w:szCs w:val="20"/>
    </w:rPr>
  </w:style>
  <w:style w:type="paragraph" w:styleId="TOC5">
    <w:name w:val="toc 5"/>
    <w:basedOn w:val="Normal"/>
    <w:next w:val="Normal"/>
    <w:autoRedefine/>
    <w:uiPriority w:val="99"/>
    <w:unhideWhenUsed/>
    <w:rsid w:val="002E6F08"/>
    <w:pPr>
      <w:ind w:left="720"/>
    </w:pPr>
    <w:rPr>
      <w:rFonts w:asciiTheme="minorHAnsi" w:hAnsiTheme="minorHAnsi"/>
      <w:sz w:val="20"/>
      <w:szCs w:val="20"/>
    </w:rPr>
  </w:style>
  <w:style w:type="paragraph" w:styleId="TOC6">
    <w:name w:val="toc 6"/>
    <w:basedOn w:val="Normal"/>
    <w:next w:val="Normal"/>
    <w:autoRedefine/>
    <w:uiPriority w:val="99"/>
    <w:unhideWhenUsed/>
    <w:rsid w:val="002E6F08"/>
    <w:pPr>
      <w:ind w:left="960"/>
    </w:pPr>
    <w:rPr>
      <w:rFonts w:asciiTheme="minorHAnsi" w:hAnsiTheme="minorHAnsi"/>
      <w:sz w:val="20"/>
      <w:szCs w:val="20"/>
    </w:rPr>
  </w:style>
  <w:style w:type="paragraph" w:styleId="TOC7">
    <w:name w:val="toc 7"/>
    <w:basedOn w:val="Normal"/>
    <w:next w:val="Normal"/>
    <w:autoRedefine/>
    <w:uiPriority w:val="99"/>
    <w:unhideWhenUsed/>
    <w:rsid w:val="002E6F08"/>
    <w:pPr>
      <w:ind w:left="1200"/>
    </w:pPr>
    <w:rPr>
      <w:rFonts w:asciiTheme="minorHAnsi" w:hAnsiTheme="minorHAnsi"/>
      <w:sz w:val="20"/>
      <w:szCs w:val="20"/>
    </w:rPr>
  </w:style>
  <w:style w:type="paragraph" w:styleId="TOC8">
    <w:name w:val="toc 8"/>
    <w:basedOn w:val="Normal"/>
    <w:next w:val="Normal"/>
    <w:autoRedefine/>
    <w:uiPriority w:val="99"/>
    <w:unhideWhenUsed/>
    <w:rsid w:val="002E6F08"/>
    <w:pPr>
      <w:ind w:left="1440"/>
    </w:pPr>
    <w:rPr>
      <w:rFonts w:asciiTheme="minorHAnsi" w:hAnsiTheme="minorHAnsi"/>
      <w:sz w:val="20"/>
      <w:szCs w:val="20"/>
    </w:rPr>
  </w:style>
  <w:style w:type="paragraph" w:styleId="TOC9">
    <w:name w:val="toc 9"/>
    <w:basedOn w:val="Normal"/>
    <w:next w:val="Normal"/>
    <w:autoRedefine/>
    <w:uiPriority w:val="99"/>
    <w:unhideWhenUsed/>
    <w:rsid w:val="002E6F08"/>
    <w:pPr>
      <w:ind w:left="1680"/>
    </w:pPr>
    <w:rPr>
      <w:rFonts w:asciiTheme="minorHAnsi" w:hAnsiTheme="minorHAnsi"/>
      <w:sz w:val="20"/>
      <w:szCs w:val="20"/>
    </w:rPr>
  </w:style>
  <w:style w:type="character" w:customStyle="1" w:styleId="Heading9Char">
    <w:name w:val="Heading 9 Char"/>
    <w:basedOn w:val="DefaultParagraphFont"/>
    <w:link w:val="Heading9"/>
    <w:uiPriority w:val="99"/>
    <w:semiHidden/>
    <w:rsid w:val="00D35526"/>
    <w:rPr>
      <w:rFonts w:asciiTheme="majorHAnsi" w:eastAsiaTheme="majorEastAsia" w:hAnsiTheme="majorHAnsi" w:cstheme="majorBidi"/>
      <w:i/>
      <w:iCs/>
      <w:color w:val="272727" w:themeColor="text1" w:themeTint="D8"/>
      <w:sz w:val="21"/>
      <w:szCs w:val="21"/>
      <w:lang w:eastAsia="zh-CN"/>
    </w:rPr>
  </w:style>
  <w:style w:type="paragraph" w:customStyle="1" w:styleId="IssueInfo">
    <w:name w:val="Issue Info"/>
    <w:basedOn w:val="Normal"/>
    <w:link w:val="IssueInfoChar"/>
    <w:uiPriority w:val="12"/>
    <w:qFormat/>
    <w:rsid w:val="00B77AC2"/>
    <w:pPr>
      <w:spacing w:line="276" w:lineRule="auto"/>
      <w:ind w:left="1296"/>
    </w:pPr>
    <w:rPr>
      <w:rFonts w:asciiTheme="majorHAnsi" w:eastAsiaTheme="minorHAnsi" w:hAnsiTheme="majorHAnsi"/>
      <w:b/>
      <w:color w:val="61ADBF" w:themeColor="accent4"/>
      <w:sz w:val="16"/>
      <w:szCs w:val="18"/>
      <w:lang w:eastAsia="en-US"/>
    </w:rPr>
  </w:style>
  <w:style w:type="character" w:customStyle="1" w:styleId="IssueInfoChar">
    <w:name w:val="Issue Info Char"/>
    <w:basedOn w:val="DefaultParagraphFont"/>
    <w:link w:val="IssueInfo"/>
    <w:uiPriority w:val="12"/>
    <w:rsid w:val="00B77AC2"/>
    <w:rPr>
      <w:rFonts w:asciiTheme="majorHAnsi" w:eastAsiaTheme="minorHAnsi" w:hAnsiTheme="majorHAnsi"/>
      <w:b/>
      <w:color w:val="61ADBF" w:themeColor="accent4"/>
      <w:sz w:val="16"/>
      <w:szCs w:val="18"/>
      <w:lang w:eastAsia="en-US"/>
    </w:rPr>
  </w:style>
  <w:style w:type="character" w:styleId="UnresolvedMention">
    <w:name w:val="Unresolved Mention"/>
    <w:basedOn w:val="DefaultParagraphFont"/>
    <w:uiPriority w:val="99"/>
    <w:rsid w:val="00C57C98"/>
    <w:rPr>
      <w:color w:val="605E5C"/>
      <w:shd w:val="clear" w:color="auto" w:fill="E1DFDD"/>
    </w:rPr>
  </w:style>
  <w:style w:type="character" w:styleId="FollowedHyperlink">
    <w:name w:val="FollowedHyperlink"/>
    <w:basedOn w:val="DefaultParagraphFont"/>
    <w:uiPriority w:val="99"/>
    <w:semiHidden/>
    <w:unhideWhenUsed/>
    <w:rsid w:val="006000F7"/>
    <w:rPr>
      <w:color w:val="A3648B" w:themeColor="followedHyperlink"/>
      <w:u w:val="single"/>
    </w:rPr>
  </w:style>
  <w:style w:type="paragraph" w:styleId="NormalWeb">
    <w:name w:val="Normal (Web)"/>
    <w:basedOn w:val="Normal"/>
    <w:uiPriority w:val="99"/>
    <w:unhideWhenUsed/>
    <w:rsid w:val="002D4C25"/>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E45791"/>
    <w:rPr>
      <w:i/>
      <w:iCs/>
    </w:rPr>
  </w:style>
  <w:style w:type="character" w:customStyle="1" w:styleId="mark2cgg9usa6">
    <w:name w:val="mark2cgg9usa6"/>
    <w:basedOn w:val="DefaultParagraphFont"/>
    <w:rsid w:val="00E45791"/>
  </w:style>
  <w:style w:type="paragraph" w:customStyle="1" w:styleId="rich-text">
    <w:name w:val="rich-text"/>
    <w:basedOn w:val="Normal"/>
    <w:rsid w:val="007419D6"/>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1123">
      <w:bodyDiv w:val="1"/>
      <w:marLeft w:val="0"/>
      <w:marRight w:val="0"/>
      <w:marTop w:val="0"/>
      <w:marBottom w:val="0"/>
      <w:divBdr>
        <w:top w:val="none" w:sz="0" w:space="0" w:color="auto"/>
        <w:left w:val="none" w:sz="0" w:space="0" w:color="auto"/>
        <w:bottom w:val="none" w:sz="0" w:space="0" w:color="auto"/>
        <w:right w:val="none" w:sz="0" w:space="0" w:color="auto"/>
      </w:divBdr>
    </w:div>
    <w:div w:id="25910947">
      <w:bodyDiv w:val="1"/>
      <w:marLeft w:val="0"/>
      <w:marRight w:val="0"/>
      <w:marTop w:val="0"/>
      <w:marBottom w:val="0"/>
      <w:divBdr>
        <w:top w:val="none" w:sz="0" w:space="0" w:color="auto"/>
        <w:left w:val="none" w:sz="0" w:space="0" w:color="auto"/>
        <w:bottom w:val="none" w:sz="0" w:space="0" w:color="auto"/>
        <w:right w:val="none" w:sz="0" w:space="0" w:color="auto"/>
      </w:divBdr>
    </w:div>
    <w:div w:id="35471452">
      <w:bodyDiv w:val="1"/>
      <w:marLeft w:val="0"/>
      <w:marRight w:val="0"/>
      <w:marTop w:val="0"/>
      <w:marBottom w:val="0"/>
      <w:divBdr>
        <w:top w:val="none" w:sz="0" w:space="0" w:color="auto"/>
        <w:left w:val="none" w:sz="0" w:space="0" w:color="auto"/>
        <w:bottom w:val="none" w:sz="0" w:space="0" w:color="auto"/>
        <w:right w:val="none" w:sz="0" w:space="0" w:color="auto"/>
      </w:divBdr>
    </w:div>
    <w:div w:id="75784518">
      <w:bodyDiv w:val="1"/>
      <w:marLeft w:val="0"/>
      <w:marRight w:val="0"/>
      <w:marTop w:val="0"/>
      <w:marBottom w:val="0"/>
      <w:divBdr>
        <w:top w:val="none" w:sz="0" w:space="0" w:color="auto"/>
        <w:left w:val="none" w:sz="0" w:space="0" w:color="auto"/>
        <w:bottom w:val="none" w:sz="0" w:space="0" w:color="auto"/>
        <w:right w:val="none" w:sz="0" w:space="0" w:color="auto"/>
      </w:divBdr>
    </w:div>
    <w:div w:id="85687577">
      <w:bodyDiv w:val="1"/>
      <w:marLeft w:val="0"/>
      <w:marRight w:val="0"/>
      <w:marTop w:val="0"/>
      <w:marBottom w:val="0"/>
      <w:divBdr>
        <w:top w:val="none" w:sz="0" w:space="0" w:color="auto"/>
        <w:left w:val="none" w:sz="0" w:space="0" w:color="auto"/>
        <w:bottom w:val="none" w:sz="0" w:space="0" w:color="auto"/>
        <w:right w:val="none" w:sz="0" w:space="0" w:color="auto"/>
      </w:divBdr>
    </w:div>
    <w:div w:id="127282827">
      <w:bodyDiv w:val="1"/>
      <w:marLeft w:val="0"/>
      <w:marRight w:val="0"/>
      <w:marTop w:val="0"/>
      <w:marBottom w:val="0"/>
      <w:divBdr>
        <w:top w:val="none" w:sz="0" w:space="0" w:color="auto"/>
        <w:left w:val="none" w:sz="0" w:space="0" w:color="auto"/>
        <w:bottom w:val="none" w:sz="0" w:space="0" w:color="auto"/>
        <w:right w:val="none" w:sz="0" w:space="0" w:color="auto"/>
      </w:divBdr>
    </w:div>
    <w:div w:id="175849786">
      <w:bodyDiv w:val="1"/>
      <w:marLeft w:val="0"/>
      <w:marRight w:val="0"/>
      <w:marTop w:val="0"/>
      <w:marBottom w:val="0"/>
      <w:divBdr>
        <w:top w:val="none" w:sz="0" w:space="0" w:color="auto"/>
        <w:left w:val="none" w:sz="0" w:space="0" w:color="auto"/>
        <w:bottom w:val="none" w:sz="0" w:space="0" w:color="auto"/>
        <w:right w:val="none" w:sz="0" w:space="0" w:color="auto"/>
      </w:divBdr>
    </w:div>
    <w:div w:id="231015321">
      <w:bodyDiv w:val="1"/>
      <w:marLeft w:val="0"/>
      <w:marRight w:val="0"/>
      <w:marTop w:val="0"/>
      <w:marBottom w:val="0"/>
      <w:divBdr>
        <w:top w:val="none" w:sz="0" w:space="0" w:color="auto"/>
        <w:left w:val="none" w:sz="0" w:space="0" w:color="auto"/>
        <w:bottom w:val="none" w:sz="0" w:space="0" w:color="auto"/>
        <w:right w:val="none" w:sz="0" w:space="0" w:color="auto"/>
      </w:divBdr>
    </w:div>
    <w:div w:id="350450898">
      <w:bodyDiv w:val="1"/>
      <w:marLeft w:val="0"/>
      <w:marRight w:val="0"/>
      <w:marTop w:val="0"/>
      <w:marBottom w:val="0"/>
      <w:divBdr>
        <w:top w:val="none" w:sz="0" w:space="0" w:color="auto"/>
        <w:left w:val="none" w:sz="0" w:space="0" w:color="auto"/>
        <w:bottom w:val="none" w:sz="0" w:space="0" w:color="auto"/>
        <w:right w:val="none" w:sz="0" w:space="0" w:color="auto"/>
      </w:divBdr>
    </w:div>
    <w:div w:id="464736703">
      <w:bodyDiv w:val="1"/>
      <w:marLeft w:val="0"/>
      <w:marRight w:val="0"/>
      <w:marTop w:val="0"/>
      <w:marBottom w:val="0"/>
      <w:divBdr>
        <w:top w:val="none" w:sz="0" w:space="0" w:color="auto"/>
        <w:left w:val="none" w:sz="0" w:space="0" w:color="auto"/>
        <w:bottom w:val="none" w:sz="0" w:space="0" w:color="auto"/>
        <w:right w:val="none" w:sz="0" w:space="0" w:color="auto"/>
      </w:divBdr>
    </w:div>
    <w:div w:id="490947004">
      <w:bodyDiv w:val="1"/>
      <w:marLeft w:val="0"/>
      <w:marRight w:val="0"/>
      <w:marTop w:val="0"/>
      <w:marBottom w:val="0"/>
      <w:divBdr>
        <w:top w:val="none" w:sz="0" w:space="0" w:color="auto"/>
        <w:left w:val="none" w:sz="0" w:space="0" w:color="auto"/>
        <w:bottom w:val="none" w:sz="0" w:space="0" w:color="auto"/>
        <w:right w:val="none" w:sz="0" w:space="0" w:color="auto"/>
      </w:divBdr>
    </w:div>
    <w:div w:id="497698203">
      <w:bodyDiv w:val="1"/>
      <w:marLeft w:val="0"/>
      <w:marRight w:val="0"/>
      <w:marTop w:val="0"/>
      <w:marBottom w:val="0"/>
      <w:divBdr>
        <w:top w:val="none" w:sz="0" w:space="0" w:color="auto"/>
        <w:left w:val="none" w:sz="0" w:space="0" w:color="auto"/>
        <w:bottom w:val="none" w:sz="0" w:space="0" w:color="auto"/>
        <w:right w:val="none" w:sz="0" w:space="0" w:color="auto"/>
      </w:divBdr>
    </w:div>
    <w:div w:id="499543146">
      <w:bodyDiv w:val="1"/>
      <w:marLeft w:val="0"/>
      <w:marRight w:val="0"/>
      <w:marTop w:val="0"/>
      <w:marBottom w:val="0"/>
      <w:divBdr>
        <w:top w:val="none" w:sz="0" w:space="0" w:color="auto"/>
        <w:left w:val="none" w:sz="0" w:space="0" w:color="auto"/>
        <w:bottom w:val="none" w:sz="0" w:space="0" w:color="auto"/>
        <w:right w:val="none" w:sz="0" w:space="0" w:color="auto"/>
      </w:divBdr>
    </w:div>
    <w:div w:id="511650777">
      <w:bodyDiv w:val="1"/>
      <w:marLeft w:val="0"/>
      <w:marRight w:val="0"/>
      <w:marTop w:val="0"/>
      <w:marBottom w:val="0"/>
      <w:divBdr>
        <w:top w:val="none" w:sz="0" w:space="0" w:color="auto"/>
        <w:left w:val="none" w:sz="0" w:space="0" w:color="auto"/>
        <w:bottom w:val="none" w:sz="0" w:space="0" w:color="auto"/>
        <w:right w:val="none" w:sz="0" w:space="0" w:color="auto"/>
      </w:divBdr>
    </w:div>
    <w:div w:id="524175480">
      <w:bodyDiv w:val="1"/>
      <w:marLeft w:val="0"/>
      <w:marRight w:val="0"/>
      <w:marTop w:val="0"/>
      <w:marBottom w:val="0"/>
      <w:divBdr>
        <w:top w:val="none" w:sz="0" w:space="0" w:color="auto"/>
        <w:left w:val="none" w:sz="0" w:space="0" w:color="auto"/>
        <w:bottom w:val="none" w:sz="0" w:space="0" w:color="auto"/>
        <w:right w:val="none" w:sz="0" w:space="0" w:color="auto"/>
      </w:divBdr>
    </w:div>
    <w:div w:id="554004429">
      <w:bodyDiv w:val="1"/>
      <w:marLeft w:val="0"/>
      <w:marRight w:val="0"/>
      <w:marTop w:val="0"/>
      <w:marBottom w:val="0"/>
      <w:divBdr>
        <w:top w:val="none" w:sz="0" w:space="0" w:color="auto"/>
        <w:left w:val="none" w:sz="0" w:space="0" w:color="auto"/>
        <w:bottom w:val="none" w:sz="0" w:space="0" w:color="auto"/>
        <w:right w:val="none" w:sz="0" w:space="0" w:color="auto"/>
      </w:divBdr>
    </w:div>
    <w:div w:id="624848852">
      <w:bodyDiv w:val="1"/>
      <w:marLeft w:val="0"/>
      <w:marRight w:val="0"/>
      <w:marTop w:val="0"/>
      <w:marBottom w:val="0"/>
      <w:divBdr>
        <w:top w:val="none" w:sz="0" w:space="0" w:color="auto"/>
        <w:left w:val="none" w:sz="0" w:space="0" w:color="auto"/>
        <w:bottom w:val="none" w:sz="0" w:space="0" w:color="auto"/>
        <w:right w:val="none" w:sz="0" w:space="0" w:color="auto"/>
      </w:divBdr>
      <w:divsChild>
        <w:div w:id="1980765529">
          <w:marLeft w:val="0"/>
          <w:marRight w:val="0"/>
          <w:marTop w:val="0"/>
          <w:marBottom w:val="0"/>
          <w:divBdr>
            <w:top w:val="none" w:sz="0" w:space="0" w:color="auto"/>
            <w:left w:val="none" w:sz="0" w:space="0" w:color="auto"/>
            <w:bottom w:val="none" w:sz="0" w:space="0" w:color="auto"/>
            <w:right w:val="none" w:sz="0" w:space="0" w:color="auto"/>
          </w:divBdr>
        </w:div>
        <w:div w:id="1998802814">
          <w:marLeft w:val="0"/>
          <w:marRight w:val="0"/>
          <w:marTop w:val="0"/>
          <w:marBottom w:val="0"/>
          <w:divBdr>
            <w:top w:val="none" w:sz="0" w:space="0" w:color="auto"/>
            <w:left w:val="none" w:sz="0" w:space="0" w:color="auto"/>
            <w:bottom w:val="none" w:sz="0" w:space="0" w:color="auto"/>
            <w:right w:val="none" w:sz="0" w:space="0" w:color="auto"/>
          </w:divBdr>
        </w:div>
        <w:div w:id="665940571">
          <w:marLeft w:val="0"/>
          <w:marRight w:val="0"/>
          <w:marTop w:val="0"/>
          <w:marBottom w:val="0"/>
          <w:divBdr>
            <w:top w:val="none" w:sz="0" w:space="0" w:color="auto"/>
            <w:left w:val="none" w:sz="0" w:space="0" w:color="auto"/>
            <w:bottom w:val="none" w:sz="0" w:space="0" w:color="auto"/>
            <w:right w:val="none" w:sz="0" w:space="0" w:color="auto"/>
          </w:divBdr>
        </w:div>
      </w:divsChild>
    </w:div>
    <w:div w:id="687945955">
      <w:bodyDiv w:val="1"/>
      <w:marLeft w:val="0"/>
      <w:marRight w:val="0"/>
      <w:marTop w:val="0"/>
      <w:marBottom w:val="0"/>
      <w:divBdr>
        <w:top w:val="none" w:sz="0" w:space="0" w:color="auto"/>
        <w:left w:val="none" w:sz="0" w:space="0" w:color="auto"/>
        <w:bottom w:val="none" w:sz="0" w:space="0" w:color="auto"/>
        <w:right w:val="none" w:sz="0" w:space="0" w:color="auto"/>
      </w:divBdr>
    </w:div>
    <w:div w:id="691761033">
      <w:bodyDiv w:val="1"/>
      <w:marLeft w:val="0"/>
      <w:marRight w:val="0"/>
      <w:marTop w:val="0"/>
      <w:marBottom w:val="0"/>
      <w:divBdr>
        <w:top w:val="none" w:sz="0" w:space="0" w:color="auto"/>
        <w:left w:val="none" w:sz="0" w:space="0" w:color="auto"/>
        <w:bottom w:val="none" w:sz="0" w:space="0" w:color="auto"/>
        <w:right w:val="none" w:sz="0" w:space="0" w:color="auto"/>
      </w:divBdr>
    </w:div>
    <w:div w:id="693580972">
      <w:bodyDiv w:val="1"/>
      <w:marLeft w:val="0"/>
      <w:marRight w:val="0"/>
      <w:marTop w:val="0"/>
      <w:marBottom w:val="0"/>
      <w:divBdr>
        <w:top w:val="none" w:sz="0" w:space="0" w:color="auto"/>
        <w:left w:val="none" w:sz="0" w:space="0" w:color="auto"/>
        <w:bottom w:val="none" w:sz="0" w:space="0" w:color="auto"/>
        <w:right w:val="none" w:sz="0" w:space="0" w:color="auto"/>
      </w:divBdr>
    </w:div>
    <w:div w:id="696396973">
      <w:bodyDiv w:val="1"/>
      <w:marLeft w:val="0"/>
      <w:marRight w:val="0"/>
      <w:marTop w:val="0"/>
      <w:marBottom w:val="0"/>
      <w:divBdr>
        <w:top w:val="none" w:sz="0" w:space="0" w:color="auto"/>
        <w:left w:val="none" w:sz="0" w:space="0" w:color="auto"/>
        <w:bottom w:val="none" w:sz="0" w:space="0" w:color="auto"/>
        <w:right w:val="none" w:sz="0" w:space="0" w:color="auto"/>
      </w:divBdr>
    </w:div>
    <w:div w:id="721708430">
      <w:bodyDiv w:val="1"/>
      <w:marLeft w:val="0"/>
      <w:marRight w:val="0"/>
      <w:marTop w:val="0"/>
      <w:marBottom w:val="0"/>
      <w:divBdr>
        <w:top w:val="none" w:sz="0" w:space="0" w:color="auto"/>
        <w:left w:val="none" w:sz="0" w:space="0" w:color="auto"/>
        <w:bottom w:val="none" w:sz="0" w:space="0" w:color="auto"/>
        <w:right w:val="none" w:sz="0" w:space="0" w:color="auto"/>
      </w:divBdr>
    </w:div>
    <w:div w:id="748498174">
      <w:bodyDiv w:val="1"/>
      <w:marLeft w:val="0"/>
      <w:marRight w:val="0"/>
      <w:marTop w:val="0"/>
      <w:marBottom w:val="0"/>
      <w:divBdr>
        <w:top w:val="none" w:sz="0" w:space="0" w:color="auto"/>
        <w:left w:val="none" w:sz="0" w:space="0" w:color="auto"/>
        <w:bottom w:val="none" w:sz="0" w:space="0" w:color="auto"/>
        <w:right w:val="none" w:sz="0" w:space="0" w:color="auto"/>
      </w:divBdr>
    </w:div>
    <w:div w:id="757021303">
      <w:bodyDiv w:val="1"/>
      <w:marLeft w:val="0"/>
      <w:marRight w:val="0"/>
      <w:marTop w:val="0"/>
      <w:marBottom w:val="0"/>
      <w:divBdr>
        <w:top w:val="none" w:sz="0" w:space="0" w:color="auto"/>
        <w:left w:val="none" w:sz="0" w:space="0" w:color="auto"/>
        <w:bottom w:val="none" w:sz="0" w:space="0" w:color="auto"/>
        <w:right w:val="none" w:sz="0" w:space="0" w:color="auto"/>
      </w:divBdr>
    </w:div>
    <w:div w:id="772825820">
      <w:bodyDiv w:val="1"/>
      <w:marLeft w:val="0"/>
      <w:marRight w:val="0"/>
      <w:marTop w:val="0"/>
      <w:marBottom w:val="0"/>
      <w:divBdr>
        <w:top w:val="none" w:sz="0" w:space="0" w:color="auto"/>
        <w:left w:val="none" w:sz="0" w:space="0" w:color="auto"/>
        <w:bottom w:val="none" w:sz="0" w:space="0" w:color="auto"/>
        <w:right w:val="none" w:sz="0" w:space="0" w:color="auto"/>
      </w:divBdr>
    </w:div>
    <w:div w:id="809513857">
      <w:bodyDiv w:val="1"/>
      <w:marLeft w:val="0"/>
      <w:marRight w:val="0"/>
      <w:marTop w:val="0"/>
      <w:marBottom w:val="0"/>
      <w:divBdr>
        <w:top w:val="none" w:sz="0" w:space="0" w:color="auto"/>
        <w:left w:val="none" w:sz="0" w:space="0" w:color="auto"/>
        <w:bottom w:val="none" w:sz="0" w:space="0" w:color="auto"/>
        <w:right w:val="none" w:sz="0" w:space="0" w:color="auto"/>
      </w:divBdr>
    </w:div>
    <w:div w:id="852958652">
      <w:bodyDiv w:val="1"/>
      <w:marLeft w:val="0"/>
      <w:marRight w:val="0"/>
      <w:marTop w:val="0"/>
      <w:marBottom w:val="0"/>
      <w:divBdr>
        <w:top w:val="none" w:sz="0" w:space="0" w:color="auto"/>
        <w:left w:val="none" w:sz="0" w:space="0" w:color="auto"/>
        <w:bottom w:val="none" w:sz="0" w:space="0" w:color="auto"/>
        <w:right w:val="none" w:sz="0" w:space="0" w:color="auto"/>
      </w:divBdr>
    </w:div>
    <w:div w:id="857735177">
      <w:bodyDiv w:val="1"/>
      <w:marLeft w:val="0"/>
      <w:marRight w:val="0"/>
      <w:marTop w:val="0"/>
      <w:marBottom w:val="0"/>
      <w:divBdr>
        <w:top w:val="none" w:sz="0" w:space="0" w:color="auto"/>
        <w:left w:val="none" w:sz="0" w:space="0" w:color="auto"/>
        <w:bottom w:val="none" w:sz="0" w:space="0" w:color="auto"/>
        <w:right w:val="none" w:sz="0" w:space="0" w:color="auto"/>
      </w:divBdr>
    </w:div>
    <w:div w:id="905991209">
      <w:bodyDiv w:val="1"/>
      <w:marLeft w:val="0"/>
      <w:marRight w:val="0"/>
      <w:marTop w:val="0"/>
      <w:marBottom w:val="0"/>
      <w:divBdr>
        <w:top w:val="none" w:sz="0" w:space="0" w:color="auto"/>
        <w:left w:val="none" w:sz="0" w:space="0" w:color="auto"/>
        <w:bottom w:val="none" w:sz="0" w:space="0" w:color="auto"/>
        <w:right w:val="none" w:sz="0" w:space="0" w:color="auto"/>
      </w:divBdr>
    </w:div>
    <w:div w:id="907232749">
      <w:bodyDiv w:val="1"/>
      <w:marLeft w:val="0"/>
      <w:marRight w:val="0"/>
      <w:marTop w:val="0"/>
      <w:marBottom w:val="0"/>
      <w:divBdr>
        <w:top w:val="none" w:sz="0" w:space="0" w:color="auto"/>
        <w:left w:val="none" w:sz="0" w:space="0" w:color="auto"/>
        <w:bottom w:val="none" w:sz="0" w:space="0" w:color="auto"/>
        <w:right w:val="none" w:sz="0" w:space="0" w:color="auto"/>
      </w:divBdr>
    </w:div>
    <w:div w:id="934440644">
      <w:bodyDiv w:val="1"/>
      <w:marLeft w:val="0"/>
      <w:marRight w:val="0"/>
      <w:marTop w:val="0"/>
      <w:marBottom w:val="0"/>
      <w:divBdr>
        <w:top w:val="none" w:sz="0" w:space="0" w:color="auto"/>
        <w:left w:val="none" w:sz="0" w:space="0" w:color="auto"/>
        <w:bottom w:val="none" w:sz="0" w:space="0" w:color="auto"/>
        <w:right w:val="none" w:sz="0" w:space="0" w:color="auto"/>
      </w:divBdr>
    </w:div>
    <w:div w:id="954287037">
      <w:bodyDiv w:val="1"/>
      <w:marLeft w:val="0"/>
      <w:marRight w:val="0"/>
      <w:marTop w:val="0"/>
      <w:marBottom w:val="0"/>
      <w:divBdr>
        <w:top w:val="none" w:sz="0" w:space="0" w:color="auto"/>
        <w:left w:val="none" w:sz="0" w:space="0" w:color="auto"/>
        <w:bottom w:val="none" w:sz="0" w:space="0" w:color="auto"/>
        <w:right w:val="none" w:sz="0" w:space="0" w:color="auto"/>
      </w:divBdr>
    </w:div>
    <w:div w:id="1013603999">
      <w:bodyDiv w:val="1"/>
      <w:marLeft w:val="0"/>
      <w:marRight w:val="0"/>
      <w:marTop w:val="0"/>
      <w:marBottom w:val="0"/>
      <w:divBdr>
        <w:top w:val="none" w:sz="0" w:space="0" w:color="auto"/>
        <w:left w:val="none" w:sz="0" w:space="0" w:color="auto"/>
        <w:bottom w:val="none" w:sz="0" w:space="0" w:color="auto"/>
        <w:right w:val="none" w:sz="0" w:space="0" w:color="auto"/>
      </w:divBdr>
    </w:div>
    <w:div w:id="1031497412">
      <w:bodyDiv w:val="1"/>
      <w:marLeft w:val="0"/>
      <w:marRight w:val="0"/>
      <w:marTop w:val="0"/>
      <w:marBottom w:val="0"/>
      <w:divBdr>
        <w:top w:val="none" w:sz="0" w:space="0" w:color="auto"/>
        <w:left w:val="none" w:sz="0" w:space="0" w:color="auto"/>
        <w:bottom w:val="none" w:sz="0" w:space="0" w:color="auto"/>
        <w:right w:val="none" w:sz="0" w:space="0" w:color="auto"/>
      </w:divBdr>
    </w:div>
    <w:div w:id="1043410017">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01297313">
      <w:bodyDiv w:val="1"/>
      <w:marLeft w:val="0"/>
      <w:marRight w:val="0"/>
      <w:marTop w:val="0"/>
      <w:marBottom w:val="0"/>
      <w:divBdr>
        <w:top w:val="none" w:sz="0" w:space="0" w:color="auto"/>
        <w:left w:val="none" w:sz="0" w:space="0" w:color="auto"/>
        <w:bottom w:val="none" w:sz="0" w:space="0" w:color="auto"/>
        <w:right w:val="none" w:sz="0" w:space="0" w:color="auto"/>
      </w:divBdr>
    </w:div>
    <w:div w:id="1117289106">
      <w:bodyDiv w:val="1"/>
      <w:marLeft w:val="0"/>
      <w:marRight w:val="0"/>
      <w:marTop w:val="0"/>
      <w:marBottom w:val="0"/>
      <w:divBdr>
        <w:top w:val="none" w:sz="0" w:space="0" w:color="auto"/>
        <w:left w:val="none" w:sz="0" w:space="0" w:color="auto"/>
        <w:bottom w:val="none" w:sz="0" w:space="0" w:color="auto"/>
        <w:right w:val="none" w:sz="0" w:space="0" w:color="auto"/>
      </w:divBdr>
    </w:div>
    <w:div w:id="1123886048">
      <w:bodyDiv w:val="1"/>
      <w:marLeft w:val="0"/>
      <w:marRight w:val="0"/>
      <w:marTop w:val="0"/>
      <w:marBottom w:val="0"/>
      <w:divBdr>
        <w:top w:val="none" w:sz="0" w:space="0" w:color="auto"/>
        <w:left w:val="none" w:sz="0" w:space="0" w:color="auto"/>
        <w:bottom w:val="none" w:sz="0" w:space="0" w:color="auto"/>
        <w:right w:val="none" w:sz="0" w:space="0" w:color="auto"/>
      </w:divBdr>
    </w:div>
    <w:div w:id="1146821014">
      <w:bodyDiv w:val="1"/>
      <w:marLeft w:val="0"/>
      <w:marRight w:val="0"/>
      <w:marTop w:val="0"/>
      <w:marBottom w:val="0"/>
      <w:divBdr>
        <w:top w:val="none" w:sz="0" w:space="0" w:color="auto"/>
        <w:left w:val="none" w:sz="0" w:space="0" w:color="auto"/>
        <w:bottom w:val="none" w:sz="0" w:space="0" w:color="auto"/>
        <w:right w:val="none" w:sz="0" w:space="0" w:color="auto"/>
      </w:divBdr>
      <w:divsChild>
        <w:div w:id="86777673">
          <w:marLeft w:val="0"/>
          <w:marRight w:val="0"/>
          <w:marTop w:val="0"/>
          <w:marBottom w:val="0"/>
          <w:divBdr>
            <w:top w:val="none" w:sz="0" w:space="0" w:color="auto"/>
            <w:left w:val="none" w:sz="0" w:space="0" w:color="auto"/>
            <w:bottom w:val="none" w:sz="0" w:space="0" w:color="auto"/>
            <w:right w:val="none" w:sz="0" w:space="0" w:color="auto"/>
          </w:divBdr>
          <w:divsChild>
            <w:div w:id="614560933">
              <w:marLeft w:val="0"/>
              <w:marRight w:val="0"/>
              <w:marTop w:val="0"/>
              <w:marBottom w:val="0"/>
              <w:divBdr>
                <w:top w:val="none" w:sz="0" w:space="0" w:color="auto"/>
                <w:left w:val="none" w:sz="0" w:space="0" w:color="auto"/>
                <w:bottom w:val="none" w:sz="0" w:space="0" w:color="auto"/>
                <w:right w:val="none" w:sz="0" w:space="0" w:color="auto"/>
              </w:divBdr>
              <w:divsChild>
                <w:div w:id="1846553627">
                  <w:marLeft w:val="0"/>
                  <w:marRight w:val="0"/>
                  <w:marTop w:val="0"/>
                  <w:marBottom w:val="0"/>
                  <w:divBdr>
                    <w:top w:val="none" w:sz="0" w:space="0" w:color="auto"/>
                    <w:left w:val="none" w:sz="0" w:space="0" w:color="auto"/>
                    <w:bottom w:val="none" w:sz="0" w:space="0" w:color="auto"/>
                    <w:right w:val="none" w:sz="0" w:space="0" w:color="auto"/>
                  </w:divBdr>
                  <w:divsChild>
                    <w:div w:id="1317109692">
                      <w:marLeft w:val="0"/>
                      <w:marRight w:val="0"/>
                      <w:marTop w:val="0"/>
                      <w:marBottom w:val="0"/>
                      <w:divBdr>
                        <w:top w:val="none" w:sz="0" w:space="0" w:color="auto"/>
                        <w:left w:val="none" w:sz="0" w:space="0" w:color="auto"/>
                        <w:bottom w:val="none" w:sz="0" w:space="0" w:color="auto"/>
                        <w:right w:val="none" w:sz="0" w:space="0" w:color="auto"/>
                      </w:divBdr>
                      <w:divsChild>
                        <w:div w:id="1338653459">
                          <w:marLeft w:val="0"/>
                          <w:marRight w:val="0"/>
                          <w:marTop w:val="0"/>
                          <w:marBottom w:val="0"/>
                          <w:divBdr>
                            <w:top w:val="none" w:sz="0" w:space="0" w:color="auto"/>
                            <w:left w:val="none" w:sz="0" w:space="0" w:color="auto"/>
                            <w:bottom w:val="none" w:sz="0" w:space="0" w:color="auto"/>
                            <w:right w:val="none" w:sz="0" w:space="0" w:color="auto"/>
                          </w:divBdr>
                          <w:divsChild>
                            <w:div w:id="884952874">
                              <w:marLeft w:val="0"/>
                              <w:marRight w:val="0"/>
                              <w:marTop w:val="420"/>
                              <w:marBottom w:val="420"/>
                              <w:divBdr>
                                <w:top w:val="none" w:sz="0" w:space="0" w:color="auto"/>
                                <w:left w:val="none" w:sz="0" w:space="0" w:color="auto"/>
                                <w:bottom w:val="none" w:sz="0" w:space="0" w:color="auto"/>
                                <w:right w:val="none" w:sz="0" w:space="0" w:color="auto"/>
                              </w:divBdr>
                            </w:div>
                            <w:div w:id="337542118">
                              <w:marLeft w:val="0"/>
                              <w:marRight w:val="0"/>
                              <w:marTop w:val="420"/>
                              <w:marBottom w:val="420"/>
                              <w:divBdr>
                                <w:top w:val="none" w:sz="0" w:space="0" w:color="auto"/>
                                <w:left w:val="none" w:sz="0" w:space="0" w:color="auto"/>
                                <w:bottom w:val="none" w:sz="0" w:space="0" w:color="auto"/>
                                <w:right w:val="none" w:sz="0" w:space="0" w:color="auto"/>
                              </w:divBdr>
                            </w:div>
                            <w:div w:id="1575697738">
                              <w:marLeft w:val="0"/>
                              <w:marRight w:val="0"/>
                              <w:marTop w:val="420"/>
                              <w:marBottom w:val="420"/>
                              <w:divBdr>
                                <w:top w:val="none" w:sz="0" w:space="0" w:color="auto"/>
                                <w:left w:val="none" w:sz="0" w:space="0" w:color="auto"/>
                                <w:bottom w:val="none" w:sz="0" w:space="0" w:color="auto"/>
                                <w:right w:val="none" w:sz="0" w:space="0" w:color="auto"/>
                              </w:divBdr>
                            </w:div>
                            <w:div w:id="1815247338">
                              <w:marLeft w:val="0"/>
                              <w:marRight w:val="0"/>
                              <w:marTop w:val="420"/>
                              <w:marBottom w:val="420"/>
                              <w:divBdr>
                                <w:top w:val="none" w:sz="0" w:space="0" w:color="auto"/>
                                <w:left w:val="none" w:sz="0" w:space="0" w:color="auto"/>
                                <w:bottom w:val="none" w:sz="0" w:space="0" w:color="auto"/>
                                <w:right w:val="none" w:sz="0" w:space="0" w:color="auto"/>
                              </w:divBdr>
                            </w:div>
                            <w:div w:id="1142455624">
                              <w:marLeft w:val="0"/>
                              <w:marRight w:val="0"/>
                              <w:marTop w:val="420"/>
                              <w:marBottom w:val="420"/>
                              <w:divBdr>
                                <w:top w:val="none" w:sz="0" w:space="0" w:color="auto"/>
                                <w:left w:val="none" w:sz="0" w:space="0" w:color="auto"/>
                                <w:bottom w:val="none" w:sz="0" w:space="0" w:color="auto"/>
                                <w:right w:val="none" w:sz="0" w:space="0" w:color="auto"/>
                              </w:divBdr>
                            </w:div>
                            <w:div w:id="1919092797">
                              <w:marLeft w:val="0"/>
                              <w:marRight w:val="0"/>
                              <w:marTop w:val="420"/>
                              <w:marBottom w:val="420"/>
                              <w:divBdr>
                                <w:top w:val="none" w:sz="0" w:space="0" w:color="auto"/>
                                <w:left w:val="none" w:sz="0" w:space="0" w:color="auto"/>
                                <w:bottom w:val="none" w:sz="0" w:space="0" w:color="auto"/>
                                <w:right w:val="none" w:sz="0" w:space="0" w:color="auto"/>
                              </w:divBdr>
                            </w:div>
                            <w:div w:id="197477881">
                              <w:marLeft w:val="0"/>
                              <w:marRight w:val="0"/>
                              <w:marTop w:val="420"/>
                              <w:marBottom w:val="420"/>
                              <w:divBdr>
                                <w:top w:val="none" w:sz="0" w:space="0" w:color="auto"/>
                                <w:left w:val="none" w:sz="0" w:space="0" w:color="auto"/>
                                <w:bottom w:val="none" w:sz="0" w:space="0" w:color="auto"/>
                                <w:right w:val="none" w:sz="0" w:space="0" w:color="auto"/>
                              </w:divBdr>
                            </w:div>
                            <w:div w:id="265962881">
                              <w:marLeft w:val="0"/>
                              <w:marRight w:val="0"/>
                              <w:marTop w:val="420"/>
                              <w:marBottom w:val="420"/>
                              <w:divBdr>
                                <w:top w:val="none" w:sz="0" w:space="0" w:color="auto"/>
                                <w:left w:val="none" w:sz="0" w:space="0" w:color="auto"/>
                                <w:bottom w:val="none" w:sz="0" w:space="0" w:color="auto"/>
                                <w:right w:val="none" w:sz="0" w:space="0" w:color="auto"/>
                              </w:divBdr>
                            </w:div>
                            <w:div w:id="132799847">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78228">
      <w:bodyDiv w:val="1"/>
      <w:marLeft w:val="0"/>
      <w:marRight w:val="0"/>
      <w:marTop w:val="0"/>
      <w:marBottom w:val="0"/>
      <w:divBdr>
        <w:top w:val="none" w:sz="0" w:space="0" w:color="auto"/>
        <w:left w:val="none" w:sz="0" w:space="0" w:color="auto"/>
        <w:bottom w:val="none" w:sz="0" w:space="0" w:color="auto"/>
        <w:right w:val="none" w:sz="0" w:space="0" w:color="auto"/>
      </w:divBdr>
    </w:div>
    <w:div w:id="1163861999">
      <w:bodyDiv w:val="1"/>
      <w:marLeft w:val="0"/>
      <w:marRight w:val="0"/>
      <w:marTop w:val="0"/>
      <w:marBottom w:val="0"/>
      <w:divBdr>
        <w:top w:val="none" w:sz="0" w:space="0" w:color="auto"/>
        <w:left w:val="none" w:sz="0" w:space="0" w:color="auto"/>
        <w:bottom w:val="none" w:sz="0" w:space="0" w:color="auto"/>
        <w:right w:val="none" w:sz="0" w:space="0" w:color="auto"/>
      </w:divBdr>
    </w:div>
    <w:div w:id="1179083288">
      <w:bodyDiv w:val="1"/>
      <w:marLeft w:val="0"/>
      <w:marRight w:val="0"/>
      <w:marTop w:val="0"/>
      <w:marBottom w:val="0"/>
      <w:divBdr>
        <w:top w:val="none" w:sz="0" w:space="0" w:color="auto"/>
        <w:left w:val="none" w:sz="0" w:space="0" w:color="auto"/>
        <w:bottom w:val="none" w:sz="0" w:space="0" w:color="auto"/>
        <w:right w:val="none" w:sz="0" w:space="0" w:color="auto"/>
      </w:divBdr>
    </w:div>
    <w:div w:id="1191607636">
      <w:bodyDiv w:val="1"/>
      <w:marLeft w:val="0"/>
      <w:marRight w:val="0"/>
      <w:marTop w:val="0"/>
      <w:marBottom w:val="0"/>
      <w:divBdr>
        <w:top w:val="none" w:sz="0" w:space="0" w:color="auto"/>
        <w:left w:val="none" w:sz="0" w:space="0" w:color="auto"/>
        <w:bottom w:val="none" w:sz="0" w:space="0" w:color="auto"/>
        <w:right w:val="none" w:sz="0" w:space="0" w:color="auto"/>
      </w:divBdr>
    </w:div>
    <w:div w:id="1203128737">
      <w:bodyDiv w:val="1"/>
      <w:marLeft w:val="0"/>
      <w:marRight w:val="0"/>
      <w:marTop w:val="0"/>
      <w:marBottom w:val="0"/>
      <w:divBdr>
        <w:top w:val="none" w:sz="0" w:space="0" w:color="auto"/>
        <w:left w:val="none" w:sz="0" w:space="0" w:color="auto"/>
        <w:bottom w:val="none" w:sz="0" w:space="0" w:color="auto"/>
        <w:right w:val="none" w:sz="0" w:space="0" w:color="auto"/>
      </w:divBdr>
    </w:div>
    <w:div w:id="1322350539">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84137321">
      <w:bodyDiv w:val="1"/>
      <w:marLeft w:val="0"/>
      <w:marRight w:val="0"/>
      <w:marTop w:val="0"/>
      <w:marBottom w:val="0"/>
      <w:divBdr>
        <w:top w:val="none" w:sz="0" w:space="0" w:color="auto"/>
        <w:left w:val="none" w:sz="0" w:space="0" w:color="auto"/>
        <w:bottom w:val="none" w:sz="0" w:space="0" w:color="auto"/>
        <w:right w:val="none" w:sz="0" w:space="0" w:color="auto"/>
      </w:divBdr>
    </w:div>
    <w:div w:id="1389767156">
      <w:bodyDiv w:val="1"/>
      <w:marLeft w:val="0"/>
      <w:marRight w:val="0"/>
      <w:marTop w:val="0"/>
      <w:marBottom w:val="0"/>
      <w:divBdr>
        <w:top w:val="none" w:sz="0" w:space="0" w:color="auto"/>
        <w:left w:val="none" w:sz="0" w:space="0" w:color="auto"/>
        <w:bottom w:val="none" w:sz="0" w:space="0" w:color="auto"/>
        <w:right w:val="none" w:sz="0" w:space="0" w:color="auto"/>
      </w:divBdr>
    </w:div>
    <w:div w:id="1395160651">
      <w:bodyDiv w:val="1"/>
      <w:marLeft w:val="0"/>
      <w:marRight w:val="0"/>
      <w:marTop w:val="0"/>
      <w:marBottom w:val="0"/>
      <w:divBdr>
        <w:top w:val="none" w:sz="0" w:space="0" w:color="auto"/>
        <w:left w:val="none" w:sz="0" w:space="0" w:color="auto"/>
        <w:bottom w:val="none" w:sz="0" w:space="0" w:color="auto"/>
        <w:right w:val="none" w:sz="0" w:space="0" w:color="auto"/>
      </w:divBdr>
    </w:div>
    <w:div w:id="1400860019">
      <w:bodyDiv w:val="1"/>
      <w:marLeft w:val="0"/>
      <w:marRight w:val="0"/>
      <w:marTop w:val="0"/>
      <w:marBottom w:val="0"/>
      <w:divBdr>
        <w:top w:val="none" w:sz="0" w:space="0" w:color="auto"/>
        <w:left w:val="none" w:sz="0" w:space="0" w:color="auto"/>
        <w:bottom w:val="none" w:sz="0" w:space="0" w:color="auto"/>
        <w:right w:val="none" w:sz="0" w:space="0" w:color="auto"/>
      </w:divBdr>
    </w:div>
    <w:div w:id="1412583692">
      <w:bodyDiv w:val="1"/>
      <w:marLeft w:val="0"/>
      <w:marRight w:val="0"/>
      <w:marTop w:val="0"/>
      <w:marBottom w:val="0"/>
      <w:divBdr>
        <w:top w:val="none" w:sz="0" w:space="0" w:color="auto"/>
        <w:left w:val="none" w:sz="0" w:space="0" w:color="auto"/>
        <w:bottom w:val="none" w:sz="0" w:space="0" w:color="auto"/>
        <w:right w:val="none" w:sz="0" w:space="0" w:color="auto"/>
      </w:divBdr>
    </w:div>
    <w:div w:id="1427310038">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49394901">
      <w:bodyDiv w:val="1"/>
      <w:marLeft w:val="0"/>
      <w:marRight w:val="0"/>
      <w:marTop w:val="0"/>
      <w:marBottom w:val="0"/>
      <w:divBdr>
        <w:top w:val="none" w:sz="0" w:space="0" w:color="auto"/>
        <w:left w:val="none" w:sz="0" w:space="0" w:color="auto"/>
        <w:bottom w:val="none" w:sz="0" w:space="0" w:color="auto"/>
        <w:right w:val="none" w:sz="0" w:space="0" w:color="auto"/>
      </w:divBdr>
    </w:div>
    <w:div w:id="1461413987">
      <w:bodyDiv w:val="1"/>
      <w:marLeft w:val="0"/>
      <w:marRight w:val="0"/>
      <w:marTop w:val="0"/>
      <w:marBottom w:val="0"/>
      <w:divBdr>
        <w:top w:val="none" w:sz="0" w:space="0" w:color="auto"/>
        <w:left w:val="none" w:sz="0" w:space="0" w:color="auto"/>
        <w:bottom w:val="none" w:sz="0" w:space="0" w:color="auto"/>
        <w:right w:val="none" w:sz="0" w:space="0" w:color="auto"/>
      </w:divBdr>
    </w:div>
    <w:div w:id="1477726531">
      <w:bodyDiv w:val="1"/>
      <w:marLeft w:val="0"/>
      <w:marRight w:val="0"/>
      <w:marTop w:val="0"/>
      <w:marBottom w:val="0"/>
      <w:divBdr>
        <w:top w:val="none" w:sz="0" w:space="0" w:color="auto"/>
        <w:left w:val="none" w:sz="0" w:space="0" w:color="auto"/>
        <w:bottom w:val="none" w:sz="0" w:space="0" w:color="auto"/>
        <w:right w:val="none" w:sz="0" w:space="0" w:color="auto"/>
      </w:divBdr>
    </w:div>
    <w:div w:id="1516114522">
      <w:bodyDiv w:val="1"/>
      <w:marLeft w:val="0"/>
      <w:marRight w:val="0"/>
      <w:marTop w:val="0"/>
      <w:marBottom w:val="0"/>
      <w:divBdr>
        <w:top w:val="none" w:sz="0" w:space="0" w:color="auto"/>
        <w:left w:val="none" w:sz="0" w:space="0" w:color="auto"/>
        <w:bottom w:val="none" w:sz="0" w:space="0" w:color="auto"/>
        <w:right w:val="none" w:sz="0" w:space="0" w:color="auto"/>
      </w:divBdr>
    </w:div>
    <w:div w:id="1558662216">
      <w:bodyDiv w:val="1"/>
      <w:marLeft w:val="0"/>
      <w:marRight w:val="0"/>
      <w:marTop w:val="0"/>
      <w:marBottom w:val="0"/>
      <w:divBdr>
        <w:top w:val="none" w:sz="0" w:space="0" w:color="auto"/>
        <w:left w:val="none" w:sz="0" w:space="0" w:color="auto"/>
        <w:bottom w:val="none" w:sz="0" w:space="0" w:color="auto"/>
        <w:right w:val="none" w:sz="0" w:space="0" w:color="auto"/>
      </w:divBdr>
    </w:div>
    <w:div w:id="1585802351">
      <w:bodyDiv w:val="1"/>
      <w:marLeft w:val="0"/>
      <w:marRight w:val="0"/>
      <w:marTop w:val="0"/>
      <w:marBottom w:val="0"/>
      <w:divBdr>
        <w:top w:val="none" w:sz="0" w:space="0" w:color="auto"/>
        <w:left w:val="none" w:sz="0" w:space="0" w:color="auto"/>
        <w:bottom w:val="none" w:sz="0" w:space="0" w:color="auto"/>
        <w:right w:val="none" w:sz="0" w:space="0" w:color="auto"/>
      </w:divBdr>
    </w:div>
    <w:div w:id="1601600192">
      <w:bodyDiv w:val="1"/>
      <w:marLeft w:val="0"/>
      <w:marRight w:val="0"/>
      <w:marTop w:val="0"/>
      <w:marBottom w:val="0"/>
      <w:divBdr>
        <w:top w:val="none" w:sz="0" w:space="0" w:color="auto"/>
        <w:left w:val="none" w:sz="0" w:space="0" w:color="auto"/>
        <w:bottom w:val="none" w:sz="0" w:space="0" w:color="auto"/>
        <w:right w:val="none" w:sz="0" w:space="0" w:color="auto"/>
      </w:divBdr>
    </w:div>
    <w:div w:id="1690644598">
      <w:bodyDiv w:val="1"/>
      <w:marLeft w:val="0"/>
      <w:marRight w:val="0"/>
      <w:marTop w:val="0"/>
      <w:marBottom w:val="0"/>
      <w:divBdr>
        <w:top w:val="none" w:sz="0" w:space="0" w:color="auto"/>
        <w:left w:val="none" w:sz="0" w:space="0" w:color="auto"/>
        <w:bottom w:val="none" w:sz="0" w:space="0" w:color="auto"/>
        <w:right w:val="none" w:sz="0" w:space="0" w:color="auto"/>
      </w:divBdr>
    </w:div>
    <w:div w:id="1711296137">
      <w:bodyDiv w:val="1"/>
      <w:marLeft w:val="0"/>
      <w:marRight w:val="0"/>
      <w:marTop w:val="0"/>
      <w:marBottom w:val="0"/>
      <w:divBdr>
        <w:top w:val="none" w:sz="0" w:space="0" w:color="auto"/>
        <w:left w:val="none" w:sz="0" w:space="0" w:color="auto"/>
        <w:bottom w:val="none" w:sz="0" w:space="0" w:color="auto"/>
        <w:right w:val="none" w:sz="0" w:space="0" w:color="auto"/>
      </w:divBdr>
    </w:div>
    <w:div w:id="1723483768">
      <w:bodyDiv w:val="1"/>
      <w:marLeft w:val="0"/>
      <w:marRight w:val="0"/>
      <w:marTop w:val="0"/>
      <w:marBottom w:val="0"/>
      <w:divBdr>
        <w:top w:val="none" w:sz="0" w:space="0" w:color="auto"/>
        <w:left w:val="none" w:sz="0" w:space="0" w:color="auto"/>
        <w:bottom w:val="none" w:sz="0" w:space="0" w:color="auto"/>
        <w:right w:val="none" w:sz="0" w:space="0" w:color="auto"/>
      </w:divBdr>
    </w:div>
    <w:div w:id="1737241866">
      <w:bodyDiv w:val="1"/>
      <w:marLeft w:val="0"/>
      <w:marRight w:val="0"/>
      <w:marTop w:val="0"/>
      <w:marBottom w:val="0"/>
      <w:divBdr>
        <w:top w:val="none" w:sz="0" w:space="0" w:color="auto"/>
        <w:left w:val="none" w:sz="0" w:space="0" w:color="auto"/>
        <w:bottom w:val="none" w:sz="0" w:space="0" w:color="auto"/>
        <w:right w:val="none" w:sz="0" w:space="0" w:color="auto"/>
      </w:divBdr>
    </w:div>
    <w:div w:id="1752043902">
      <w:bodyDiv w:val="1"/>
      <w:marLeft w:val="0"/>
      <w:marRight w:val="0"/>
      <w:marTop w:val="0"/>
      <w:marBottom w:val="0"/>
      <w:divBdr>
        <w:top w:val="none" w:sz="0" w:space="0" w:color="auto"/>
        <w:left w:val="none" w:sz="0" w:space="0" w:color="auto"/>
        <w:bottom w:val="none" w:sz="0" w:space="0" w:color="auto"/>
        <w:right w:val="none" w:sz="0" w:space="0" w:color="auto"/>
      </w:divBdr>
    </w:div>
    <w:div w:id="1767264138">
      <w:bodyDiv w:val="1"/>
      <w:marLeft w:val="0"/>
      <w:marRight w:val="0"/>
      <w:marTop w:val="0"/>
      <w:marBottom w:val="0"/>
      <w:divBdr>
        <w:top w:val="none" w:sz="0" w:space="0" w:color="auto"/>
        <w:left w:val="none" w:sz="0" w:space="0" w:color="auto"/>
        <w:bottom w:val="none" w:sz="0" w:space="0" w:color="auto"/>
        <w:right w:val="none" w:sz="0" w:space="0" w:color="auto"/>
      </w:divBdr>
    </w:div>
    <w:div w:id="1776437347">
      <w:bodyDiv w:val="1"/>
      <w:marLeft w:val="0"/>
      <w:marRight w:val="0"/>
      <w:marTop w:val="0"/>
      <w:marBottom w:val="0"/>
      <w:divBdr>
        <w:top w:val="none" w:sz="0" w:space="0" w:color="auto"/>
        <w:left w:val="none" w:sz="0" w:space="0" w:color="auto"/>
        <w:bottom w:val="none" w:sz="0" w:space="0" w:color="auto"/>
        <w:right w:val="none" w:sz="0" w:space="0" w:color="auto"/>
      </w:divBdr>
    </w:div>
    <w:div w:id="1779256326">
      <w:bodyDiv w:val="1"/>
      <w:marLeft w:val="0"/>
      <w:marRight w:val="0"/>
      <w:marTop w:val="0"/>
      <w:marBottom w:val="0"/>
      <w:divBdr>
        <w:top w:val="none" w:sz="0" w:space="0" w:color="auto"/>
        <w:left w:val="none" w:sz="0" w:space="0" w:color="auto"/>
        <w:bottom w:val="none" w:sz="0" w:space="0" w:color="auto"/>
        <w:right w:val="none" w:sz="0" w:space="0" w:color="auto"/>
      </w:divBdr>
    </w:div>
    <w:div w:id="1824156519">
      <w:bodyDiv w:val="1"/>
      <w:marLeft w:val="0"/>
      <w:marRight w:val="0"/>
      <w:marTop w:val="0"/>
      <w:marBottom w:val="0"/>
      <w:divBdr>
        <w:top w:val="none" w:sz="0" w:space="0" w:color="auto"/>
        <w:left w:val="none" w:sz="0" w:space="0" w:color="auto"/>
        <w:bottom w:val="none" w:sz="0" w:space="0" w:color="auto"/>
        <w:right w:val="none" w:sz="0" w:space="0" w:color="auto"/>
      </w:divBdr>
    </w:div>
    <w:div w:id="1831555474">
      <w:bodyDiv w:val="1"/>
      <w:marLeft w:val="0"/>
      <w:marRight w:val="0"/>
      <w:marTop w:val="0"/>
      <w:marBottom w:val="0"/>
      <w:divBdr>
        <w:top w:val="none" w:sz="0" w:space="0" w:color="auto"/>
        <w:left w:val="none" w:sz="0" w:space="0" w:color="auto"/>
        <w:bottom w:val="none" w:sz="0" w:space="0" w:color="auto"/>
        <w:right w:val="none" w:sz="0" w:space="0" w:color="auto"/>
      </w:divBdr>
    </w:div>
    <w:div w:id="1870949694">
      <w:bodyDiv w:val="1"/>
      <w:marLeft w:val="0"/>
      <w:marRight w:val="0"/>
      <w:marTop w:val="0"/>
      <w:marBottom w:val="0"/>
      <w:divBdr>
        <w:top w:val="none" w:sz="0" w:space="0" w:color="auto"/>
        <w:left w:val="none" w:sz="0" w:space="0" w:color="auto"/>
        <w:bottom w:val="none" w:sz="0" w:space="0" w:color="auto"/>
        <w:right w:val="none" w:sz="0" w:space="0" w:color="auto"/>
      </w:divBdr>
    </w:div>
    <w:div w:id="1889341736">
      <w:bodyDiv w:val="1"/>
      <w:marLeft w:val="0"/>
      <w:marRight w:val="0"/>
      <w:marTop w:val="0"/>
      <w:marBottom w:val="0"/>
      <w:divBdr>
        <w:top w:val="none" w:sz="0" w:space="0" w:color="auto"/>
        <w:left w:val="none" w:sz="0" w:space="0" w:color="auto"/>
        <w:bottom w:val="none" w:sz="0" w:space="0" w:color="auto"/>
        <w:right w:val="none" w:sz="0" w:space="0" w:color="auto"/>
      </w:divBdr>
    </w:div>
    <w:div w:id="1892882709">
      <w:bodyDiv w:val="1"/>
      <w:marLeft w:val="0"/>
      <w:marRight w:val="0"/>
      <w:marTop w:val="0"/>
      <w:marBottom w:val="0"/>
      <w:divBdr>
        <w:top w:val="none" w:sz="0" w:space="0" w:color="auto"/>
        <w:left w:val="none" w:sz="0" w:space="0" w:color="auto"/>
        <w:bottom w:val="none" w:sz="0" w:space="0" w:color="auto"/>
        <w:right w:val="none" w:sz="0" w:space="0" w:color="auto"/>
      </w:divBdr>
    </w:div>
    <w:div w:id="1899629006">
      <w:bodyDiv w:val="1"/>
      <w:marLeft w:val="0"/>
      <w:marRight w:val="0"/>
      <w:marTop w:val="0"/>
      <w:marBottom w:val="0"/>
      <w:divBdr>
        <w:top w:val="none" w:sz="0" w:space="0" w:color="auto"/>
        <w:left w:val="none" w:sz="0" w:space="0" w:color="auto"/>
        <w:bottom w:val="none" w:sz="0" w:space="0" w:color="auto"/>
        <w:right w:val="none" w:sz="0" w:space="0" w:color="auto"/>
      </w:divBdr>
    </w:div>
    <w:div w:id="1902010694">
      <w:bodyDiv w:val="1"/>
      <w:marLeft w:val="0"/>
      <w:marRight w:val="0"/>
      <w:marTop w:val="0"/>
      <w:marBottom w:val="0"/>
      <w:divBdr>
        <w:top w:val="none" w:sz="0" w:space="0" w:color="auto"/>
        <w:left w:val="none" w:sz="0" w:space="0" w:color="auto"/>
        <w:bottom w:val="none" w:sz="0" w:space="0" w:color="auto"/>
        <w:right w:val="none" w:sz="0" w:space="0" w:color="auto"/>
      </w:divBdr>
    </w:div>
    <w:div w:id="1971088878">
      <w:bodyDiv w:val="1"/>
      <w:marLeft w:val="0"/>
      <w:marRight w:val="0"/>
      <w:marTop w:val="0"/>
      <w:marBottom w:val="0"/>
      <w:divBdr>
        <w:top w:val="none" w:sz="0" w:space="0" w:color="auto"/>
        <w:left w:val="none" w:sz="0" w:space="0" w:color="auto"/>
        <w:bottom w:val="none" w:sz="0" w:space="0" w:color="auto"/>
        <w:right w:val="none" w:sz="0" w:space="0" w:color="auto"/>
      </w:divBdr>
    </w:div>
    <w:div w:id="2009402561">
      <w:bodyDiv w:val="1"/>
      <w:marLeft w:val="0"/>
      <w:marRight w:val="0"/>
      <w:marTop w:val="0"/>
      <w:marBottom w:val="0"/>
      <w:divBdr>
        <w:top w:val="none" w:sz="0" w:space="0" w:color="auto"/>
        <w:left w:val="none" w:sz="0" w:space="0" w:color="auto"/>
        <w:bottom w:val="none" w:sz="0" w:space="0" w:color="auto"/>
        <w:right w:val="none" w:sz="0" w:space="0" w:color="auto"/>
      </w:divBdr>
    </w:div>
    <w:div w:id="2014991082">
      <w:bodyDiv w:val="1"/>
      <w:marLeft w:val="0"/>
      <w:marRight w:val="0"/>
      <w:marTop w:val="0"/>
      <w:marBottom w:val="0"/>
      <w:divBdr>
        <w:top w:val="none" w:sz="0" w:space="0" w:color="auto"/>
        <w:left w:val="none" w:sz="0" w:space="0" w:color="auto"/>
        <w:bottom w:val="none" w:sz="0" w:space="0" w:color="auto"/>
        <w:right w:val="none" w:sz="0" w:space="0" w:color="auto"/>
      </w:divBdr>
    </w:div>
    <w:div w:id="2066754711">
      <w:bodyDiv w:val="1"/>
      <w:marLeft w:val="0"/>
      <w:marRight w:val="0"/>
      <w:marTop w:val="0"/>
      <w:marBottom w:val="0"/>
      <w:divBdr>
        <w:top w:val="none" w:sz="0" w:space="0" w:color="auto"/>
        <w:left w:val="none" w:sz="0" w:space="0" w:color="auto"/>
        <w:bottom w:val="none" w:sz="0" w:space="0" w:color="auto"/>
        <w:right w:val="none" w:sz="0" w:space="0" w:color="auto"/>
      </w:divBdr>
    </w:div>
    <w:div w:id="2077820128">
      <w:bodyDiv w:val="1"/>
      <w:marLeft w:val="0"/>
      <w:marRight w:val="0"/>
      <w:marTop w:val="0"/>
      <w:marBottom w:val="0"/>
      <w:divBdr>
        <w:top w:val="none" w:sz="0" w:space="0" w:color="auto"/>
        <w:left w:val="none" w:sz="0" w:space="0" w:color="auto"/>
        <w:bottom w:val="none" w:sz="0" w:space="0" w:color="auto"/>
        <w:right w:val="none" w:sz="0" w:space="0" w:color="auto"/>
      </w:divBdr>
      <w:divsChild>
        <w:div w:id="797142801">
          <w:marLeft w:val="0"/>
          <w:marRight w:val="0"/>
          <w:marTop w:val="0"/>
          <w:marBottom w:val="0"/>
          <w:divBdr>
            <w:top w:val="none" w:sz="0" w:space="0" w:color="auto"/>
            <w:left w:val="none" w:sz="0" w:space="0" w:color="auto"/>
            <w:bottom w:val="none" w:sz="0" w:space="0" w:color="auto"/>
            <w:right w:val="none" w:sz="0" w:space="0" w:color="auto"/>
          </w:divBdr>
          <w:divsChild>
            <w:div w:id="1342664433">
              <w:marLeft w:val="0"/>
              <w:marRight w:val="0"/>
              <w:marTop w:val="0"/>
              <w:marBottom w:val="0"/>
              <w:divBdr>
                <w:top w:val="none" w:sz="0" w:space="0" w:color="auto"/>
                <w:left w:val="none" w:sz="0" w:space="0" w:color="auto"/>
                <w:bottom w:val="none" w:sz="0" w:space="0" w:color="auto"/>
                <w:right w:val="none" w:sz="0" w:space="0" w:color="auto"/>
              </w:divBdr>
              <w:divsChild>
                <w:div w:id="451098950">
                  <w:marLeft w:val="0"/>
                  <w:marRight w:val="0"/>
                  <w:marTop w:val="0"/>
                  <w:marBottom w:val="0"/>
                  <w:divBdr>
                    <w:top w:val="none" w:sz="0" w:space="0" w:color="auto"/>
                    <w:left w:val="none" w:sz="0" w:space="0" w:color="auto"/>
                    <w:bottom w:val="none" w:sz="0" w:space="0" w:color="auto"/>
                    <w:right w:val="none" w:sz="0" w:space="0" w:color="auto"/>
                  </w:divBdr>
                  <w:divsChild>
                    <w:div w:id="306978655">
                      <w:marLeft w:val="0"/>
                      <w:marRight w:val="0"/>
                      <w:marTop w:val="0"/>
                      <w:marBottom w:val="0"/>
                      <w:divBdr>
                        <w:top w:val="none" w:sz="0" w:space="0" w:color="auto"/>
                        <w:left w:val="none" w:sz="0" w:space="0" w:color="auto"/>
                        <w:bottom w:val="none" w:sz="0" w:space="0" w:color="auto"/>
                        <w:right w:val="none" w:sz="0" w:space="0" w:color="auto"/>
                      </w:divBdr>
                      <w:divsChild>
                        <w:div w:id="813254168">
                          <w:marLeft w:val="0"/>
                          <w:marRight w:val="0"/>
                          <w:marTop w:val="0"/>
                          <w:marBottom w:val="0"/>
                          <w:divBdr>
                            <w:top w:val="none" w:sz="0" w:space="0" w:color="auto"/>
                            <w:left w:val="none" w:sz="0" w:space="0" w:color="auto"/>
                            <w:bottom w:val="none" w:sz="0" w:space="0" w:color="auto"/>
                            <w:right w:val="none" w:sz="0" w:space="0" w:color="auto"/>
                          </w:divBdr>
                          <w:divsChild>
                            <w:div w:id="1986859167">
                              <w:marLeft w:val="0"/>
                              <w:marRight w:val="0"/>
                              <w:marTop w:val="420"/>
                              <w:marBottom w:val="420"/>
                              <w:divBdr>
                                <w:top w:val="none" w:sz="0" w:space="0" w:color="auto"/>
                                <w:left w:val="none" w:sz="0" w:space="0" w:color="auto"/>
                                <w:bottom w:val="none" w:sz="0" w:space="0" w:color="auto"/>
                                <w:right w:val="none" w:sz="0" w:space="0" w:color="auto"/>
                              </w:divBdr>
                            </w:div>
                            <w:div w:id="796143761">
                              <w:marLeft w:val="0"/>
                              <w:marRight w:val="0"/>
                              <w:marTop w:val="420"/>
                              <w:marBottom w:val="420"/>
                              <w:divBdr>
                                <w:top w:val="none" w:sz="0" w:space="0" w:color="auto"/>
                                <w:left w:val="none" w:sz="0" w:space="0" w:color="auto"/>
                                <w:bottom w:val="none" w:sz="0" w:space="0" w:color="auto"/>
                                <w:right w:val="none" w:sz="0" w:space="0" w:color="auto"/>
                              </w:divBdr>
                            </w:div>
                            <w:div w:id="1021736212">
                              <w:marLeft w:val="0"/>
                              <w:marRight w:val="0"/>
                              <w:marTop w:val="420"/>
                              <w:marBottom w:val="420"/>
                              <w:divBdr>
                                <w:top w:val="none" w:sz="0" w:space="0" w:color="auto"/>
                                <w:left w:val="none" w:sz="0" w:space="0" w:color="auto"/>
                                <w:bottom w:val="none" w:sz="0" w:space="0" w:color="auto"/>
                                <w:right w:val="none" w:sz="0" w:space="0" w:color="auto"/>
                              </w:divBdr>
                            </w:div>
                            <w:div w:id="523372749">
                              <w:marLeft w:val="0"/>
                              <w:marRight w:val="0"/>
                              <w:marTop w:val="420"/>
                              <w:marBottom w:val="420"/>
                              <w:divBdr>
                                <w:top w:val="none" w:sz="0" w:space="0" w:color="auto"/>
                                <w:left w:val="none" w:sz="0" w:space="0" w:color="auto"/>
                                <w:bottom w:val="none" w:sz="0" w:space="0" w:color="auto"/>
                                <w:right w:val="none" w:sz="0" w:space="0" w:color="auto"/>
                              </w:divBdr>
                            </w:div>
                            <w:div w:id="479882733">
                              <w:marLeft w:val="0"/>
                              <w:marRight w:val="0"/>
                              <w:marTop w:val="420"/>
                              <w:marBottom w:val="420"/>
                              <w:divBdr>
                                <w:top w:val="none" w:sz="0" w:space="0" w:color="auto"/>
                                <w:left w:val="none" w:sz="0" w:space="0" w:color="auto"/>
                                <w:bottom w:val="none" w:sz="0" w:space="0" w:color="auto"/>
                                <w:right w:val="none" w:sz="0" w:space="0" w:color="auto"/>
                              </w:divBdr>
                            </w:div>
                            <w:div w:id="1176991406">
                              <w:marLeft w:val="0"/>
                              <w:marRight w:val="0"/>
                              <w:marTop w:val="420"/>
                              <w:marBottom w:val="420"/>
                              <w:divBdr>
                                <w:top w:val="none" w:sz="0" w:space="0" w:color="auto"/>
                                <w:left w:val="none" w:sz="0" w:space="0" w:color="auto"/>
                                <w:bottom w:val="none" w:sz="0" w:space="0" w:color="auto"/>
                                <w:right w:val="none" w:sz="0" w:space="0" w:color="auto"/>
                              </w:divBdr>
                            </w:div>
                            <w:div w:id="417486003">
                              <w:marLeft w:val="0"/>
                              <w:marRight w:val="0"/>
                              <w:marTop w:val="420"/>
                              <w:marBottom w:val="420"/>
                              <w:divBdr>
                                <w:top w:val="none" w:sz="0" w:space="0" w:color="auto"/>
                                <w:left w:val="none" w:sz="0" w:space="0" w:color="auto"/>
                                <w:bottom w:val="none" w:sz="0" w:space="0" w:color="auto"/>
                                <w:right w:val="none" w:sz="0" w:space="0" w:color="auto"/>
                              </w:divBdr>
                            </w:div>
                            <w:div w:id="54934091">
                              <w:marLeft w:val="0"/>
                              <w:marRight w:val="0"/>
                              <w:marTop w:val="420"/>
                              <w:marBottom w:val="420"/>
                              <w:divBdr>
                                <w:top w:val="none" w:sz="0" w:space="0" w:color="auto"/>
                                <w:left w:val="none" w:sz="0" w:space="0" w:color="auto"/>
                                <w:bottom w:val="none" w:sz="0" w:space="0" w:color="auto"/>
                                <w:right w:val="none" w:sz="0" w:space="0" w:color="auto"/>
                              </w:divBdr>
                            </w:div>
                            <w:div w:id="1731877736">
                              <w:marLeft w:val="0"/>
                              <w:marRight w:val="0"/>
                              <w:marTop w:val="420"/>
                              <w:marBottom w:val="420"/>
                              <w:divBdr>
                                <w:top w:val="none" w:sz="0" w:space="0" w:color="auto"/>
                                <w:left w:val="none" w:sz="0" w:space="0" w:color="auto"/>
                                <w:bottom w:val="none" w:sz="0" w:space="0" w:color="auto"/>
                                <w:right w:val="none" w:sz="0" w:space="0" w:color="auto"/>
                              </w:divBdr>
                            </w:div>
                            <w:div w:id="1120801757">
                              <w:marLeft w:val="0"/>
                              <w:marRight w:val="0"/>
                              <w:marTop w:val="420"/>
                              <w:marBottom w:val="420"/>
                              <w:divBdr>
                                <w:top w:val="none" w:sz="0" w:space="0" w:color="auto"/>
                                <w:left w:val="none" w:sz="0" w:space="0" w:color="auto"/>
                                <w:bottom w:val="none" w:sz="0" w:space="0" w:color="auto"/>
                                <w:right w:val="none" w:sz="0" w:space="0" w:color="auto"/>
                              </w:divBdr>
                            </w:div>
                            <w:div w:id="505052455">
                              <w:marLeft w:val="0"/>
                              <w:marRight w:val="0"/>
                              <w:marTop w:val="420"/>
                              <w:marBottom w:val="420"/>
                              <w:divBdr>
                                <w:top w:val="none" w:sz="0" w:space="0" w:color="auto"/>
                                <w:left w:val="none" w:sz="0" w:space="0" w:color="auto"/>
                                <w:bottom w:val="none" w:sz="0" w:space="0" w:color="auto"/>
                                <w:right w:val="none" w:sz="0" w:space="0" w:color="auto"/>
                              </w:divBdr>
                            </w:div>
                            <w:div w:id="2102339214">
                              <w:marLeft w:val="0"/>
                              <w:marRight w:val="0"/>
                              <w:marTop w:val="420"/>
                              <w:marBottom w:val="420"/>
                              <w:divBdr>
                                <w:top w:val="none" w:sz="0" w:space="0" w:color="auto"/>
                                <w:left w:val="none" w:sz="0" w:space="0" w:color="auto"/>
                                <w:bottom w:val="none" w:sz="0" w:space="0" w:color="auto"/>
                                <w:right w:val="none" w:sz="0" w:space="0" w:color="auto"/>
                              </w:divBdr>
                            </w:div>
                            <w:div w:id="845753367">
                              <w:marLeft w:val="0"/>
                              <w:marRight w:val="0"/>
                              <w:marTop w:val="420"/>
                              <w:marBottom w:val="420"/>
                              <w:divBdr>
                                <w:top w:val="none" w:sz="0" w:space="0" w:color="auto"/>
                                <w:left w:val="none" w:sz="0" w:space="0" w:color="auto"/>
                                <w:bottom w:val="none" w:sz="0" w:space="0" w:color="auto"/>
                                <w:right w:val="none" w:sz="0" w:space="0" w:color="auto"/>
                              </w:divBdr>
                            </w:div>
                            <w:div w:id="49153100">
                              <w:marLeft w:val="0"/>
                              <w:marRight w:val="0"/>
                              <w:marTop w:val="420"/>
                              <w:marBottom w:val="420"/>
                              <w:divBdr>
                                <w:top w:val="none" w:sz="0" w:space="0" w:color="auto"/>
                                <w:left w:val="none" w:sz="0" w:space="0" w:color="auto"/>
                                <w:bottom w:val="none" w:sz="0" w:space="0" w:color="auto"/>
                                <w:right w:val="none" w:sz="0" w:space="0" w:color="auto"/>
                              </w:divBdr>
                            </w:div>
                            <w:div w:id="1664815926">
                              <w:marLeft w:val="0"/>
                              <w:marRight w:val="0"/>
                              <w:marTop w:val="420"/>
                              <w:marBottom w:val="420"/>
                              <w:divBdr>
                                <w:top w:val="none" w:sz="0" w:space="0" w:color="auto"/>
                                <w:left w:val="none" w:sz="0" w:space="0" w:color="auto"/>
                                <w:bottom w:val="none" w:sz="0" w:space="0" w:color="auto"/>
                                <w:right w:val="none" w:sz="0" w:space="0" w:color="auto"/>
                              </w:divBdr>
                            </w:div>
                            <w:div w:id="274144898">
                              <w:marLeft w:val="0"/>
                              <w:marRight w:val="0"/>
                              <w:marTop w:val="420"/>
                              <w:marBottom w:val="420"/>
                              <w:divBdr>
                                <w:top w:val="none" w:sz="0" w:space="0" w:color="auto"/>
                                <w:left w:val="none" w:sz="0" w:space="0" w:color="auto"/>
                                <w:bottom w:val="none" w:sz="0" w:space="0" w:color="auto"/>
                                <w:right w:val="none" w:sz="0" w:space="0" w:color="auto"/>
                              </w:divBdr>
                            </w:div>
                            <w:div w:id="2105412600">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989399">
      <w:bodyDiv w:val="1"/>
      <w:marLeft w:val="0"/>
      <w:marRight w:val="0"/>
      <w:marTop w:val="0"/>
      <w:marBottom w:val="0"/>
      <w:divBdr>
        <w:top w:val="none" w:sz="0" w:space="0" w:color="auto"/>
        <w:left w:val="none" w:sz="0" w:space="0" w:color="auto"/>
        <w:bottom w:val="none" w:sz="0" w:space="0" w:color="auto"/>
        <w:right w:val="none" w:sz="0" w:space="0" w:color="auto"/>
      </w:divBdr>
    </w:div>
    <w:div w:id="2091727849">
      <w:bodyDiv w:val="1"/>
      <w:marLeft w:val="0"/>
      <w:marRight w:val="0"/>
      <w:marTop w:val="0"/>
      <w:marBottom w:val="0"/>
      <w:divBdr>
        <w:top w:val="none" w:sz="0" w:space="0" w:color="auto"/>
        <w:left w:val="none" w:sz="0" w:space="0" w:color="auto"/>
        <w:bottom w:val="none" w:sz="0" w:space="0" w:color="auto"/>
        <w:right w:val="none" w:sz="0" w:space="0" w:color="auto"/>
      </w:divBdr>
    </w:div>
    <w:div w:id="2095781771">
      <w:bodyDiv w:val="1"/>
      <w:marLeft w:val="0"/>
      <w:marRight w:val="0"/>
      <w:marTop w:val="0"/>
      <w:marBottom w:val="0"/>
      <w:divBdr>
        <w:top w:val="none" w:sz="0" w:space="0" w:color="auto"/>
        <w:left w:val="none" w:sz="0" w:space="0" w:color="auto"/>
        <w:bottom w:val="none" w:sz="0" w:space="0" w:color="auto"/>
        <w:right w:val="none" w:sz="0" w:space="0" w:color="auto"/>
      </w:divBdr>
    </w:div>
    <w:div w:id="2100172454">
      <w:bodyDiv w:val="1"/>
      <w:marLeft w:val="0"/>
      <w:marRight w:val="0"/>
      <w:marTop w:val="0"/>
      <w:marBottom w:val="0"/>
      <w:divBdr>
        <w:top w:val="none" w:sz="0" w:space="0" w:color="auto"/>
        <w:left w:val="none" w:sz="0" w:space="0" w:color="auto"/>
        <w:bottom w:val="none" w:sz="0" w:space="0" w:color="auto"/>
        <w:right w:val="none" w:sz="0" w:space="0" w:color="auto"/>
      </w:divBdr>
    </w:div>
    <w:div w:id="2113626528">
      <w:bodyDiv w:val="1"/>
      <w:marLeft w:val="0"/>
      <w:marRight w:val="0"/>
      <w:marTop w:val="0"/>
      <w:marBottom w:val="0"/>
      <w:divBdr>
        <w:top w:val="none" w:sz="0" w:space="0" w:color="auto"/>
        <w:left w:val="none" w:sz="0" w:space="0" w:color="auto"/>
        <w:bottom w:val="none" w:sz="0" w:space="0" w:color="auto"/>
        <w:right w:val="none" w:sz="0" w:space="0" w:color="auto"/>
      </w:divBdr>
    </w:div>
    <w:div w:id="2118140415">
      <w:bodyDiv w:val="1"/>
      <w:marLeft w:val="0"/>
      <w:marRight w:val="0"/>
      <w:marTop w:val="0"/>
      <w:marBottom w:val="0"/>
      <w:divBdr>
        <w:top w:val="none" w:sz="0" w:space="0" w:color="auto"/>
        <w:left w:val="none" w:sz="0" w:space="0" w:color="auto"/>
        <w:bottom w:val="none" w:sz="0" w:space="0" w:color="auto"/>
        <w:right w:val="none" w:sz="0" w:space="0" w:color="auto"/>
      </w:divBdr>
    </w:div>
    <w:div w:id="2119399619">
      <w:bodyDiv w:val="1"/>
      <w:marLeft w:val="0"/>
      <w:marRight w:val="0"/>
      <w:marTop w:val="0"/>
      <w:marBottom w:val="0"/>
      <w:divBdr>
        <w:top w:val="none" w:sz="0" w:space="0" w:color="auto"/>
        <w:left w:val="none" w:sz="0" w:space="0" w:color="auto"/>
        <w:bottom w:val="none" w:sz="0" w:space="0" w:color="auto"/>
        <w:right w:val="none" w:sz="0" w:space="0" w:color="auto"/>
      </w:divBdr>
    </w:div>
    <w:div w:id="21392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info.gov/content/pkg/FR-2020-07-15/pdf/2020-14895.pdf" TargetMode="External"/><Relationship Id="rId21" Type="http://schemas.openxmlformats.org/officeDocument/2006/relationships/hyperlink" Target="https://www.dol.gov/newsroom/releases/whd/whd20200716-0" TargetMode="External"/><Relationship Id="rId42" Type="http://schemas.openxmlformats.org/officeDocument/2006/relationships/hyperlink" Target="https://www.benefitcomply.com/resources/2020/08/04/covid-19-timelines/" TargetMode="External"/><Relationship Id="rId47" Type="http://schemas.openxmlformats.org/officeDocument/2006/relationships/hyperlink" Target="https://s3.amazonaws.com/public-inspection.federalregister.gov/2020-20351.pdf" TargetMode="External"/><Relationship Id="rId63" Type="http://schemas.openxmlformats.org/officeDocument/2006/relationships/hyperlink" Target="https://www.irs.gov/pub/irs-drop/n-20-66.pdf" TargetMode="External"/><Relationship Id="rId68" Type="http://schemas.openxmlformats.org/officeDocument/2006/relationships/hyperlink" Target="https://www.nelsonmullins.com/storage/EkvK4Zz3DVVlU9RqBIvBTwI7YwL7lnTnmgKYAJvM.pdf" TargetMode="External"/><Relationship Id="rId16" Type="http://schemas.openxmlformats.org/officeDocument/2006/relationships/hyperlink" Target="https://www.irs.gov/pub/irs-drop/n-20-54.pdf?mkt_tok=eyJpIjoiTkdZd01URmhZekUzTmpobSIsInQiOiJQWjVLOEM0QVMxOWR0VGZpM2JBZkdwWmdnc3FHV1NtRDlkOTdmWU05NWFGM3B1ZFVwTUhuN0Z5V1BPWjBpZEJ3bjVscFVpYWJCQW9ZVFwvM0Rac2s0SWc9PSJ9" TargetMode="External"/><Relationship Id="rId11" Type="http://schemas.openxmlformats.org/officeDocument/2006/relationships/header" Target="header2.xml"/><Relationship Id="rId24" Type="http://schemas.openxmlformats.org/officeDocument/2006/relationships/hyperlink" Target="https://www.irs.gov/pub/irs-dft/f1094c--dft.pdf" TargetMode="External"/><Relationship Id="rId32" Type="http://schemas.openxmlformats.org/officeDocument/2006/relationships/hyperlink" Target="https://www.benefitcomply.com/resources/2020/08/04/covid-19-timelines/" TargetMode="External"/><Relationship Id="rId37" Type="http://schemas.openxmlformats.org/officeDocument/2006/relationships/hyperlink" Target="https://www.benefitcomply.com/resources/2020/08/04/covid-19-timelines/" TargetMode="External"/><Relationship Id="rId40" Type="http://schemas.openxmlformats.org/officeDocument/2006/relationships/hyperlink" Target="https://www.federalregister.gov/documents/2020/07/29/2020-16300/recapture-of-excess-employment-tax-credits-under-the-families-first-act-and-the-cares-act" TargetMode="External"/><Relationship Id="rId45" Type="http://schemas.openxmlformats.org/officeDocument/2006/relationships/hyperlink" Target="https://www.irs.gov/pub/irs-drop/n-20-66.pdf" TargetMode="External"/><Relationship Id="rId53" Type="http://schemas.openxmlformats.org/officeDocument/2006/relationships/hyperlink" Target="https://www.nysd.uscourts.gov/sites/default/files/2020-08/State%20of%20New%20York%20v.%20United%20States%20Department%20of%20Labor%20et%20al%2C%2020-cv-3020%20%28JPO%29.pdf" TargetMode="External"/><Relationship Id="rId58" Type="http://schemas.openxmlformats.org/officeDocument/2006/relationships/hyperlink" Target="https://benefitcomply.com/how-employers-should-handle-mlr-rebates-4/" TargetMode="External"/><Relationship Id="rId66" Type="http://schemas.openxmlformats.org/officeDocument/2006/relationships/hyperlink" Target="https://www.littler.com/publication-press/publication/dol-revises-ffcra-regulations-clarify-paid-leave-rules-wake-new-york" TargetMode="External"/><Relationship Id="rId74" Type="http://schemas.openxmlformats.org/officeDocument/2006/relationships/hyperlink" Target="https://benefitcomply.com/compliance-alert-california-releases-draft-employer-reporting-instructions/" TargetMode="Externa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nelsonmullins.com/storage/EkvK4Zz3DVVlU9RqBIvBTwI7YwL7lnTnmgKYAJvM.pdf" TargetMode="External"/><Relationship Id="rId19" Type="http://schemas.openxmlformats.org/officeDocument/2006/relationships/hyperlink" Target="https://www.govinfo.gov/content/pkg/FR-2020-07-15/pdf/2020-14895.pdf" TargetMode="External"/><Relationship Id="rId14" Type="http://schemas.openxmlformats.org/officeDocument/2006/relationships/header" Target="header3.xml"/><Relationship Id="rId22" Type="http://schemas.openxmlformats.org/officeDocument/2006/relationships/hyperlink" Target="https://www.dol.gov/agencies/whd/fmla/forms" TargetMode="External"/><Relationship Id="rId27" Type="http://schemas.openxmlformats.org/officeDocument/2006/relationships/hyperlink" Target="https://www.dol.gov/sites/dolgov/files/EBSA/about-ebsa/our-activities/resource-center/faqs/grandfathered-group-health-plans-and-insurance-coverage.pdf" TargetMode="External"/><Relationship Id="rId30" Type="http://schemas.openxmlformats.org/officeDocument/2006/relationships/hyperlink" Target="https://benefitcomply.com/supreme-court-ruling-contraceptive-exemption/" TargetMode="External"/><Relationship Id="rId35" Type="http://schemas.openxmlformats.org/officeDocument/2006/relationships/hyperlink" Target="https://www.federalregister.gov/documents/2020/07/29/2020-16300/recapture-of-excess-employment-tax-credits-under-the-families-first-act-and-the-cares-act" TargetMode="External"/><Relationship Id="rId43" Type="http://schemas.openxmlformats.org/officeDocument/2006/relationships/hyperlink" Target="https://www.nelsonmullins.com/storage/EkvK4Zz3DVVlU9RqBIvBTwI7YwL7lnTnmgKYAJvM.pdf" TargetMode="External"/><Relationship Id="rId48" Type="http://schemas.openxmlformats.org/officeDocument/2006/relationships/hyperlink" Target="https://www.littler.com/publication-press/publication/dol-revises-ffcra-regulations-clarify-paid-leave-rules-wake-new-york" TargetMode="External"/><Relationship Id="rId56" Type="http://schemas.openxmlformats.org/officeDocument/2006/relationships/hyperlink" Target="https://benefitcomply.com/2021-affordability-percentage/" TargetMode="External"/><Relationship Id="rId64" Type="http://schemas.openxmlformats.org/officeDocument/2006/relationships/hyperlink" Target="https://www.nysd.uscourts.gov/sites/default/files/2020-08/State%20of%20New%20York%20v.%20United%20States%20Department%20of%20Labor%20et%20al%2C%2020-cv-3020%20%28JPO%29.pdf" TargetMode="External"/><Relationship Id="rId69" Type="http://schemas.openxmlformats.org/officeDocument/2006/relationships/hyperlink" Target="https://www.healthaffairs.org/do/10.1377/hblog20200904.528322/full/"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healthaffairs.org/do/10.1377/hblog20200904.528322/full/" TargetMode="External"/><Relationship Id="rId72" Type="http://schemas.openxmlformats.org/officeDocument/2006/relationships/hyperlink" Target="https://s3.amazonaws.com/public-inspection.federalregister.gov/2020-20351.pdf"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irs.gov/pub/irs-dft/f1094c--dft.pdf" TargetMode="External"/><Relationship Id="rId25" Type="http://schemas.openxmlformats.org/officeDocument/2006/relationships/hyperlink" Target="https://www.irs.gov/pub/irs-dft/f1095c--dft.pdf" TargetMode="External"/><Relationship Id="rId33" Type="http://schemas.openxmlformats.org/officeDocument/2006/relationships/hyperlink" Target="https://www.hhs.gov/about/news/2020/07/27/lifespan-pays-1040000-ocr-settle-unencrypted-stolen-laptop-breach.html" TargetMode="External"/><Relationship Id="rId38" Type="http://schemas.openxmlformats.org/officeDocument/2006/relationships/hyperlink" Target="https://www.hhs.gov/about/news/2020/07/27/lifespan-pays-1040000-ocr-settle-unencrypted-stolen-laptop-breach.html" TargetMode="External"/><Relationship Id="rId46" Type="http://schemas.openxmlformats.org/officeDocument/2006/relationships/hyperlink" Target="https://www.nysd.uscourts.gov/sites/default/files/2020-08/State%20of%20New%20York%20v.%20United%20States%20Department%20of%20Labor%20et%20al%2C%2020-cv-3020%20%28JPO%29.pdf" TargetMode="External"/><Relationship Id="rId59" Type="http://schemas.openxmlformats.org/officeDocument/2006/relationships/hyperlink" Target="https://benefitcomply.com/dependent-care-assistance-programs-dcaps-basics/" TargetMode="External"/><Relationship Id="rId67" Type="http://schemas.openxmlformats.org/officeDocument/2006/relationships/hyperlink" Target="https://www.benefitcomply.com/resources/2020/08/04/covid-19-timelines/" TargetMode="External"/><Relationship Id="rId20" Type="http://schemas.openxmlformats.org/officeDocument/2006/relationships/hyperlink" Target="https://www.dol.gov/sites/dolgov/files/EBSA/about-ebsa/our-activities/resource-center/faqs/grandfathered-group-health-plans-and-insurance-coverage.pdf" TargetMode="External"/><Relationship Id="rId41" Type="http://schemas.openxmlformats.org/officeDocument/2006/relationships/hyperlink" Target="https://www.hhs.gov/hipaa/for-professionals/security/guidance/cybersecurity-newsletter-summer-2020/index.html" TargetMode="External"/><Relationship Id="rId54" Type="http://schemas.openxmlformats.org/officeDocument/2006/relationships/hyperlink" Target="https://s3.amazonaws.com/public-inspection.federalregister.gov/2020-20351.pdf" TargetMode="External"/><Relationship Id="rId62" Type="http://schemas.openxmlformats.org/officeDocument/2006/relationships/hyperlink" Target="https://www.healthaffairs.org/do/10.1377/hblog20200904.528322/full/" TargetMode="External"/><Relationship Id="rId70" Type="http://schemas.openxmlformats.org/officeDocument/2006/relationships/hyperlink" Target="https://www.irs.gov/pub/irs-drop/n-20-66.pdf" TargetMode="External"/><Relationship Id="rId75" Type="http://schemas.openxmlformats.org/officeDocument/2006/relationships/hyperlink" Target="https://benefitcomply.com/life-insurance-imputing-incom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irs.gov/pub/irs-drop/n-20-54.pdf?mkt_tok=eyJpIjoiTkdZd01URmhZekUzTmpobSIsInQiOiJQWjVLOEM0QVMxOWR0VGZpM2JBZkdwWmdnc3FHV1NtRDlkOTdmWU05NWFGM3B1ZFVwTUhuN0Z5V1BPWjBpZEJ3bjVscFVpYWJCQW9ZVFwvM0Rac2s0SWc9PSJ9" TargetMode="External"/><Relationship Id="rId28" Type="http://schemas.openxmlformats.org/officeDocument/2006/relationships/hyperlink" Target="https://www.dol.gov/newsroom/releases/whd/whd20200716-0" TargetMode="External"/><Relationship Id="rId36" Type="http://schemas.openxmlformats.org/officeDocument/2006/relationships/hyperlink" Target="https://www.hhs.gov/hipaa/for-professionals/security/guidance/cybersecurity-newsletter-summer-2020/index.html" TargetMode="External"/><Relationship Id="rId49" Type="http://schemas.openxmlformats.org/officeDocument/2006/relationships/hyperlink" Target="https://www.benefitcomply.com/resources/2020/08/04/covid-19-timelines/" TargetMode="External"/><Relationship Id="rId57" Type="http://schemas.openxmlformats.org/officeDocument/2006/relationships/hyperlink" Target="https://benefitcomply.com/supreme-court-ruling-title-vii-nondiscrimination-rules/" TargetMode="External"/><Relationship Id="rId10" Type="http://schemas.openxmlformats.org/officeDocument/2006/relationships/header" Target="header1.xml"/><Relationship Id="rId31" Type="http://schemas.openxmlformats.org/officeDocument/2006/relationships/hyperlink" Target="https://benefitcomply.com/record-retention-requirements-considerations/" TargetMode="External"/><Relationship Id="rId44" Type="http://schemas.openxmlformats.org/officeDocument/2006/relationships/hyperlink" Target="https://www.healthaffairs.org/do/10.1377/hblog20200904.528322/full/" TargetMode="External"/><Relationship Id="rId52" Type="http://schemas.openxmlformats.org/officeDocument/2006/relationships/hyperlink" Target="https://www.irs.gov/pub/irs-drop/n-20-66.pdf" TargetMode="External"/><Relationship Id="rId60" Type="http://schemas.openxmlformats.org/officeDocument/2006/relationships/hyperlink" Target="https://www.benefitcomply.com/resources/2020/08/04/covid-19-timelines/" TargetMode="External"/><Relationship Id="rId65" Type="http://schemas.openxmlformats.org/officeDocument/2006/relationships/hyperlink" Target="https://s3.amazonaws.com/public-inspection.federalregister.gov/2020-20351.pdf" TargetMode="External"/><Relationship Id="rId73" Type="http://schemas.openxmlformats.org/officeDocument/2006/relationships/hyperlink" Target="https://www.littler.com/publication-press/publication/dol-revises-ffcra-regulations-clarify-paid-leave-rules-wake-new-york" TargetMode="External"/><Relationship Id="rId78"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irs.gov/pub/irs-dft/f1095c--dft.pdf" TargetMode="External"/><Relationship Id="rId39" Type="http://schemas.openxmlformats.org/officeDocument/2006/relationships/hyperlink" Target="https://www.federalregister.gov/documents/2020/07/29/2020-16302/recapture-of-excess-employment-tax-credits-under-the-families-first-act-and-the-cares-act" TargetMode="External"/><Relationship Id="rId34" Type="http://schemas.openxmlformats.org/officeDocument/2006/relationships/hyperlink" Target="https://www.federalregister.gov/documents/2020/07/29/2020-16302/recapture-of-excess-employment-tax-credits-under-the-families-first-act-and-the-cares-act" TargetMode="External"/><Relationship Id="rId50" Type="http://schemas.openxmlformats.org/officeDocument/2006/relationships/hyperlink" Target="https://www.nelsonmullins.com/storage/EkvK4Zz3DVVlU9RqBIvBTwI7YwL7lnTnmgKYAJvM.pdf" TargetMode="External"/><Relationship Id="rId55" Type="http://schemas.openxmlformats.org/officeDocument/2006/relationships/hyperlink" Target="https://www.littler.com/publication-press/publication/dol-revises-ffcra-regulations-clarify-paid-leave-rules-wake-new-york" TargetMode="External"/><Relationship Id="rId76" Type="http://schemas.openxmlformats.org/officeDocument/2006/relationships/footer" Target="footer4.xml"/><Relationship Id="rId7" Type="http://schemas.openxmlformats.org/officeDocument/2006/relationships/webSettings" Target="webSettings.xml"/><Relationship Id="rId71" Type="http://schemas.openxmlformats.org/officeDocument/2006/relationships/hyperlink" Target="https://www.nysd.uscourts.gov/sites/default/files/2020-08/State%20of%20New%20York%20v.%20United%20States%20Department%20of%20Labor%20et%20al%2C%2020-cv-3020%20%28JPO%29.pdf" TargetMode="External"/><Relationship Id="rId2" Type="http://schemas.openxmlformats.org/officeDocument/2006/relationships/customXml" Target="../customXml/item2.xml"/><Relationship Id="rId29" Type="http://schemas.openxmlformats.org/officeDocument/2006/relationships/hyperlink" Target="https://www.dol.gov/agencies/whd/fmla/fo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Client%20satisfaction%20survey%20report%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DD6E8A713ED24886BA01C76841B757"/>
        <w:category>
          <w:name w:val="General"/>
          <w:gallery w:val="placeholder"/>
        </w:category>
        <w:types>
          <w:type w:val="bbPlcHdr"/>
        </w:types>
        <w:behaviors>
          <w:behavior w:val="content"/>
        </w:behaviors>
        <w:guid w:val="{E51F1326-DB35-8D4E-AF3C-B662E28B87E4}"/>
      </w:docPartPr>
      <w:docPartBody>
        <w:p w:rsidR="00942F34" w:rsidRDefault="00AB1C8C" w:rsidP="00AB1C8C">
          <w:pPr>
            <w:pStyle w:val="77DD6E8A713ED24886BA01C76841B757"/>
          </w:pPr>
          <w:r w:rsidRPr="005075CA">
            <w:t>ISSUE</w:t>
          </w:r>
        </w:p>
      </w:docPartBody>
    </w:docPart>
    <w:docPart>
      <w:docPartPr>
        <w:name w:val="00425432AF66B14BB3AE0386A5E99B7A"/>
        <w:category>
          <w:name w:val="General"/>
          <w:gallery w:val="placeholder"/>
        </w:category>
        <w:types>
          <w:type w:val="bbPlcHdr"/>
        </w:types>
        <w:behaviors>
          <w:behavior w:val="content"/>
        </w:behaviors>
        <w:guid w:val="{980F40A5-2D26-4942-A36E-299AEC83D5B2}"/>
      </w:docPartPr>
      <w:docPartBody>
        <w:p w:rsidR="00DB0458" w:rsidRDefault="00B61CFD" w:rsidP="00B61CFD">
          <w:pPr>
            <w:pStyle w:val="00425432AF66B14BB3AE0386A5E99B7A"/>
          </w:pPr>
          <w:r>
            <w:rPr>
              <w:lang w:val="en"/>
            </w:rPr>
            <w:t>focus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B0604020202020204"/>
    <w:charset w:val="00"/>
    <w:family w:val="roman"/>
    <w:pitch w:val="variable"/>
    <w:sig w:usb0="00000287" w:usb1="00000000" w:usb2="00000000" w:usb3="00000000" w:csb0="0000009F" w:csb1="00000000"/>
  </w:font>
  <w:font w:name="Times">
    <w:panose1 w:val="00000500000000020000"/>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8C"/>
    <w:rsid w:val="0000144E"/>
    <w:rsid w:val="0003500D"/>
    <w:rsid w:val="00075478"/>
    <w:rsid w:val="000C0F45"/>
    <w:rsid w:val="00256FD2"/>
    <w:rsid w:val="00296201"/>
    <w:rsid w:val="002D72CD"/>
    <w:rsid w:val="00461540"/>
    <w:rsid w:val="00683449"/>
    <w:rsid w:val="0070414A"/>
    <w:rsid w:val="00817030"/>
    <w:rsid w:val="00922DB4"/>
    <w:rsid w:val="00942F34"/>
    <w:rsid w:val="00AB1C8C"/>
    <w:rsid w:val="00B61CFD"/>
    <w:rsid w:val="00CF31DF"/>
    <w:rsid w:val="00DB0458"/>
    <w:rsid w:val="00DD23B4"/>
    <w:rsid w:val="00DD3932"/>
    <w:rsid w:val="00DD5987"/>
    <w:rsid w:val="00FA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DD6E8A713ED24886BA01C76841B757">
    <w:name w:val="77DD6E8A713ED24886BA01C76841B757"/>
    <w:rsid w:val="00AB1C8C"/>
  </w:style>
  <w:style w:type="paragraph" w:customStyle="1" w:styleId="00425432AF66B14BB3AE0386A5E99B7A">
    <w:name w:val="00425432AF66B14BB3AE0386A5E99B7A"/>
    <w:rsid w:val="00B61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53010-0FF8-448C-9025-17B08B4B7876}">
  <ds:schemaRefs>
    <ds:schemaRef ds:uri="http://schemas.microsoft.com/sharepoint/v3/contenttype/forms"/>
  </ds:schemaRefs>
</ds:datastoreItem>
</file>

<file path=customXml/itemProps3.xml><?xml version="1.0" encoding="utf-8"?>
<ds:datastoreItem xmlns:ds="http://schemas.openxmlformats.org/officeDocument/2006/customXml" ds:itemID="{8252BA85-BC3B-4AC0-951D-288F94E9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C:\Users\Bob\AppData\Roaming\Microsoft\Templates\Client satisfaction survey report (Red design).dotx</Template>
  <TotalTime>1</TotalTime>
  <Pages>7</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Benefit Comply Service Report</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Comply Service Report</dc:title>
  <dc:subject/>
  <dc:creator>Bob</dc:creator>
  <cp:keywords/>
  <dc:description/>
  <cp:lastModifiedBy>Anthony Radecki</cp:lastModifiedBy>
  <cp:revision>2</cp:revision>
  <cp:lastPrinted>2020-10-07T14:10:00Z</cp:lastPrinted>
  <dcterms:created xsi:type="dcterms:W3CDTF">2020-10-08T18:19:00Z</dcterms:created>
  <dcterms:modified xsi:type="dcterms:W3CDTF">2020-10-08T18:19:00Z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TC039786259991</vt:lpwstr>
  </property>
</Properties>
</file>