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6C4011C" w14:textId="640831CF" w:rsidR="00102C3F" w:rsidRDefault="00521168" w:rsidP="00D20E25">
      <w:r>
        <w:rPr>
          <w:noProof/>
        </w:rPr>
        <mc:AlternateContent>
          <mc:Choice Requires="wps">
            <w:drawing>
              <wp:anchor distT="0" distB="0" distL="114300" distR="114300" simplePos="0" relativeHeight="251656192"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7216"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375E834" w14:textId="77777777" w:rsidR="006C6E78" w:rsidRPr="006C6E78" w:rsidRDefault="006C6E78" w:rsidP="006C6E78">
      <w:pPr>
        <w:pStyle w:val="MediumGrid2-Accent11"/>
        <w:rPr>
          <w:b/>
        </w:rPr>
      </w:pPr>
      <w:r w:rsidRPr="006C6E78">
        <w:rPr>
          <w:b/>
        </w:rPr>
        <w:t>IRS Announces 2021 Health FSA &amp; Qualified Transportation Limits</w:t>
      </w:r>
    </w:p>
    <w:p w14:paraId="4D59DAF9" w14:textId="77777777" w:rsidR="006C6E78" w:rsidRPr="006C6E78" w:rsidRDefault="006C6E78" w:rsidP="006C6E78">
      <w:pPr>
        <w:pStyle w:val="MediumGrid2-Accent11"/>
        <w:rPr>
          <w:b/>
        </w:rPr>
      </w:pPr>
      <w:r w:rsidRPr="006C6E78">
        <w:rPr>
          <w:b/>
        </w:rPr>
        <w:t>Issue Date: October 2020</w:t>
      </w:r>
    </w:p>
    <w:p w14:paraId="0B325242" w14:textId="77777777" w:rsidR="006C6E78" w:rsidRPr="006C6E78" w:rsidRDefault="006C6E78" w:rsidP="006C6E78">
      <w:pPr>
        <w:pStyle w:val="MediumGrid2-Accent11"/>
      </w:pPr>
    </w:p>
    <w:p w14:paraId="248A729D" w14:textId="4A5AAA82" w:rsidR="006C6E78" w:rsidRPr="006C6E78" w:rsidRDefault="006C6E78" w:rsidP="006C6E78">
      <w:pPr>
        <w:pStyle w:val="MediumGrid2-Accent11"/>
      </w:pPr>
      <w:r w:rsidRPr="006C6E78">
        <w:t>In Revenue Procedure 2020-45, the IRS sets forth a variety of 2021 adjusted tax limits. Among other things, the notice indicates that employee contribution limits toward health flexible spending arrangements (FSAs) and qualified transportation fringe benefits are unchanged for 2021. The limit on annual employee contributions toward health FSAs for 2021 is $2,750, with the ability to carryover up to $550. The limit on monthly contributions toward qualified transpor</w:t>
      </w:r>
      <w:r w:rsidR="00D339BA">
        <w:rPr>
          <w:lang w:val="en-US"/>
        </w:rPr>
        <w:t>t</w:t>
      </w:r>
      <w:proofErr w:type="spellStart"/>
      <w:r w:rsidRPr="006C6E78">
        <w:t>ation</w:t>
      </w:r>
      <w:proofErr w:type="spellEnd"/>
      <w:r w:rsidRPr="006C6E78">
        <w:t xml:space="preserve"> and parking benefits for 2021 remains at $270. The full text of Rev. Proc. 2020-45, including 2021 amounts and limitations for other taxes, may be found at  </w:t>
      </w:r>
      <w:hyperlink r:id="rId12" w:history="1">
        <w:r w:rsidRPr="006C6E78">
          <w:rPr>
            <w:rStyle w:val="Hyperlink"/>
          </w:rPr>
          <w:t>https://www.irs.gov/pub/irs-drop/rp-20-45.pdf</w:t>
        </w:r>
      </w:hyperlink>
      <w:r w:rsidRPr="006C6E78">
        <w:t>.</w:t>
      </w:r>
    </w:p>
    <w:p w14:paraId="6E5BB332" w14:textId="77777777" w:rsidR="006C6E78" w:rsidRPr="006C6E78" w:rsidRDefault="006C6E78" w:rsidP="006C6E78">
      <w:pPr>
        <w:pStyle w:val="MediumGrid2-Accent11"/>
      </w:pPr>
    </w:p>
    <w:p w14:paraId="4EF66DEA" w14:textId="77777777" w:rsidR="006C6E78" w:rsidRPr="006C6E78" w:rsidRDefault="006C6E78" w:rsidP="006C6E78">
      <w:pPr>
        <w:pStyle w:val="MediumGrid2-Accent11"/>
        <w:rPr>
          <w:b/>
          <w:bCs/>
        </w:rPr>
      </w:pPr>
      <w:r w:rsidRPr="006C6E78">
        <w:rPr>
          <w:b/>
          <w:bCs/>
        </w:rPr>
        <w:t>Health Flexible Spending Arrangements (FSAs)</w:t>
      </w:r>
    </w:p>
    <w:p w14:paraId="5EE38173" w14:textId="474355E7" w:rsidR="006C6E78" w:rsidRPr="006C6E78" w:rsidRDefault="006C6E78" w:rsidP="006C6E78">
      <w:pPr>
        <w:pStyle w:val="MediumGrid2-Accent11"/>
      </w:pPr>
      <w:r w:rsidRPr="006C6E78">
        <w:t>The annual contribution limit of $2,750 for health FSAs applies specifically to employee contributions.</w:t>
      </w:r>
      <w:r w:rsidR="00CF5294">
        <w:rPr>
          <w:lang w:val="en-US"/>
        </w:rPr>
        <w:t xml:space="preserve"> The same limit applies for general-purpose and limited-purpose health FSAs.</w:t>
      </w:r>
      <w:r w:rsidRPr="006C6E78">
        <w:t xml:space="preserve"> Employer contributions are not subject to the limit, but are subject to different restrictions under healthcare reform rules. </w:t>
      </w:r>
    </w:p>
    <w:p w14:paraId="58E9F1A4" w14:textId="77777777" w:rsidR="006C6E78" w:rsidRPr="006C6E78" w:rsidRDefault="006C6E78" w:rsidP="006C6E78">
      <w:pPr>
        <w:pStyle w:val="MediumGrid2-Accent11"/>
      </w:pPr>
    </w:p>
    <w:p w14:paraId="21E80AC1" w14:textId="77777777" w:rsidR="006C6E78" w:rsidRPr="006C6E78" w:rsidRDefault="006C6E78" w:rsidP="006C6E78">
      <w:pPr>
        <w:pStyle w:val="MediumGrid2-Accent11"/>
        <w:ind w:left="720"/>
        <w:rPr>
          <w:u w:val="single"/>
        </w:rPr>
      </w:pPr>
      <w:r w:rsidRPr="006C6E78">
        <w:rPr>
          <w:u w:val="single"/>
        </w:rPr>
        <w:t>Employee Health FSA Contributions</w:t>
      </w:r>
    </w:p>
    <w:p w14:paraId="5DF15059" w14:textId="77777777" w:rsidR="006C6E78" w:rsidRPr="006C6E78" w:rsidRDefault="006C6E78" w:rsidP="006C6E78">
      <w:pPr>
        <w:pStyle w:val="MediumGrid2-Accent11"/>
        <w:ind w:left="720"/>
      </w:pPr>
      <w:r w:rsidRPr="006C6E78">
        <w:t>Employee contributions subject to the $2,750 annual limit include:</w:t>
      </w:r>
    </w:p>
    <w:p w14:paraId="0DA4560E" w14:textId="77777777" w:rsidR="006C6E78" w:rsidRPr="006C6E78" w:rsidRDefault="006C6E78" w:rsidP="006C6E78">
      <w:pPr>
        <w:pStyle w:val="MediumGrid2-Accent11"/>
        <w:numPr>
          <w:ilvl w:val="0"/>
          <w:numId w:val="42"/>
        </w:numPr>
        <w:ind w:left="1440"/>
      </w:pPr>
      <w:r w:rsidRPr="006C6E78">
        <w:t>Amounts deducted pre-tax from an employee’s compensation through a cafeteria plan; and</w:t>
      </w:r>
    </w:p>
    <w:p w14:paraId="748603E4" w14:textId="77777777" w:rsidR="006C6E78" w:rsidRPr="006C6E78" w:rsidRDefault="006C6E78" w:rsidP="006C6E78">
      <w:pPr>
        <w:pStyle w:val="MediumGrid2-Accent11"/>
        <w:numPr>
          <w:ilvl w:val="0"/>
          <w:numId w:val="42"/>
        </w:numPr>
        <w:ind w:left="1440"/>
      </w:pPr>
      <w:r w:rsidRPr="006C6E78">
        <w:t>Employer flex credits that the employee has the option to use toward cash or other taxable benefits.</w:t>
      </w:r>
    </w:p>
    <w:p w14:paraId="5450337E" w14:textId="77777777" w:rsidR="006C6E78" w:rsidRPr="006C6E78" w:rsidRDefault="006C6E78" w:rsidP="006C6E78">
      <w:pPr>
        <w:pStyle w:val="MediumGrid2-Accent11"/>
        <w:ind w:left="720"/>
      </w:pPr>
    </w:p>
    <w:p w14:paraId="23D457BF" w14:textId="77777777" w:rsidR="006C6E78" w:rsidRPr="006C6E78" w:rsidRDefault="006C6E78" w:rsidP="006C6E78">
      <w:pPr>
        <w:pStyle w:val="MediumGrid2-Accent11"/>
        <w:ind w:left="720"/>
      </w:pPr>
      <w:r w:rsidRPr="006C6E78">
        <w:t>Employees may elect up to $2,750 even if they’ve carried over up to $550 from the previous plan year. In addition, employees who join mid-plan year may still elect up to $2,750 for the remainder of the plan year.</w:t>
      </w:r>
    </w:p>
    <w:p w14:paraId="2436EE3D" w14:textId="77777777" w:rsidR="006C6E78" w:rsidRPr="006C6E78" w:rsidRDefault="006C6E78" w:rsidP="006C6E78">
      <w:pPr>
        <w:pStyle w:val="MediumGrid2-Accent11"/>
        <w:ind w:left="720"/>
      </w:pPr>
    </w:p>
    <w:p w14:paraId="6A5E684F" w14:textId="77777777" w:rsidR="006C6E78" w:rsidRPr="006C6E78" w:rsidRDefault="006C6E78" w:rsidP="006C6E78">
      <w:pPr>
        <w:pStyle w:val="MediumGrid2-Accent11"/>
        <w:ind w:left="720"/>
        <w:rPr>
          <w:u w:val="single"/>
        </w:rPr>
      </w:pPr>
      <w:r w:rsidRPr="006C6E78">
        <w:rPr>
          <w:u w:val="single"/>
        </w:rPr>
        <w:t>Employer Health FSA Contributions</w:t>
      </w:r>
    </w:p>
    <w:p w14:paraId="42D489D9" w14:textId="77777777" w:rsidR="006C6E78" w:rsidRPr="006C6E78" w:rsidRDefault="006C6E78" w:rsidP="006C6E78">
      <w:pPr>
        <w:pStyle w:val="MediumGrid2-Accent11"/>
        <w:ind w:left="720"/>
      </w:pPr>
      <w:r w:rsidRPr="006C6E78">
        <w:t xml:space="preserve">Employer contributions may be made in addition to the $2,750 allowed for employee contributions. However, a health FSA must meet “excepted benefit” status to avoid violating health care reform requirements. To meet excepted benefit status, the health FSA must satisfy the following two conditions: </w:t>
      </w:r>
    </w:p>
    <w:p w14:paraId="6EB919EE" w14:textId="77777777" w:rsidR="006C6E78" w:rsidRPr="006C6E78" w:rsidRDefault="006C6E78" w:rsidP="006C6E78">
      <w:pPr>
        <w:pStyle w:val="MediumGrid2-Accent11"/>
        <w:numPr>
          <w:ilvl w:val="0"/>
          <w:numId w:val="41"/>
        </w:numPr>
        <w:ind w:left="1440"/>
      </w:pPr>
      <w:r w:rsidRPr="006C6E78">
        <w:rPr>
          <w:i/>
          <w:iCs/>
        </w:rPr>
        <w:t>Maximum Benefit Condition</w:t>
      </w:r>
      <w:r w:rsidRPr="006C6E78">
        <w:t>. The maximum benefit payable under the health FSA to any participant cannot exceed the greater of: (i) 2x the participant’s salary reduction election; or (ii) the amount of the participant’s salary reduction election plus $500.</w:t>
      </w:r>
      <w:r w:rsidRPr="006C6E78">
        <w:rPr>
          <w:b/>
          <w:bCs/>
          <w:vertAlign w:val="superscript"/>
        </w:rPr>
        <w:t xml:space="preserve"> </w:t>
      </w:r>
      <w:r w:rsidRPr="006C6E78">
        <w:t xml:space="preserve">In other words, the employer can contribute up to $500 or a match of the employee’s contribution (up to $2,750 for 2021), whichever is greater. </w:t>
      </w:r>
    </w:p>
    <w:p w14:paraId="4E249FF8" w14:textId="77777777" w:rsidR="006C6E78" w:rsidRPr="006C6E78" w:rsidRDefault="006C6E78" w:rsidP="006C6E78">
      <w:pPr>
        <w:pStyle w:val="MediumGrid2-Accent11"/>
        <w:numPr>
          <w:ilvl w:val="0"/>
          <w:numId w:val="41"/>
        </w:numPr>
        <w:ind w:left="1440"/>
      </w:pPr>
      <w:r w:rsidRPr="006C6E78">
        <w:rPr>
          <w:i/>
          <w:iCs/>
        </w:rPr>
        <w:t>Availability Condition</w:t>
      </w:r>
      <w:r w:rsidRPr="006C6E78">
        <w:t xml:space="preserve">. Other non-excepted group health plan coverage (e.g., major medical coverage) must be made available for the year to those eligible to participate in the health FSA. Therefore, individuals must be </w:t>
      </w:r>
      <w:r w:rsidRPr="006C6E78">
        <w:rPr>
          <w:i/>
        </w:rPr>
        <w:t>eligible</w:t>
      </w:r>
      <w:r w:rsidRPr="006C6E78">
        <w:t xml:space="preserve"> for both a group medical plan and a health FSA, but they do not have to be enrolled in both.</w:t>
      </w:r>
    </w:p>
    <w:p w14:paraId="6E19C522" w14:textId="77777777" w:rsidR="006C6E78" w:rsidRPr="006C6E78" w:rsidRDefault="006C6E78" w:rsidP="006C6E78">
      <w:pPr>
        <w:pStyle w:val="MediumGrid2-Accent11"/>
      </w:pPr>
    </w:p>
    <w:p w14:paraId="6DAC9399" w14:textId="77777777" w:rsidR="006C6E78" w:rsidRPr="006C6E78" w:rsidRDefault="006C6E78" w:rsidP="006C6E78">
      <w:pPr>
        <w:pStyle w:val="MediumGrid2-Accent11"/>
      </w:pPr>
      <w:r w:rsidRPr="006C6E78">
        <w:t>The combination of employee and employer contributions elected for the plan year must be made available throughout the plan year to reimburse qualifying medical expenses, even if the amounts have not yet been contributed (the “uniform coverage” rule). If an employee exhausts the funds and then terminates participation mid-plan year, the employer cannot request repayment. However, if the employee does not incur enough expenses during the plan year to exhaust the amounts contributed, the employee will forfeit the remaining balance (the “use-or-lose” rule) subject to any grace period or carryover provision in place for the plan. Plans can have up to a 2 1/2-month grace period or carryover of up to $550, but never both.</w:t>
      </w:r>
    </w:p>
    <w:p w14:paraId="10A7444E" w14:textId="77777777" w:rsidR="006C6E78" w:rsidRPr="006C6E78" w:rsidRDefault="006C6E78" w:rsidP="006C6E78">
      <w:pPr>
        <w:pStyle w:val="MediumGrid2-Accent11"/>
        <w:rPr>
          <w:b/>
        </w:rPr>
      </w:pPr>
    </w:p>
    <w:p w14:paraId="7BF41137" w14:textId="77777777" w:rsidR="006C6E78" w:rsidRPr="006C6E78" w:rsidRDefault="006C6E78" w:rsidP="006C6E78">
      <w:pPr>
        <w:pStyle w:val="MediumGrid2-Accent11"/>
        <w:rPr>
          <w:b/>
          <w:bCs/>
          <w:iCs/>
        </w:rPr>
      </w:pPr>
      <w:r w:rsidRPr="006C6E78">
        <w:rPr>
          <w:b/>
          <w:bCs/>
          <w:iCs/>
        </w:rPr>
        <w:t>Qualified Transportation Fringe Benefits (Transportation &amp; Parking)</w:t>
      </w:r>
    </w:p>
    <w:p w14:paraId="5D45639D" w14:textId="784D1C62" w:rsidR="006C6E78" w:rsidRPr="006C6E78" w:rsidRDefault="006C6E78" w:rsidP="006C6E78">
      <w:pPr>
        <w:pStyle w:val="MediumGrid2-Accent11"/>
      </w:pPr>
      <w:r w:rsidRPr="006C6E78">
        <w:t>Instead of annual contribution limits, qualified transportation fring</w:t>
      </w:r>
      <w:r w:rsidR="00CF5294">
        <w:rPr>
          <w:lang w:val="en-US"/>
        </w:rPr>
        <w:t>e</w:t>
      </w:r>
      <w:r w:rsidRPr="006C6E78">
        <w:t xml:space="preserve"> benefits are subject to monthly limits. The $270 monthly limit applies separately to: (a) qualified parking; and (b) the combination of commuter highway vehicles and transit passes. An employee could elect up to $540/month to use toward a combination of transportation and parking benefits. For qualified transportation fringe benefits, both employee and employer </w:t>
      </w:r>
      <w:r w:rsidR="00C3189E">
        <w:rPr>
          <w:lang w:val="en-US"/>
        </w:rPr>
        <w:t xml:space="preserve">contributions count </w:t>
      </w:r>
      <w:r w:rsidRPr="006C6E78">
        <w:t>toward the monthly limit.</w:t>
      </w:r>
    </w:p>
    <w:p w14:paraId="4A0B68F5" w14:textId="77777777" w:rsidR="006C6E78" w:rsidRPr="006C6E78" w:rsidRDefault="006C6E78" w:rsidP="006C6E78">
      <w:pPr>
        <w:pStyle w:val="MediumGrid2-Accent11"/>
      </w:pPr>
    </w:p>
    <w:p w14:paraId="32C66090" w14:textId="3A7234A6" w:rsidR="006C6E78" w:rsidRPr="006C6E78" w:rsidRDefault="006C6E78" w:rsidP="006C6E78">
      <w:pPr>
        <w:pStyle w:val="MediumGrid2-Accent11"/>
      </w:pPr>
      <w:r w:rsidRPr="006C6E78">
        <w:t>Just like contribution limits apply monthly, employees generally have the opportunity to change elections monthly (or even more frequently</w:t>
      </w:r>
      <w:r w:rsidR="00D339BA">
        <w:rPr>
          <w:lang w:val="en-US"/>
        </w:rPr>
        <w:t>)</w:t>
      </w:r>
      <w:r w:rsidRPr="006C6E78">
        <w:t>. Unused contributions cannot be cashed out, but they can be used in subsequent months. So if an employee fails to use all amounts contributed for qualified transportation or parking benefits and then terminates coverage, the leftover amounts would be forfeited. But if the employee continues participation in the plan, and perhaps reduces contributions for future months, unused amounts from one month may be used for coverage in later months (up to $270 in any given month).</w:t>
      </w:r>
    </w:p>
    <w:p w14:paraId="7F733AD1" w14:textId="77777777" w:rsidR="006C6E78" w:rsidRPr="006C6E78" w:rsidRDefault="006C6E78" w:rsidP="006C6E78">
      <w:pPr>
        <w:pStyle w:val="MediumGrid2-Accent11"/>
      </w:pPr>
    </w:p>
    <w:p w14:paraId="02A46136" w14:textId="77777777" w:rsidR="006C6E78" w:rsidRPr="006C6E78" w:rsidRDefault="006C6E78" w:rsidP="006C6E78">
      <w:pPr>
        <w:pStyle w:val="MediumGrid2-Accent11"/>
        <w:rPr>
          <w:iCs/>
        </w:rPr>
      </w:pPr>
    </w:p>
    <w:p w14:paraId="7731FCB3" w14:textId="77777777" w:rsidR="006C6E78" w:rsidRPr="006C6E78" w:rsidRDefault="006C6E78" w:rsidP="006C6E78">
      <w:pPr>
        <w:pStyle w:val="MediumGrid2-Accent11"/>
        <w:rPr>
          <w:i/>
        </w:rPr>
      </w:pPr>
    </w:p>
    <w:p w14:paraId="53B8660D" w14:textId="77777777" w:rsidR="006C6E78" w:rsidRPr="006C6E78" w:rsidRDefault="006C6E78" w:rsidP="006C6E78">
      <w:pPr>
        <w:pStyle w:val="MediumGrid2-Accent11"/>
      </w:pPr>
      <w:r w:rsidRPr="006C6E78">
        <w:rPr>
          <w:i/>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69887A68" w14:textId="77777777" w:rsidR="002D198D" w:rsidRDefault="002D198D" w:rsidP="00D20E25">
      <w:pPr>
        <w:pStyle w:val="MediumGrid2-Accent11"/>
        <w:rPr>
          <w:lang w:val="en-US"/>
        </w:rPr>
      </w:pPr>
    </w:p>
    <w:p w14:paraId="54D535E5" w14:textId="77777777" w:rsidR="0047037D" w:rsidRDefault="0047037D" w:rsidP="00D20E25">
      <w:pPr>
        <w:pStyle w:val="MediumGrid2-Accent11"/>
        <w:rPr>
          <w:b/>
          <w:bCs/>
          <w:lang w:val="en-US"/>
        </w:rPr>
      </w:pPr>
    </w:p>
    <w:p w14:paraId="60BCDC12" w14:textId="77777777" w:rsidR="0047037D" w:rsidRDefault="0047037D" w:rsidP="00D20E25">
      <w:pPr>
        <w:pStyle w:val="MediumGrid2-Accent11"/>
        <w:rPr>
          <w:i/>
          <w:sz w:val="16"/>
          <w:szCs w:val="16"/>
        </w:rPr>
      </w:pPr>
    </w:p>
    <w:p w14:paraId="47D3152A" w14:textId="77777777" w:rsidR="0047037D" w:rsidRDefault="0047037D" w:rsidP="00D20E25">
      <w:pPr>
        <w:pStyle w:val="MediumGrid2-Accent11"/>
        <w:rPr>
          <w:i/>
          <w:sz w:val="16"/>
          <w:szCs w:val="16"/>
        </w:rPr>
      </w:pPr>
    </w:p>
    <w:p w14:paraId="1E2F7E18" w14:textId="4853899D"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6FC8" w14:textId="77777777" w:rsidR="002B1213" w:rsidRDefault="002B1213" w:rsidP="00D20E25">
      <w:r>
        <w:separator/>
      </w:r>
    </w:p>
  </w:endnote>
  <w:endnote w:type="continuationSeparator" w:id="0">
    <w:p w14:paraId="612469F5" w14:textId="77777777" w:rsidR="002B1213" w:rsidRDefault="002B1213"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44D336D3" w:rsidR="005C07B5" w:rsidRDefault="005C07B5" w:rsidP="00D20E25">
    <w:pPr>
      <w:pStyle w:val="Footer"/>
      <w:jc w:val="center"/>
      <w:rPr>
        <w:lang w:val="en-US"/>
      </w:rPr>
    </w:pPr>
    <w:r w:rsidRPr="006C7EC1">
      <w:t>© 20</w:t>
    </w:r>
    <w:r w:rsidR="0047037D">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77777777" w:rsidR="00777C72" w:rsidRDefault="005C07B5" w:rsidP="00D20E25">
    <w:pPr>
      <w:pStyle w:val="Footer"/>
      <w:jc w:val="center"/>
      <w:rPr>
        <w:lang w:val="en-US"/>
      </w:rPr>
    </w:pPr>
    <w:r>
      <w:t>© 20</w:t>
    </w:r>
    <w:r w:rsidR="00777C72">
      <w:rPr>
        <w:lang w:val="en-US"/>
      </w:rPr>
      <w:t>20</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D07B" w14:textId="77777777" w:rsidR="002B1213" w:rsidRDefault="002B1213" w:rsidP="00D20E25">
      <w:r>
        <w:separator/>
      </w:r>
    </w:p>
  </w:footnote>
  <w:footnote w:type="continuationSeparator" w:id="0">
    <w:p w14:paraId="396B9418" w14:textId="77777777" w:rsidR="002B1213" w:rsidRDefault="002B1213"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41A79"/>
    <w:multiLevelType w:val="hybridMultilevel"/>
    <w:tmpl w:val="9AF40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4"/>
  </w:num>
  <w:num w:numId="3">
    <w:abstractNumId w:val="23"/>
  </w:num>
  <w:num w:numId="4">
    <w:abstractNumId w:val="11"/>
  </w:num>
  <w:num w:numId="5">
    <w:abstractNumId w:val="28"/>
  </w:num>
  <w:num w:numId="6">
    <w:abstractNumId w:val="9"/>
  </w:num>
  <w:num w:numId="7">
    <w:abstractNumId w:val="15"/>
  </w:num>
  <w:num w:numId="8">
    <w:abstractNumId w:val="30"/>
  </w:num>
  <w:num w:numId="9">
    <w:abstractNumId w:val="18"/>
  </w:num>
  <w:num w:numId="10">
    <w:abstractNumId w:val="35"/>
  </w:num>
  <w:num w:numId="11">
    <w:abstractNumId w:val="2"/>
  </w:num>
  <w:num w:numId="12">
    <w:abstractNumId w:val="17"/>
  </w:num>
  <w:num w:numId="13">
    <w:abstractNumId w:val="22"/>
  </w:num>
  <w:num w:numId="14">
    <w:abstractNumId w:val="39"/>
  </w:num>
  <w:num w:numId="15">
    <w:abstractNumId w:val="26"/>
  </w:num>
  <w:num w:numId="16">
    <w:abstractNumId w:val="34"/>
  </w:num>
  <w:num w:numId="17">
    <w:abstractNumId w:val="12"/>
  </w:num>
  <w:num w:numId="18">
    <w:abstractNumId w:val="20"/>
  </w:num>
  <w:num w:numId="19">
    <w:abstractNumId w:val="27"/>
  </w:num>
  <w:num w:numId="20">
    <w:abstractNumId w:val="37"/>
  </w:num>
  <w:num w:numId="21">
    <w:abstractNumId w:val="19"/>
  </w:num>
  <w:num w:numId="22">
    <w:abstractNumId w:val="32"/>
  </w:num>
  <w:num w:numId="23">
    <w:abstractNumId w:val="40"/>
  </w:num>
  <w:num w:numId="24">
    <w:abstractNumId w:val="31"/>
  </w:num>
  <w:num w:numId="25">
    <w:abstractNumId w:val="16"/>
  </w:num>
  <w:num w:numId="26">
    <w:abstractNumId w:val="14"/>
  </w:num>
  <w:num w:numId="27">
    <w:abstractNumId w:val="38"/>
  </w:num>
  <w:num w:numId="28">
    <w:abstractNumId w:val="10"/>
  </w:num>
  <w:num w:numId="29">
    <w:abstractNumId w:val="3"/>
  </w:num>
  <w:num w:numId="30">
    <w:abstractNumId w:val="13"/>
  </w:num>
  <w:num w:numId="31">
    <w:abstractNumId w:val="0"/>
  </w:num>
  <w:num w:numId="32">
    <w:abstractNumId w:val="21"/>
  </w:num>
  <w:num w:numId="33">
    <w:abstractNumId w:val="7"/>
  </w:num>
  <w:num w:numId="34">
    <w:abstractNumId w:val="5"/>
  </w:num>
  <w:num w:numId="35">
    <w:abstractNumId w:val="6"/>
  </w:num>
  <w:num w:numId="36">
    <w:abstractNumId w:val="4"/>
  </w:num>
  <w:num w:numId="37">
    <w:abstractNumId w:val="29"/>
  </w:num>
  <w:num w:numId="38">
    <w:abstractNumId w:val="1"/>
  </w:num>
  <w:num w:numId="39">
    <w:abstractNumId w:val="33"/>
  </w:num>
  <w:num w:numId="40">
    <w:abstractNumId w:val="25"/>
  </w:num>
  <w:num w:numId="41">
    <w:abstractNumId w:val="21"/>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67F5"/>
    <w:rsid w:val="00086BE4"/>
    <w:rsid w:val="00090F22"/>
    <w:rsid w:val="00093BE1"/>
    <w:rsid w:val="00096B1E"/>
    <w:rsid w:val="000A1DB6"/>
    <w:rsid w:val="000A697A"/>
    <w:rsid w:val="000A797E"/>
    <w:rsid w:val="000B207F"/>
    <w:rsid w:val="000C41B5"/>
    <w:rsid w:val="000C5473"/>
    <w:rsid w:val="000E0239"/>
    <w:rsid w:val="000E03AB"/>
    <w:rsid w:val="000E668C"/>
    <w:rsid w:val="000F11E2"/>
    <w:rsid w:val="0010150B"/>
    <w:rsid w:val="00102B71"/>
    <w:rsid w:val="00102C3F"/>
    <w:rsid w:val="00103F85"/>
    <w:rsid w:val="00104680"/>
    <w:rsid w:val="001134F3"/>
    <w:rsid w:val="00113F23"/>
    <w:rsid w:val="001152AA"/>
    <w:rsid w:val="00136B3A"/>
    <w:rsid w:val="00137BDB"/>
    <w:rsid w:val="00140769"/>
    <w:rsid w:val="00142A3F"/>
    <w:rsid w:val="001432A3"/>
    <w:rsid w:val="00144A9C"/>
    <w:rsid w:val="00145D3B"/>
    <w:rsid w:val="00150473"/>
    <w:rsid w:val="00150684"/>
    <w:rsid w:val="00160335"/>
    <w:rsid w:val="00162EDC"/>
    <w:rsid w:val="00171AD4"/>
    <w:rsid w:val="001824D9"/>
    <w:rsid w:val="00187547"/>
    <w:rsid w:val="001912DE"/>
    <w:rsid w:val="0019308E"/>
    <w:rsid w:val="001A6AA9"/>
    <w:rsid w:val="001A7C6F"/>
    <w:rsid w:val="001B0158"/>
    <w:rsid w:val="001B1A88"/>
    <w:rsid w:val="001B212E"/>
    <w:rsid w:val="001C1FBC"/>
    <w:rsid w:val="001C256F"/>
    <w:rsid w:val="001C70AE"/>
    <w:rsid w:val="001D1306"/>
    <w:rsid w:val="001D2D6E"/>
    <w:rsid w:val="001D58D8"/>
    <w:rsid w:val="001D745D"/>
    <w:rsid w:val="001E1A83"/>
    <w:rsid w:val="001E2972"/>
    <w:rsid w:val="001E37F9"/>
    <w:rsid w:val="001E622E"/>
    <w:rsid w:val="001E68E8"/>
    <w:rsid w:val="001F0404"/>
    <w:rsid w:val="001F20E5"/>
    <w:rsid w:val="001F4334"/>
    <w:rsid w:val="001F7E84"/>
    <w:rsid w:val="0020023D"/>
    <w:rsid w:val="00200664"/>
    <w:rsid w:val="0020685D"/>
    <w:rsid w:val="00211FC6"/>
    <w:rsid w:val="002168E8"/>
    <w:rsid w:val="00226E7A"/>
    <w:rsid w:val="00231306"/>
    <w:rsid w:val="00235819"/>
    <w:rsid w:val="00246370"/>
    <w:rsid w:val="00247077"/>
    <w:rsid w:val="00255A5D"/>
    <w:rsid w:val="00261EFA"/>
    <w:rsid w:val="00270D0F"/>
    <w:rsid w:val="00273D4E"/>
    <w:rsid w:val="002743FF"/>
    <w:rsid w:val="00277CAA"/>
    <w:rsid w:val="0029167B"/>
    <w:rsid w:val="002A51D5"/>
    <w:rsid w:val="002B061B"/>
    <w:rsid w:val="002B1213"/>
    <w:rsid w:val="002B12A4"/>
    <w:rsid w:val="002C078D"/>
    <w:rsid w:val="002C4ADB"/>
    <w:rsid w:val="002C7644"/>
    <w:rsid w:val="002D198D"/>
    <w:rsid w:val="002D2E6A"/>
    <w:rsid w:val="002D6E4B"/>
    <w:rsid w:val="002E3F16"/>
    <w:rsid w:val="002E41EF"/>
    <w:rsid w:val="002F1D78"/>
    <w:rsid w:val="002F2BFF"/>
    <w:rsid w:val="002F3FBC"/>
    <w:rsid w:val="002F5B6A"/>
    <w:rsid w:val="002F7CDF"/>
    <w:rsid w:val="002F7E7A"/>
    <w:rsid w:val="00305FF6"/>
    <w:rsid w:val="003105DC"/>
    <w:rsid w:val="00310796"/>
    <w:rsid w:val="00311883"/>
    <w:rsid w:val="00311D22"/>
    <w:rsid w:val="00314066"/>
    <w:rsid w:val="00317F9F"/>
    <w:rsid w:val="003231B2"/>
    <w:rsid w:val="00327CAE"/>
    <w:rsid w:val="00332855"/>
    <w:rsid w:val="003332F7"/>
    <w:rsid w:val="0033539F"/>
    <w:rsid w:val="00337651"/>
    <w:rsid w:val="00341F9B"/>
    <w:rsid w:val="00342727"/>
    <w:rsid w:val="0034691B"/>
    <w:rsid w:val="00351813"/>
    <w:rsid w:val="003536E9"/>
    <w:rsid w:val="00355C5F"/>
    <w:rsid w:val="0035725D"/>
    <w:rsid w:val="003606B3"/>
    <w:rsid w:val="00360D2B"/>
    <w:rsid w:val="00367D54"/>
    <w:rsid w:val="00373838"/>
    <w:rsid w:val="0037534B"/>
    <w:rsid w:val="00376CF8"/>
    <w:rsid w:val="00376E7C"/>
    <w:rsid w:val="00377A73"/>
    <w:rsid w:val="00383956"/>
    <w:rsid w:val="00386166"/>
    <w:rsid w:val="003902B6"/>
    <w:rsid w:val="003902B9"/>
    <w:rsid w:val="00391C98"/>
    <w:rsid w:val="0039272A"/>
    <w:rsid w:val="00397F1D"/>
    <w:rsid w:val="003A15A0"/>
    <w:rsid w:val="003A234A"/>
    <w:rsid w:val="003A4580"/>
    <w:rsid w:val="003A5845"/>
    <w:rsid w:val="003A5F0F"/>
    <w:rsid w:val="003B0730"/>
    <w:rsid w:val="003B180D"/>
    <w:rsid w:val="003B2A42"/>
    <w:rsid w:val="003B7105"/>
    <w:rsid w:val="003C5B3D"/>
    <w:rsid w:val="003D2FCB"/>
    <w:rsid w:val="003D3ABE"/>
    <w:rsid w:val="003D5BB6"/>
    <w:rsid w:val="003E5815"/>
    <w:rsid w:val="003F1194"/>
    <w:rsid w:val="003F2783"/>
    <w:rsid w:val="0040100E"/>
    <w:rsid w:val="004019B7"/>
    <w:rsid w:val="00402CF5"/>
    <w:rsid w:val="00403DFE"/>
    <w:rsid w:val="004067B9"/>
    <w:rsid w:val="00410AFB"/>
    <w:rsid w:val="00411921"/>
    <w:rsid w:val="00413426"/>
    <w:rsid w:val="004164F1"/>
    <w:rsid w:val="00421453"/>
    <w:rsid w:val="00421B4B"/>
    <w:rsid w:val="00424799"/>
    <w:rsid w:val="00425A06"/>
    <w:rsid w:val="00442014"/>
    <w:rsid w:val="00442266"/>
    <w:rsid w:val="0045000F"/>
    <w:rsid w:val="00453012"/>
    <w:rsid w:val="00453816"/>
    <w:rsid w:val="0046122B"/>
    <w:rsid w:val="00464CBE"/>
    <w:rsid w:val="00467218"/>
    <w:rsid w:val="00467FDA"/>
    <w:rsid w:val="0047037D"/>
    <w:rsid w:val="004827D1"/>
    <w:rsid w:val="004870C3"/>
    <w:rsid w:val="00487B4C"/>
    <w:rsid w:val="004A39D7"/>
    <w:rsid w:val="004A65BB"/>
    <w:rsid w:val="004B2781"/>
    <w:rsid w:val="004B2E8E"/>
    <w:rsid w:val="004B3E30"/>
    <w:rsid w:val="004B4147"/>
    <w:rsid w:val="004B6441"/>
    <w:rsid w:val="004C685A"/>
    <w:rsid w:val="004D6488"/>
    <w:rsid w:val="004D76A4"/>
    <w:rsid w:val="004E114C"/>
    <w:rsid w:val="004E22B0"/>
    <w:rsid w:val="004E4565"/>
    <w:rsid w:val="004F0122"/>
    <w:rsid w:val="004F2946"/>
    <w:rsid w:val="004F38E5"/>
    <w:rsid w:val="004F4484"/>
    <w:rsid w:val="004F671B"/>
    <w:rsid w:val="00501E0D"/>
    <w:rsid w:val="0051372C"/>
    <w:rsid w:val="00515240"/>
    <w:rsid w:val="00515A9A"/>
    <w:rsid w:val="00521168"/>
    <w:rsid w:val="00521F45"/>
    <w:rsid w:val="0052609C"/>
    <w:rsid w:val="00532F84"/>
    <w:rsid w:val="00535F03"/>
    <w:rsid w:val="005378A2"/>
    <w:rsid w:val="00540CCF"/>
    <w:rsid w:val="00554B62"/>
    <w:rsid w:val="00554D66"/>
    <w:rsid w:val="0055601F"/>
    <w:rsid w:val="0055764A"/>
    <w:rsid w:val="00564D20"/>
    <w:rsid w:val="005660E9"/>
    <w:rsid w:val="0056690A"/>
    <w:rsid w:val="005718C3"/>
    <w:rsid w:val="005816B0"/>
    <w:rsid w:val="00581F18"/>
    <w:rsid w:val="00584C07"/>
    <w:rsid w:val="00584F1A"/>
    <w:rsid w:val="005851D4"/>
    <w:rsid w:val="00586571"/>
    <w:rsid w:val="0058733A"/>
    <w:rsid w:val="005926DA"/>
    <w:rsid w:val="00595A34"/>
    <w:rsid w:val="005B0103"/>
    <w:rsid w:val="005B2609"/>
    <w:rsid w:val="005B4E77"/>
    <w:rsid w:val="005C07B5"/>
    <w:rsid w:val="005C2382"/>
    <w:rsid w:val="005D1DEB"/>
    <w:rsid w:val="005D2525"/>
    <w:rsid w:val="005E0615"/>
    <w:rsid w:val="005E4301"/>
    <w:rsid w:val="005E74DC"/>
    <w:rsid w:val="005F0D4C"/>
    <w:rsid w:val="005F1993"/>
    <w:rsid w:val="005F2269"/>
    <w:rsid w:val="005F3780"/>
    <w:rsid w:val="005F4D3F"/>
    <w:rsid w:val="005F6038"/>
    <w:rsid w:val="005F683F"/>
    <w:rsid w:val="00600FC4"/>
    <w:rsid w:val="006034D7"/>
    <w:rsid w:val="00605355"/>
    <w:rsid w:val="006102F4"/>
    <w:rsid w:val="00613D28"/>
    <w:rsid w:val="006149F2"/>
    <w:rsid w:val="006158BC"/>
    <w:rsid w:val="00615DB3"/>
    <w:rsid w:val="00616FD0"/>
    <w:rsid w:val="006267B7"/>
    <w:rsid w:val="00633D0E"/>
    <w:rsid w:val="006466D7"/>
    <w:rsid w:val="00652E75"/>
    <w:rsid w:val="006577E9"/>
    <w:rsid w:val="00667C3C"/>
    <w:rsid w:val="006717AA"/>
    <w:rsid w:val="0067395F"/>
    <w:rsid w:val="00675439"/>
    <w:rsid w:val="00683EE3"/>
    <w:rsid w:val="00685C8D"/>
    <w:rsid w:val="00686AFD"/>
    <w:rsid w:val="006924DC"/>
    <w:rsid w:val="0069560F"/>
    <w:rsid w:val="00696ABA"/>
    <w:rsid w:val="006A167F"/>
    <w:rsid w:val="006A61F3"/>
    <w:rsid w:val="006B1545"/>
    <w:rsid w:val="006B1E0F"/>
    <w:rsid w:val="006B23FC"/>
    <w:rsid w:val="006B28BC"/>
    <w:rsid w:val="006B35C9"/>
    <w:rsid w:val="006C3EE1"/>
    <w:rsid w:val="006C6E78"/>
    <w:rsid w:val="006C7B72"/>
    <w:rsid w:val="006C7EC1"/>
    <w:rsid w:val="006D14FE"/>
    <w:rsid w:val="006D5631"/>
    <w:rsid w:val="006E0D2A"/>
    <w:rsid w:val="006E1247"/>
    <w:rsid w:val="006E42C0"/>
    <w:rsid w:val="006E7E55"/>
    <w:rsid w:val="006F6C41"/>
    <w:rsid w:val="0070115B"/>
    <w:rsid w:val="00701E9A"/>
    <w:rsid w:val="00702E6B"/>
    <w:rsid w:val="00704336"/>
    <w:rsid w:val="00705AFD"/>
    <w:rsid w:val="00713909"/>
    <w:rsid w:val="00713D88"/>
    <w:rsid w:val="007208C3"/>
    <w:rsid w:val="00736A9B"/>
    <w:rsid w:val="007508F7"/>
    <w:rsid w:val="0075284B"/>
    <w:rsid w:val="007571ED"/>
    <w:rsid w:val="00764D79"/>
    <w:rsid w:val="007705AC"/>
    <w:rsid w:val="007709F7"/>
    <w:rsid w:val="00771E34"/>
    <w:rsid w:val="00776816"/>
    <w:rsid w:val="007773AA"/>
    <w:rsid w:val="00777C72"/>
    <w:rsid w:val="00781D99"/>
    <w:rsid w:val="007821CE"/>
    <w:rsid w:val="0078577D"/>
    <w:rsid w:val="00785C03"/>
    <w:rsid w:val="00787C9C"/>
    <w:rsid w:val="007908B7"/>
    <w:rsid w:val="00793F43"/>
    <w:rsid w:val="007A5C28"/>
    <w:rsid w:val="007A5F8B"/>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F33CC"/>
    <w:rsid w:val="007F34B4"/>
    <w:rsid w:val="007F5AD3"/>
    <w:rsid w:val="007F74EB"/>
    <w:rsid w:val="008020F4"/>
    <w:rsid w:val="0080349F"/>
    <w:rsid w:val="00804237"/>
    <w:rsid w:val="008052A3"/>
    <w:rsid w:val="00807AED"/>
    <w:rsid w:val="00807B7A"/>
    <w:rsid w:val="008100A8"/>
    <w:rsid w:val="00820177"/>
    <w:rsid w:val="0082082D"/>
    <w:rsid w:val="0083063B"/>
    <w:rsid w:val="00830ADC"/>
    <w:rsid w:val="00833027"/>
    <w:rsid w:val="008351DA"/>
    <w:rsid w:val="008362F4"/>
    <w:rsid w:val="00840509"/>
    <w:rsid w:val="008477BE"/>
    <w:rsid w:val="00853CBD"/>
    <w:rsid w:val="00855527"/>
    <w:rsid w:val="008557A4"/>
    <w:rsid w:val="00861448"/>
    <w:rsid w:val="008615C4"/>
    <w:rsid w:val="0086304F"/>
    <w:rsid w:val="008655E0"/>
    <w:rsid w:val="00866B99"/>
    <w:rsid w:val="0087409B"/>
    <w:rsid w:val="008928A9"/>
    <w:rsid w:val="008932B8"/>
    <w:rsid w:val="00897617"/>
    <w:rsid w:val="008A2216"/>
    <w:rsid w:val="008A5DF8"/>
    <w:rsid w:val="008A65DA"/>
    <w:rsid w:val="008B7373"/>
    <w:rsid w:val="008C712B"/>
    <w:rsid w:val="008D0598"/>
    <w:rsid w:val="008D2CED"/>
    <w:rsid w:val="008D3E7A"/>
    <w:rsid w:val="008D5BAD"/>
    <w:rsid w:val="008E2AFE"/>
    <w:rsid w:val="008E2D74"/>
    <w:rsid w:val="008E4117"/>
    <w:rsid w:val="008F0F5D"/>
    <w:rsid w:val="008F6B65"/>
    <w:rsid w:val="00920883"/>
    <w:rsid w:val="00922438"/>
    <w:rsid w:val="009312C4"/>
    <w:rsid w:val="00935D00"/>
    <w:rsid w:val="00937411"/>
    <w:rsid w:val="00941C8D"/>
    <w:rsid w:val="00951D03"/>
    <w:rsid w:val="009536DD"/>
    <w:rsid w:val="00953A12"/>
    <w:rsid w:val="00953E85"/>
    <w:rsid w:val="00954AA6"/>
    <w:rsid w:val="00977366"/>
    <w:rsid w:val="009832FD"/>
    <w:rsid w:val="0099275F"/>
    <w:rsid w:val="009A4AD6"/>
    <w:rsid w:val="009B0614"/>
    <w:rsid w:val="009B3D09"/>
    <w:rsid w:val="009B4ECC"/>
    <w:rsid w:val="009B580E"/>
    <w:rsid w:val="009B5ABE"/>
    <w:rsid w:val="009C3F26"/>
    <w:rsid w:val="009C5E1D"/>
    <w:rsid w:val="009C6F68"/>
    <w:rsid w:val="009D2536"/>
    <w:rsid w:val="009D30FA"/>
    <w:rsid w:val="009D3637"/>
    <w:rsid w:val="009D6B8F"/>
    <w:rsid w:val="009D73B3"/>
    <w:rsid w:val="009E2006"/>
    <w:rsid w:val="009E21BA"/>
    <w:rsid w:val="009E2F97"/>
    <w:rsid w:val="009E43E3"/>
    <w:rsid w:val="009E7E96"/>
    <w:rsid w:val="009F0EFE"/>
    <w:rsid w:val="009F1035"/>
    <w:rsid w:val="009F112E"/>
    <w:rsid w:val="009F1736"/>
    <w:rsid w:val="009F664E"/>
    <w:rsid w:val="00A04BF4"/>
    <w:rsid w:val="00A065E4"/>
    <w:rsid w:val="00A06657"/>
    <w:rsid w:val="00A10143"/>
    <w:rsid w:val="00A10ACE"/>
    <w:rsid w:val="00A139C1"/>
    <w:rsid w:val="00A20097"/>
    <w:rsid w:val="00A21DC4"/>
    <w:rsid w:val="00A32D97"/>
    <w:rsid w:val="00A35CFA"/>
    <w:rsid w:val="00A45E46"/>
    <w:rsid w:val="00A50245"/>
    <w:rsid w:val="00A51D54"/>
    <w:rsid w:val="00A54B1E"/>
    <w:rsid w:val="00A62B5A"/>
    <w:rsid w:val="00A65FD1"/>
    <w:rsid w:val="00A671B6"/>
    <w:rsid w:val="00A72ADC"/>
    <w:rsid w:val="00A92AE3"/>
    <w:rsid w:val="00A94DC8"/>
    <w:rsid w:val="00A9585D"/>
    <w:rsid w:val="00A960B0"/>
    <w:rsid w:val="00AA285A"/>
    <w:rsid w:val="00AA3E90"/>
    <w:rsid w:val="00AA6A57"/>
    <w:rsid w:val="00AB08D4"/>
    <w:rsid w:val="00AB0F84"/>
    <w:rsid w:val="00AB1C85"/>
    <w:rsid w:val="00AB2DCF"/>
    <w:rsid w:val="00AC60D1"/>
    <w:rsid w:val="00AD14A0"/>
    <w:rsid w:val="00AD4422"/>
    <w:rsid w:val="00AD5E20"/>
    <w:rsid w:val="00AE1425"/>
    <w:rsid w:val="00AE2B47"/>
    <w:rsid w:val="00AE33B8"/>
    <w:rsid w:val="00AF0B9D"/>
    <w:rsid w:val="00AF16AA"/>
    <w:rsid w:val="00AF2D80"/>
    <w:rsid w:val="00AF61C3"/>
    <w:rsid w:val="00B03D53"/>
    <w:rsid w:val="00B044DF"/>
    <w:rsid w:val="00B13068"/>
    <w:rsid w:val="00B14799"/>
    <w:rsid w:val="00B15106"/>
    <w:rsid w:val="00B16218"/>
    <w:rsid w:val="00B23092"/>
    <w:rsid w:val="00B3020C"/>
    <w:rsid w:val="00B32724"/>
    <w:rsid w:val="00B347E4"/>
    <w:rsid w:val="00B37088"/>
    <w:rsid w:val="00B44187"/>
    <w:rsid w:val="00B470C4"/>
    <w:rsid w:val="00B51719"/>
    <w:rsid w:val="00B53A94"/>
    <w:rsid w:val="00B554D2"/>
    <w:rsid w:val="00B55BBA"/>
    <w:rsid w:val="00B57B5E"/>
    <w:rsid w:val="00B6090B"/>
    <w:rsid w:val="00B61220"/>
    <w:rsid w:val="00B63C1D"/>
    <w:rsid w:val="00B66B60"/>
    <w:rsid w:val="00B75CBA"/>
    <w:rsid w:val="00B76EE4"/>
    <w:rsid w:val="00B77E7B"/>
    <w:rsid w:val="00B803FC"/>
    <w:rsid w:val="00B8463D"/>
    <w:rsid w:val="00B85CE3"/>
    <w:rsid w:val="00B90848"/>
    <w:rsid w:val="00B9310B"/>
    <w:rsid w:val="00B9448D"/>
    <w:rsid w:val="00B96BF7"/>
    <w:rsid w:val="00BA0FD3"/>
    <w:rsid w:val="00BA6FBA"/>
    <w:rsid w:val="00BB01DD"/>
    <w:rsid w:val="00BC1E4F"/>
    <w:rsid w:val="00BC5BB5"/>
    <w:rsid w:val="00BC6C2A"/>
    <w:rsid w:val="00BD04F4"/>
    <w:rsid w:val="00BD2EC1"/>
    <w:rsid w:val="00BE0984"/>
    <w:rsid w:val="00BE1037"/>
    <w:rsid w:val="00BE24DE"/>
    <w:rsid w:val="00BE5FA7"/>
    <w:rsid w:val="00BF49EF"/>
    <w:rsid w:val="00BF4E48"/>
    <w:rsid w:val="00C0500E"/>
    <w:rsid w:val="00C14297"/>
    <w:rsid w:val="00C23BF9"/>
    <w:rsid w:val="00C24151"/>
    <w:rsid w:val="00C24CC8"/>
    <w:rsid w:val="00C24FCB"/>
    <w:rsid w:val="00C30FAA"/>
    <w:rsid w:val="00C3189E"/>
    <w:rsid w:val="00C37884"/>
    <w:rsid w:val="00C43186"/>
    <w:rsid w:val="00C60F20"/>
    <w:rsid w:val="00C61CCE"/>
    <w:rsid w:val="00C62CC2"/>
    <w:rsid w:val="00C70F5A"/>
    <w:rsid w:val="00C83A55"/>
    <w:rsid w:val="00C85BF0"/>
    <w:rsid w:val="00C87D79"/>
    <w:rsid w:val="00CA6438"/>
    <w:rsid w:val="00CB0C4C"/>
    <w:rsid w:val="00CB2087"/>
    <w:rsid w:val="00CB7F8B"/>
    <w:rsid w:val="00CC5C69"/>
    <w:rsid w:val="00CD3AB1"/>
    <w:rsid w:val="00CD6579"/>
    <w:rsid w:val="00CD6C4A"/>
    <w:rsid w:val="00CE15AE"/>
    <w:rsid w:val="00CE2D96"/>
    <w:rsid w:val="00CE6B1B"/>
    <w:rsid w:val="00CF5294"/>
    <w:rsid w:val="00CF6E62"/>
    <w:rsid w:val="00D00064"/>
    <w:rsid w:val="00D0013D"/>
    <w:rsid w:val="00D04A21"/>
    <w:rsid w:val="00D05C20"/>
    <w:rsid w:val="00D10175"/>
    <w:rsid w:val="00D11913"/>
    <w:rsid w:val="00D12D97"/>
    <w:rsid w:val="00D12E64"/>
    <w:rsid w:val="00D1467F"/>
    <w:rsid w:val="00D20023"/>
    <w:rsid w:val="00D209A7"/>
    <w:rsid w:val="00D20E25"/>
    <w:rsid w:val="00D2204C"/>
    <w:rsid w:val="00D26A4E"/>
    <w:rsid w:val="00D31672"/>
    <w:rsid w:val="00D32DF1"/>
    <w:rsid w:val="00D339BA"/>
    <w:rsid w:val="00D36388"/>
    <w:rsid w:val="00D44E36"/>
    <w:rsid w:val="00D513B0"/>
    <w:rsid w:val="00D51832"/>
    <w:rsid w:val="00D53AA5"/>
    <w:rsid w:val="00D636DB"/>
    <w:rsid w:val="00D67829"/>
    <w:rsid w:val="00D73543"/>
    <w:rsid w:val="00D75540"/>
    <w:rsid w:val="00D76D80"/>
    <w:rsid w:val="00D82A96"/>
    <w:rsid w:val="00D84DDC"/>
    <w:rsid w:val="00D87ED1"/>
    <w:rsid w:val="00D93AFE"/>
    <w:rsid w:val="00D951AF"/>
    <w:rsid w:val="00D95C74"/>
    <w:rsid w:val="00D967F0"/>
    <w:rsid w:val="00D975E7"/>
    <w:rsid w:val="00DA0175"/>
    <w:rsid w:val="00DA1860"/>
    <w:rsid w:val="00DA5084"/>
    <w:rsid w:val="00DA5878"/>
    <w:rsid w:val="00DA6314"/>
    <w:rsid w:val="00DB1126"/>
    <w:rsid w:val="00DB1B08"/>
    <w:rsid w:val="00DB46C3"/>
    <w:rsid w:val="00DB553D"/>
    <w:rsid w:val="00DC5B8F"/>
    <w:rsid w:val="00DC715C"/>
    <w:rsid w:val="00DC76EB"/>
    <w:rsid w:val="00DD1020"/>
    <w:rsid w:val="00DD1F73"/>
    <w:rsid w:val="00DD3692"/>
    <w:rsid w:val="00DE2CB3"/>
    <w:rsid w:val="00DE2CEC"/>
    <w:rsid w:val="00DE2E6F"/>
    <w:rsid w:val="00DE3D73"/>
    <w:rsid w:val="00DE428B"/>
    <w:rsid w:val="00DF24C0"/>
    <w:rsid w:val="00DF5014"/>
    <w:rsid w:val="00DF5D23"/>
    <w:rsid w:val="00E0273B"/>
    <w:rsid w:val="00E03088"/>
    <w:rsid w:val="00E10762"/>
    <w:rsid w:val="00E15EAE"/>
    <w:rsid w:val="00E17B5E"/>
    <w:rsid w:val="00E269D4"/>
    <w:rsid w:val="00E27423"/>
    <w:rsid w:val="00E30F4F"/>
    <w:rsid w:val="00E34058"/>
    <w:rsid w:val="00E37B09"/>
    <w:rsid w:val="00E44F0B"/>
    <w:rsid w:val="00E46F87"/>
    <w:rsid w:val="00E53468"/>
    <w:rsid w:val="00E53CBA"/>
    <w:rsid w:val="00E60066"/>
    <w:rsid w:val="00E76581"/>
    <w:rsid w:val="00E773C4"/>
    <w:rsid w:val="00E85813"/>
    <w:rsid w:val="00E85FF7"/>
    <w:rsid w:val="00EA7801"/>
    <w:rsid w:val="00EB2B80"/>
    <w:rsid w:val="00EB51B4"/>
    <w:rsid w:val="00EB6293"/>
    <w:rsid w:val="00EB76AE"/>
    <w:rsid w:val="00EC224B"/>
    <w:rsid w:val="00EC7661"/>
    <w:rsid w:val="00ED0E7A"/>
    <w:rsid w:val="00ED3020"/>
    <w:rsid w:val="00EE0D2F"/>
    <w:rsid w:val="00EE57CF"/>
    <w:rsid w:val="00EF1C04"/>
    <w:rsid w:val="00EF7919"/>
    <w:rsid w:val="00F03C4B"/>
    <w:rsid w:val="00F04145"/>
    <w:rsid w:val="00F05E10"/>
    <w:rsid w:val="00F06079"/>
    <w:rsid w:val="00F33F3C"/>
    <w:rsid w:val="00F3534D"/>
    <w:rsid w:val="00F40D38"/>
    <w:rsid w:val="00F4702D"/>
    <w:rsid w:val="00F50A82"/>
    <w:rsid w:val="00F51BB5"/>
    <w:rsid w:val="00F51DF1"/>
    <w:rsid w:val="00F535E7"/>
    <w:rsid w:val="00F55CEF"/>
    <w:rsid w:val="00F562CC"/>
    <w:rsid w:val="00F617E4"/>
    <w:rsid w:val="00F63D69"/>
    <w:rsid w:val="00F64CBE"/>
    <w:rsid w:val="00F75275"/>
    <w:rsid w:val="00F80D9C"/>
    <w:rsid w:val="00F83367"/>
    <w:rsid w:val="00F877B8"/>
    <w:rsid w:val="00F91499"/>
    <w:rsid w:val="00F91756"/>
    <w:rsid w:val="00F942A1"/>
    <w:rsid w:val="00F949F2"/>
    <w:rsid w:val="00F96382"/>
    <w:rsid w:val="00F96597"/>
    <w:rsid w:val="00FA0739"/>
    <w:rsid w:val="00FA2F25"/>
    <w:rsid w:val="00FA4C44"/>
    <w:rsid w:val="00FA7D1E"/>
    <w:rsid w:val="00FB0360"/>
    <w:rsid w:val="00FB1408"/>
    <w:rsid w:val="00FB3435"/>
    <w:rsid w:val="00FB6812"/>
    <w:rsid w:val="00FD0F26"/>
    <w:rsid w:val="00FD20BF"/>
    <w:rsid w:val="00FD74A4"/>
    <w:rsid w:val="00FE5F9B"/>
    <w:rsid w:val="00FE7E7C"/>
    <w:rsid w:val="00FF1F6A"/>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rp-20-4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9A21-5F47-4691-86F2-18834BAA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0F39D-F85A-AD49-A369-661D5E51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2020-10-27T15:37:00Z</dcterms:created>
  <dcterms:modified xsi:type="dcterms:W3CDTF">2020-10-27T15:37:00Z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