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1989" w14:textId="5D000600" w:rsidR="00102C3F" w:rsidRDefault="000E7039" w:rsidP="00D20E25">
      <w:r>
        <w:rPr>
          <w:noProof/>
        </w:rPr>
        <mc:AlternateContent>
          <mc:Choice Requires="wps">
            <w:drawing>
              <wp:anchor distT="0" distB="0" distL="114300" distR="114300" simplePos="0" relativeHeight="251657216" behindDoc="0" locked="0" layoutInCell="1" allowOverlap="1" wp14:anchorId="0B0B3D14" wp14:editId="10A31F9A">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3D14"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4932DCCA" wp14:editId="024DED6C">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D72A3" w14:textId="77777777" w:rsidR="00383956" w:rsidRDefault="00383956" w:rsidP="00D20E25">
      <w:pPr>
        <w:pStyle w:val="Heading1"/>
      </w:pPr>
    </w:p>
    <w:p w14:paraId="76DC03E8" w14:textId="77777777" w:rsidR="0061684C" w:rsidRPr="00317FA1" w:rsidRDefault="0061684C" w:rsidP="0061684C">
      <w:pPr>
        <w:pStyle w:val="MediumGrid2-Accent11"/>
        <w:rPr>
          <w:b/>
          <w:bCs/>
          <w:sz w:val="24"/>
          <w:szCs w:val="24"/>
          <w:lang w:val="en-US"/>
        </w:rPr>
      </w:pPr>
      <w:r>
        <w:rPr>
          <w:b/>
          <w:bCs/>
          <w:sz w:val="24"/>
          <w:szCs w:val="24"/>
          <w:lang w:val="en-US"/>
        </w:rPr>
        <w:t>Updated</w:t>
      </w:r>
      <w:r w:rsidRPr="00A14BE0">
        <w:rPr>
          <w:b/>
          <w:bCs/>
          <w:sz w:val="24"/>
          <w:szCs w:val="24"/>
        </w:rPr>
        <w:t xml:space="preserve"> PCORI Fees </w:t>
      </w:r>
      <w:r>
        <w:rPr>
          <w:b/>
          <w:bCs/>
          <w:sz w:val="24"/>
          <w:szCs w:val="24"/>
          <w:lang w:val="en-US"/>
        </w:rPr>
        <w:t>Released</w:t>
      </w:r>
    </w:p>
    <w:p w14:paraId="718EDBC8" w14:textId="77777777" w:rsidR="0061684C" w:rsidRPr="00ED14BC" w:rsidRDefault="0061684C" w:rsidP="0061684C">
      <w:pPr>
        <w:pStyle w:val="MediumGrid2-Accent11"/>
        <w:rPr>
          <w:b/>
          <w:bCs/>
        </w:rPr>
      </w:pPr>
    </w:p>
    <w:p w14:paraId="10927548" w14:textId="2873A216" w:rsidR="0061684C" w:rsidRPr="00A14BE0" w:rsidRDefault="0061684C" w:rsidP="0061684C">
      <w:pPr>
        <w:pStyle w:val="MediumGrid2-Accent11"/>
        <w:rPr>
          <w:b/>
          <w:bCs/>
          <w:lang w:val="en-US"/>
        </w:rPr>
      </w:pPr>
      <w:r w:rsidRPr="00A14BE0">
        <w:rPr>
          <w:b/>
          <w:bCs/>
        </w:rPr>
        <w:t xml:space="preserve">Issue Date: </w:t>
      </w:r>
      <w:r w:rsidR="0099032C">
        <w:rPr>
          <w:b/>
          <w:bCs/>
          <w:lang w:val="en-US"/>
        </w:rPr>
        <w:t>December 2</w:t>
      </w:r>
      <w:r w:rsidR="00946019">
        <w:rPr>
          <w:b/>
          <w:bCs/>
          <w:lang w:val="en-US"/>
        </w:rPr>
        <w:t>,</w:t>
      </w:r>
      <w:r w:rsidRPr="00A14BE0">
        <w:rPr>
          <w:b/>
          <w:bCs/>
        </w:rPr>
        <w:t xml:space="preserve"> 20</w:t>
      </w:r>
      <w:r w:rsidRPr="00A14BE0">
        <w:rPr>
          <w:b/>
          <w:bCs/>
          <w:lang w:val="en-US"/>
        </w:rPr>
        <w:t>20</w:t>
      </w:r>
    </w:p>
    <w:p w14:paraId="5DA9F4BD" w14:textId="77777777" w:rsidR="0061684C" w:rsidRPr="00ED14BC" w:rsidRDefault="0061684C" w:rsidP="0061684C">
      <w:pPr>
        <w:pStyle w:val="MediumGrid2-Accent11"/>
      </w:pPr>
    </w:p>
    <w:p w14:paraId="29DA7A81" w14:textId="57892296" w:rsidR="0061684C" w:rsidRPr="00191E3C" w:rsidRDefault="0061684C" w:rsidP="0061684C">
      <w:pPr>
        <w:pStyle w:val="MediumGrid2-Accent11"/>
        <w:rPr>
          <w:lang w:val="en-US"/>
        </w:rPr>
      </w:pPr>
      <w:r>
        <w:rPr>
          <w:lang w:val="en-US"/>
        </w:rPr>
        <w:t>In Notice 2020-</w:t>
      </w:r>
      <w:r w:rsidR="00946019">
        <w:rPr>
          <w:lang w:val="en-US"/>
        </w:rPr>
        <w:t>8</w:t>
      </w:r>
      <w:r>
        <w:rPr>
          <w:lang w:val="en-US"/>
        </w:rPr>
        <w:t>4, the IRS provided the adjusted PCORI fee</w:t>
      </w:r>
      <w:r w:rsidR="00691CB9">
        <w:rPr>
          <w:lang w:val="en-US"/>
        </w:rPr>
        <w:t xml:space="preserve"> of $2.66</w:t>
      </w:r>
      <w:r>
        <w:rPr>
          <w:lang w:val="en-US"/>
        </w:rPr>
        <w:t xml:space="preserve"> for plan years ending in October 20</w:t>
      </w:r>
      <w:r w:rsidR="00946019">
        <w:rPr>
          <w:lang w:val="en-US"/>
        </w:rPr>
        <w:t>20</w:t>
      </w:r>
      <w:r>
        <w:rPr>
          <w:lang w:val="en-US"/>
        </w:rPr>
        <w:t xml:space="preserve"> through September 202</w:t>
      </w:r>
      <w:r w:rsidR="00946019">
        <w:rPr>
          <w:lang w:val="en-US"/>
        </w:rPr>
        <w:t>1</w:t>
      </w:r>
      <w:r>
        <w:rPr>
          <w:lang w:val="en-US"/>
        </w:rPr>
        <w:t xml:space="preserve">. </w:t>
      </w:r>
      <w:r w:rsidR="00191E3C" w:rsidRPr="00191E3C">
        <w:rPr>
          <w:lang w:val="en-US"/>
        </w:rPr>
        <w:t xml:space="preserve">Employers who sponsored self-funded </w:t>
      </w:r>
      <w:r w:rsidR="00191E3C">
        <w:rPr>
          <w:lang w:val="en-US"/>
        </w:rPr>
        <w:t xml:space="preserve">group </w:t>
      </w:r>
      <w:r w:rsidR="00191E3C" w:rsidRPr="00191E3C">
        <w:rPr>
          <w:lang w:val="en-US"/>
        </w:rPr>
        <w:t xml:space="preserve">medical plans ending sometime during are required to report and pay the ACA Patient-Centered Outcomes Research Institute (PCORI) fees </w:t>
      </w:r>
      <w:r w:rsidR="00191E3C">
        <w:rPr>
          <w:lang w:val="en-US"/>
        </w:rPr>
        <w:t>annually</w:t>
      </w:r>
      <w:r w:rsidR="00191E3C" w:rsidRPr="00191E3C">
        <w:rPr>
          <w:lang w:val="en-US"/>
        </w:rPr>
        <w:t>. In the spending bill passed late in 2019, the PCORI fee (which was set to expire) was extended another 10 years.</w:t>
      </w:r>
    </w:p>
    <w:p w14:paraId="146EC599" w14:textId="77777777" w:rsidR="002B743A" w:rsidRDefault="002B743A" w:rsidP="0061684C">
      <w:pPr>
        <w:pStyle w:val="MediumGrid2-Accent11"/>
        <w:rPr>
          <w:lang w:val="en-US"/>
        </w:rPr>
      </w:pPr>
    </w:p>
    <w:p w14:paraId="2C991FB2" w14:textId="13FE0E14" w:rsidR="00774FAD" w:rsidRDefault="0061684C" w:rsidP="0061684C">
      <w:pPr>
        <w:pStyle w:val="MediumGrid2-Accent11"/>
        <w:rPr>
          <w:lang w:val="en-US"/>
        </w:rPr>
      </w:pPr>
      <w:r>
        <w:rPr>
          <w:lang w:val="en-US"/>
        </w:rPr>
        <w:t xml:space="preserve">General </w:t>
      </w:r>
      <w:r w:rsidRPr="00ED14BC">
        <w:t xml:space="preserve">information </w:t>
      </w:r>
      <w:r w:rsidR="007864F0">
        <w:rPr>
          <w:lang w:val="en-US"/>
        </w:rPr>
        <w:t>for</w:t>
      </w:r>
      <w:r w:rsidRPr="00ED14BC">
        <w:t xml:space="preserve"> PCORI fees can be found at </w:t>
      </w:r>
      <w:hyperlink r:id="rId12" w:history="1">
        <w:r w:rsidRPr="00ED14BC">
          <w:rPr>
            <w:rStyle w:val="Hyperlink"/>
          </w:rPr>
          <w:t>https://www.irs.gov/newsroom/patient-centered-outcomes-research-institute-fee</w:t>
        </w:r>
      </w:hyperlink>
      <w:r>
        <w:rPr>
          <w:lang w:val="en-US"/>
        </w:rPr>
        <w:t xml:space="preserve">. </w:t>
      </w:r>
      <w:r w:rsidR="00963FAC">
        <w:rPr>
          <w:lang w:val="en-US"/>
        </w:rPr>
        <w:t xml:space="preserve">On this site, the IRS </w:t>
      </w:r>
      <w:r w:rsidR="00374089">
        <w:rPr>
          <w:lang w:val="en-US"/>
        </w:rPr>
        <w:t>provides a link to Form 720, a chart describing which t</w:t>
      </w:r>
      <w:r w:rsidR="00FA57A8">
        <w:rPr>
          <w:lang w:val="en-US"/>
        </w:rPr>
        <w:t xml:space="preserve">ypes of plans are subject to the fee, a chart showing plan end dates with applicable fees and due dates, and </w:t>
      </w:r>
      <w:r w:rsidR="00774FAD">
        <w:rPr>
          <w:lang w:val="en-US"/>
        </w:rPr>
        <w:t xml:space="preserve">several FAQs. </w:t>
      </w:r>
    </w:p>
    <w:p w14:paraId="63786F61" w14:textId="77777777" w:rsidR="00684B92" w:rsidRDefault="00684B92" w:rsidP="0061684C">
      <w:pPr>
        <w:pStyle w:val="MediumGrid2-Accent11"/>
      </w:pPr>
    </w:p>
    <w:p w14:paraId="6C58D0C4" w14:textId="77777777" w:rsidR="002B743A" w:rsidRDefault="002B743A" w:rsidP="0061684C">
      <w:pPr>
        <w:pStyle w:val="MediumGrid2-Accent11"/>
        <w:rPr>
          <w:b/>
          <w:bCs/>
          <w:lang w:val="en-US"/>
        </w:rPr>
      </w:pPr>
      <w:r>
        <w:rPr>
          <w:b/>
          <w:bCs/>
          <w:lang w:val="en-US"/>
        </w:rPr>
        <w:t>Plans Subject to the Fee</w:t>
      </w:r>
    </w:p>
    <w:p w14:paraId="6BA5FF7C" w14:textId="6EB68D54" w:rsidR="00031499" w:rsidRDefault="0061684C" w:rsidP="0061684C">
      <w:pPr>
        <w:pStyle w:val="MediumGrid2-Accent11"/>
      </w:pPr>
      <w:r w:rsidRPr="00ED14BC">
        <w:t xml:space="preserve">The PCORI fee applies to most group health plans, </w:t>
      </w:r>
      <w:r>
        <w:rPr>
          <w:lang w:val="en-US"/>
        </w:rPr>
        <w:t xml:space="preserve">including HRAs, </w:t>
      </w:r>
      <w:r w:rsidRPr="00ED14BC">
        <w:t>but not to excepted benefits</w:t>
      </w:r>
      <w:r w:rsidR="007864F0">
        <w:rPr>
          <w:lang w:val="en-US"/>
        </w:rPr>
        <w:t xml:space="preserve"> (e.g. health FSAs and limited-scope dental and vision)</w:t>
      </w:r>
      <w:r w:rsidRPr="00ED14BC">
        <w:t xml:space="preserve">. </w:t>
      </w:r>
    </w:p>
    <w:p w14:paraId="37FC1713" w14:textId="4E97CAA0" w:rsidR="00F8240F" w:rsidRPr="00F8240F" w:rsidRDefault="00031499" w:rsidP="00031499">
      <w:pPr>
        <w:pStyle w:val="MediumGrid2-Accent11"/>
        <w:numPr>
          <w:ilvl w:val="0"/>
          <w:numId w:val="44"/>
        </w:numPr>
      </w:pPr>
      <w:r>
        <w:rPr>
          <w:lang w:val="en-US"/>
        </w:rPr>
        <w:t xml:space="preserve">Fully-Insured Plans: </w:t>
      </w:r>
      <w:r w:rsidR="0061684C" w:rsidRPr="00ED14BC">
        <w:t>Health insurance carriers pay the fee directly in the case of fully-insured plans</w:t>
      </w:r>
      <w:r w:rsidR="00F8240F">
        <w:rPr>
          <w:lang w:val="en-US"/>
        </w:rPr>
        <w:t>.</w:t>
      </w:r>
    </w:p>
    <w:p w14:paraId="5B5BEC0B" w14:textId="77777777" w:rsidR="00AF0878" w:rsidRPr="00AF0878" w:rsidRDefault="00F8240F" w:rsidP="00031499">
      <w:pPr>
        <w:pStyle w:val="MediumGrid2-Accent11"/>
        <w:numPr>
          <w:ilvl w:val="0"/>
          <w:numId w:val="44"/>
        </w:numPr>
      </w:pPr>
      <w:r>
        <w:rPr>
          <w:lang w:val="en-US"/>
        </w:rPr>
        <w:t>Self-Funded Plans: E</w:t>
      </w:r>
      <w:r w:rsidR="0061684C">
        <w:rPr>
          <w:lang w:val="en-US"/>
        </w:rPr>
        <w:t xml:space="preserve">mployers are responsible for reporting and paying the fee for any self-funded group health plans, including HRAs. </w:t>
      </w:r>
    </w:p>
    <w:p w14:paraId="0D60E4D9" w14:textId="77777777" w:rsidR="0061684C" w:rsidRPr="00ED14BC" w:rsidRDefault="0061684C" w:rsidP="0061684C">
      <w:pPr>
        <w:pStyle w:val="MediumGrid2-Accent11"/>
      </w:pPr>
    </w:p>
    <w:p w14:paraId="59381AFE" w14:textId="5607726F" w:rsidR="0061684C" w:rsidRPr="00691CB9" w:rsidRDefault="00691CB9" w:rsidP="0061684C">
      <w:pPr>
        <w:pStyle w:val="MediumGrid2-Accent11"/>
        <w:rPr>
          <w:b/>
          <w:lang w:val="en-US"/>
        </w:rPr>
      </w:pPr>
      <w:r>
        <w:rPr>
          <w:b/>
          <w:lang w:val="en-US"/>
        </w:rPr>
        <w:t>Reporting the Fee</w:t>
      </w:r>
    </w:p>
    <w:p w14:paraId="65CED6C6" w14:textId="36522A07" w:rsidR="00691CB9" w:rsidRPr="00691CB9" w:rsidRDefault="00691CB9" w:rsidP="0061684C">
      <w:pPr>
        <w:pStyle w:val="MediumGrid2-Accent11"/>
        <w:rPr>
          <w:lang w:val="en-US"/>
        </w:rPr>
      </w:pPr>
      <w:r w:rsidRPr="00ED14BC">
        <w:t xml:space="preserve">The fee is paid using quarterly excise tax Form 720 and must </w:t>
      </w:r>
      <w:r>
        <w:rPr>
          <w:lang w:val="en-US"/>
        </w:rPr>
        <w:t xml:space="preserve">generally </w:t>
      </w:r>
      <w:r w:rsidRPr="00ED14BC">
        <w:t>be paid no later than July 31</w:t>
      </w:r>
      <w:r w:rsidRPr="007C54B2">
        <w:rPr>
          <w:vertAlign w:val="superscript"/>
          <w:lang w:val="en-US"/>
        </w:rPr>
        <w:t>st</w:t>
      </w:r>
      <w:r>
        <w:rPr>
          <w:lang w:val="en-US"/>
        </w:rPr>
        <w:t xml:space="preserve"> </w:t>
      </w:r>
      <w:r w:rsidRPr="00ED14BC">
        <w:t>of the year following the last day of the plan year.</w:t>
      </w:r>
      <w:r>
        <w:rPr>
          <w:lang w:val="en-US"/>
        </w:rPr>
        <w:t xml:space="preserve"> </w:t>
      </w:r>
    </w:p>
    <w:p w14:paraId="17096AE1" w14:textId="77777777" w:rsidR="00691CB9" w:rsidRDefault="00691CB9" w:rsidP="0061684C">
      <w:pPr>
        <w:pStyle w:val="MediumGrid2-Accent11"/>
      </w:pPr>
    </w:p>
    <w:p w14:paraId="58706B06" w14:textId="0274DD6F" w:rsidR="0061684C" w:rsidRPr="00ED14BC" w:rsidRDefault="00691CB9" w:rsidP="0061684C">
      <w:pPr>
        <w:pStyle w:val="MediumGrid2-Accent11"/>
      </w:pPr>
      <w:r>
        <w:rPr>
          <w:lang w:val="en-US"/>
        </w:rPr>
        <w:t>The fees</w:t>
      </w:r>
      <w:r w:rsidR="0061684C" w:rsidRPr="00ED14BC">
        <w:t xml:space="preserve"> due </w:t>
      </w:r>
      <w:r w:rsidR="0061684C">
        <w:rPr>
          <w:lang w:val="en-US"/>
        </w:rPr>
        <w:t>July 31</w:t>
      </w:r>
      <w:r w:rsidRPr="00691CB9">
        <w:rPr>
          <w:vertAlign w:val="superscript"/>
          <w:lang w:val="en-US"/>
        </w:rPr>
        <w:t>st</w:t>
      </w:r>
      <w:r w:rsidR="0061684C">
        <w:rPr>
          <w:lang w:val="en-US"/>
        </w:rPr>
        <w:t>,</w:t>
      </w:r>
      <w:r w:rsidR="0061684C" w:rsidRPr="00ED14BC">
        <w:t xml:space="preserve"> 20</w:t>
      </w:r>
      <w:r w:rsidR="0061684C">
        <w:rPr>
          <w:lang w:val="en-US"/>
        </w:rPr>
        <w:t>2</w:t>
      </w:r>
      <w:r>
        <w:rPr>
          <w:lang w:val="en-US"/>
        </w:rPr>
        <w:t>1 will</w:t>
      </w:r>
      <w:r w:rsidR="0061684C">
        <w:rPr>
          <w:lang w:val="en-US"/>
        </w:rPr>
        <w:t xml:space="preserve"> </w:t>
      </w:r>
      <w:r w:rsidR="0061684C" w:rsidRPr="00ED14BC">
        <w:t xml:space="preserve">differ based on the employer’s plan year. </w:t>
      </w:r>
    </w:p>
    <w:p w14:paraId="6BC69C78" w14:textId="5F3E044D" w:rsidR="0061684C" w:rsidRPr="00ED14BC" w:rsidRDefault="0061684C" w:rsidP="0061684C">
      <w:pPr>
        <w:pStyle w:val="MediumGrid2-Accent11"/>
        <w:numPr>
          <w:ilvl w:val="0"/>
          <w:numId w:val="39"/>
        </w:numPr>
      </w:pPr>
      <w:r w:rsidRPr="00ED14BC">
        <w:t>$2.</w:t>
      </w:r>
      <w:r w:rsidR="00691CB9">
        <w:rPr>
          <w:lang w:val="en-US"/>
        </w:rPr>
        <w:t>54</w:t>
      </w:r>
      <w:r w:rsidRPr="00ED14BC">
        <w:t xml:space="preserve"> per covered life for plan years ending in January – September 20</w:t>
      </w:r>
      <w:r w:rsidR="00691CB9">
        <w:rPr>
          <w:lang w:val="en-US"/>
        </w:rPr>
        <w:t>20</w:t>
      </w:r>
      <w:r w:rsidRPr="00ED14BC">
        <w:t>.</w:t>
      </w:r>
    </w:p>
    <w:p w14:paraId="7A4697CD" w14:textId="43B459A8" w:rsidR="0061684C" w:rsidRPr="00253B2C" w:rsidRDefault="0061684C" w:rsidP="0061684C">
      <w:pPr>
        <w:pStyle w:val="MediumGrid2-Accent11"/>
        <w:numPr>
          <w:ilvl w:val="0"/>
          <w:numId w:val="39"/>
        </w:numPr>
      </w:pPr>
      <w:r>
        <w:rPr>
          <w:lang w:val="en-US"/>
        </w:rPr>
        <w:t>$2.</w:t>
      </w:r>
      <w:r w:rsidR="00691CB9">
        <w:rPr>
          <w:lang w:val="en-US"/>
        </w:rPr>
        <w:t>66</w:t>
      </w:r>
      <w:r w:rsidRPr="00ED14BC">
        <w:t xml:space="preserve"> per covered life for plan years ending in October – December 20</w:t>
      </w:r>
      <w:r w:rsidR="00691CB9">
        <w:rPr>
          <w:lang w:val="en-US"/>
        </w:rPr>
        <w:t>20</w:t>
      </w:r>
      <w:r w:rsidRPr="00ED14BC">
        <w:t>.</w:t>
      </w:r>
    </w:p>
    <w:p w14:paraId="3DD5F5E4" w14:textId="77777777" w:rsidR="0061684C" w:rsidRDefault="0061684C" w:rsidP="0061684C">
      <w:pPr>
        <w:pStyle w:val="MediumGrid2-Accent11"/>
      </w:pPr>
    </w:p>
    <w:p w14:paraId="5446FA5A" w14:textId="78E05AAB" w:rsidR="0061684C" w:rsidRPr="00390803" w:rsidRDefault="0061684C" w:rsidP="0061684C">
      <w:pPr>
        <w:rPr>
          <w:lang w:eastAsia="x-none"/>
        </w:rPr>
      </w:pPr>
      <w:r w:rsidRPr="00ED14BC">
        <w:rPr>
          <w:b/>
        </w:rPr>
        <w:t>Calculating the Average Covered Lives</w:t>
      </w:r>
      <w:r>
        <w:rPr>
          <w:b/>
        </w:rPr>
        <w:t xml:space="preserve"> </w:t>
      </w:r>
    </w:p>
    <w:p w14:paraId="1C90D4BE" w14:textId="7CF8B5E4" w:rsidR="002079A9" w:rsidRPr="009B768D" w:rsidRDefault="0061684C" w:rsidP="002079A9">
      <w:pPr>
        <w:pStyle w:val="MediumGrid2-Accent11"/>
      </w:pPr>
      <w:r w:rsidRPr="00ED14BC">
        <w:t xml:space="preserve">Self-funded plans may </w:t>
      </w:r>
      <w:r>
        <w:rPr>
          <w:lang w:val="en-US"/>
        </w:rPr>
        <w:t xml:space="preserve">generally </w:t>
      </w:r>
      <w:r w:rsidRPr="00ED14BC">
        <w:t>use one of three methods to determine the average covered lives</w:t>
      </w:r>
      <w:r>
        <w:rPr>
          <w:lang w:val="en-US"/>
        </w:rPr>
        <w:t xml:space="preserve"> used for </w:t>
      </w:r>
      <w:r w:rsidRPr="00253B2C">
        <w:rPr>
          <w:lang w:val="en-US"/>
        </w:rPr>
        <w:t>reporting and paying the PCORI fee: (i) the actual count method; (ii) the snapshot method; or (iii) the Form 5500 method</w:t>
      </w:r>
      <w:r w:rsidRPr="00253B2C">
        <w:t>. </w:t>
      </w:r>
      <w:r w:rsidRPr="00253B2C">
        <w:rPr>
          <w:shd w:val="clear" w:color="auto" w:fill="FFFFFF"/>
        </w:rPr>
        <w:t>Plan sponsors must stick with one method for the entire plan year, but are allowed to change from year to year. </w:t>
      </w:r>
      <w:bookmarkStart w:id="0" w:name="HCRFRM:4264.11"/>
      <w:bookmarkEnd w:id="0"/>
      <w:r w:rsidR="002079A9">
        <w:rPr>
          <w:lang w:val="en-US"/>
        </w:rPr>
        <w:t xml:space="preserve">There are a couple special </w:t>
      </w:r>
      <w:r w:rsidR="002079A9" w:rsidRPr="002079A9">
        <w:rPr>
          <w:lang w:val="en-US"/>
        </w:rPr>
        <w:t>rules for counting covered lives:</w:t>
      </w:r>
    </w:p>
    <w:p w14:paraId="5B24C307" w14:textId="262505BE" w:rsidR="006930C9" w:rsidRDefault="002079A9" w:rsidP="002079A9">
      <w:pPr>
        <w:pStyle w:val="MediumGrid2-Accent11"/>
        <w:numPr>
          <w:ilvl w:val="0"/>
          <w:numId w:val="45"/>
        </w:numPr>
        <w:rPr>
          <w:lang w:val="en-US"/>
        </w:rPr>
      </w:pPr>
      <w:r w:rsidRPr="002079A9">
        <w:rPr>
          <w:lang w:val="en-US"/>
        </w:rPr>
        <w:t xml:space="preserve">Multiple Self-Funded Plans – If one plan sponsor maintains more than one self-funded </w:t>
      </w:r>
      <w:r w:rsidR="00CF39CD">
        <w:rPr>
          <w:lang w:val="en-US"/>
        </w:rPr>
        <w:t xml:space="preserve">group </w:t>
      </w:r>
      <w:r w:rsidRPr="002079A9">
        <w:rPr>
          <w:lang w:val="en-US"/>
        </w:rPr>
        <w:t>health plan with the same plan year, the arrangements can be treated as a single plan for purposes of the fee</w:t>
      </w:r>
      <w:r>
        <w:rPr>
          <w:lang w:val="en-US"/>
        </w:rPr>
        <w:t xml:space="preserve"> (e.g. self-funded group medical plan and an HRA)</w:t>
      </w:r>
      <w:r w:rsidRPr="002079A9">
        <w:rPr>
          <w:lang w:val="en-US"/>
        </w:rPr>
        <w:t>.</w:t>
      </w:r>
    </w:p>
    <w:p w14:paraId="352EAF29" w14:textId="6DAC9ED0" w:rsidR="00515089" w:rsidRDefault="002079A9" w:rsidP="002079A9">
      <w:pPr>
        <w:pStyle w:val="MediumGrid2-Accent11"/>
        <w:numPr>
          <w:ilvl w:val="0"/>
          <w:numId w:val="45"/>
        </w:numPr>
        <w:rPr>
          <w:lang w:val="en-US"/>
        </w:rPr>
      </w:pPr>
      <w:r w:rsidRPr="006930C9">
        <w:rPr>
          <w:lang w:val="en-US"/>
        </w:rPr>
        <w:t xml:space="preserve">HRAs – An employer who sponsors an HRA </w:t>
      </w:r>
      <w:r w:rsidR="00F00EB2">
        <w:rPr>
          <w:lang w:val="en-US"/>
        </w:rPr>
        <w:t>alongside</w:t>
      </w:r>
      <w:r w:rsidRPr="006930C9">
        <w:rPr>
          <w:lang w:val="en-US"/>
        </w:rPr>
        <w:t xml:space="preserve"> a fully-insured medical plan is required to pay the fee only </w:t>
      </w:r>
      <w:r w:rsidR="00F00EB2">
        <w:rPr>
          <w:lang w:val="en-US"/>
        </w:rPr>
        <w:t>for</w:t>
      </w:r>
      <w:r w:rsidRPr="006930C9">
        <w:rPr>
          <w:lang w:val="en-US"/>
        </w:rPr>
        <w:t xml:space="preserve"> each HRA participant</w:t>
      </w:r>
      <w:r w:rsidR="009B768D">
        <w:rPr>
          <w:lang w:val="en-US"/>
        </w:rPr>
        <w:t>/</w:t>
      </w:r>
      <w:r w:rsidRPr="006930C9">
        <w:rPr>
          <w:lang w:val="en-US"/>
        </w:rPr>
        <w:t>employee (not required to count dependents or beneficiaries).</w:t>
      </w:r>
    </w:p>
    <w:p w14:paraId="12558D59" w14:textId="771C4581" w:rsidR="009B768D" w:rsidRDefault="009B768D" w:rsidP="009B768D">
      <w:pPr>
        <w:pStyle w:val="MediumGrid2-Accent11"/>
        <w:rPr>
          <w:lang w:val="en-US"/>
        </w:rPr>
      </w:pPr>
    </w:p>
    <w:p w14:paraId="12A34C38" w14:textId="67BC24DE" w:rsidR="009B768D" w:rsidRDefault="0088270D" w:rsidP="009B768D">
      <w:pPr>
        <w:pStyle w:val="MediumGrid2-Accent11"/>
        <w:rPr>
          <w:b/>
          <w:bCs/>
          <w:lang w:val="en-US"/>
        </w:rPr>
      </w:pPr>
      <w:r>
        <w:rPr>
          <w:b/>
          <w:bCs/>
          <w:lang w:val="en-US"/>
        </w:rPr>
        <w:t>Failure to Report and Pay</w:t>
      </w:r>
    </w:p>
    <w:p w14:paraId="4D850302" w14:textId="065E5234" w:rsidR="007E6076" w:rsidRPr="007E6076" w:rsidRDefault="007E6076" w:rsidP="007E6076">
      <w:pPr>
        <w:pStyle w:val="MediumGrid2-Accent11"/>
        <w:rPr>
          <w:lang w:val="en-US"/>
        </w:rPr>
      </w:pPr>
      <w:r w:rsidRPr="007E6076">
        <w:rPr>
          <w:lang w:val="en-US"/>
        </w:rPr>
        <w:t>The PCORI rules do not contain a specific penalty for failure to report or pay the PCORI fee; however, since this fee is considered an excise tax, any related penalty for failure to file a return or pay a tax would seem to apply. Code §6651 includes the penalties for failure to file a return or pay taxes as set forth below:</w:t>
      </w:r>
    </w:p>
    <w:p w14:paraId="4D9FB55B" w14:textId="77777777" w:rsidR="00835D16" w:rsidRDefault="007E6076" w:rsidP="007E6076">
      <w:pPr>
        <w:pStyle w:val="MediumGrid2-Accent11"/>
        <w:numPr>
          <w:ilvl w:val="0"/>
          <w:numId w:val="46"/>
        </w:numPr>
        <w:rPr>
          <w:lang w:val="en-US"/>
        </w:rPr>
      </w:pPr>
      <w:r w:rsidRPr="007E6076">
        <w:rPr>
          <w:lang w:val="en-US"/>
        </w:rPr>
        <w:t>5% of the excise tax due for each month or part of a month the return is late, with a cap of 25% of the unpaid tax</w:t>
      </w:r>
      <w:r w:rsidR="00243690">
        <w:rPr>
          <w:lang w:val="en-US"/>
        </w:rPr>
        <w:t xml:space="preserve"> (</w:t>
      </w:r>
      <w:r w:rsidRPr="007E6076">
        <w:rPr>
          <w:lang w:val="en-US"/>
        </w:rPr>
        <w:t>minimum penalty for failure to file within 60 days of its due date, including extensions, is the lesser of $100 or the amount of tax owed with the return</w:t>
      </w:r>
      <w:r w:rsidR="00243690">
        <w:rPr>
          <w:lang w:val="en-US"/>
        </w:rPr>
        <w:t>)</w:t>
      </w:r>
      <w:r w:rsidRPr="007E6076">
        <w:rPr>
          <w:lang w:val="en-US"/>
        </w:rPr>
        <w:t>.</w:t>
      </w:r>
    </w:p>
    <w:p w14:paraId="094E18B2" w14:textId="02FD4432" w:rsidR="007E6076" w:rsidRPr="00835D16" w:rsidRDefault="007E6076" w:rsidP="007E6076">
      <w:pPr>
        <w:pStyle w:val="MediumGrid2-Accent11"/>
        <w:numPr>
          <w:ilvl w:val="0"/>
          <w:numId w:val="46"/>
        </w:numPr>
        <w:rPr>
          <w:lang w:val="en-US"/>
        </w:rPr>
      </w:pPr>
      <w:r w:rsidRPr="00835D16">
        <w:rPr>
          <w:lang w:val="en-US"/>
        </w:rPr>
        <w:t>.5% of the any tax not paid by the due date for each month or part of a month the tax remains unpaid, up to 25% of the unpaid tax.</w:t>
      </w:r>
    </w:p>
    <w:p w14:paraId="37DF5841" w14:textId="1EF93FA8" w:rsidR="0088270D" w:rsidRDefault="007E6076" w:rsidP="007E6076">
      <w:pPr>
        <w:pStyle w:val="MediumGrid2-Accent11"/>
        <w:rPr>
          <w:lang w:val="en-US"/>
        </w:rPr>
      </w:pPr>
      <w:r w:rsidRPr="007E6076">
        <w:rPr>
          <w:lang w:val="en-US"/>
        </w:rPr>
        <w:t>On top of the penalties, interest can be charged on unpaid excise taxes.</w:t>
      </w:r>
      <w:r w:rsidR="00835D16">
        <w:rPr>
          <w:lang w:val="en-US"/>
        </w:rPr>
        <w:t xml:space="preserve"> </w:t>
      </w:r>
      <w:r w:rsidRPr="007E6076">
        <w:rPr>
          <w:lang w:val="en-US"/>
        </w:rPr>
        <w:t>In some cases, penalties may be waived if the plan sponsor has reasonable cause and the failure was not due to willful neglect.</w:t>
      </w:r>
    </w:p>
    <w:p w14:paraId="5B0BD065" w14:textId="6F468DA7" w:rsidR="008659FA" w:rsidRDefault="008659FA" w:rsidP="007E6076">
      <w:pPr>
        <w:pStyle w:val="MediumGrid2-Accent11"/>
        <w:rPr>
          <w:lang w:val="en-US"/>
        </w:rPr>
      </w:pPr>
    </w:p>
    <w:p w14:paraId="41918017" w14:textId="77777777" w:rsidR="008659FA" w:rsidRPr="007E6076" w:rsidRDefault="008659FA" w:rsidP="008659FA">
      <w:pPr>
        <w:pStyle w:val="MediumGrid2-Accent11"/>
        <w:rPr>
          <w:lang w:val="en-US"/>
        </w:rPr>
      </w:pPr>
      <w:r w:rsidRPr="007E6076">
        <w:rPr>
          <w:lang w:val="en-US"/>
        </w:rPr>
        <w:lastRenderedPageBreak/>
        <w:t xml:space="preserve">No formal guidance has been provided by the IRS for those who have failed to pay the PCORI fee, </w:t>
      </w:r>
      <w:r>
        <w:rPr>
          <w:lang w:val="en-US"/>
        </w:rPr>
        <w:t>so the recommendation is</w:t>
      </w:r>
      <w:r w:rsidRPr="007E6076">
        <w:rPr>
          <w:lang w:val="en-US"/>
        </w:rPr>
        <w:t xml:space="preserve"> that employers should file a Form 720 for the applicable year (or Form 720X for an amendment) sooner rather than later for any missed fees and to pay any associated fines or penalties. </w:t>
      </w:r>
    </w:p>
    <w:p w14:paraId="00B52D24" w14:textId="77777777" w:rsidR="008659FA" w:rsidRPr="007E6076" w:rsidRDefault="008659FA" w:rsidP="007E6076">
      <w:pPr>
        <w:pStyle w:val="MediumGrid2-Accent11"/>
        <w:rPr>
          <w:lang w:val="en-US"/>
        </w:rPr>
      </w:pPr>
    </w:p>
    <w:p w14:paraId="303FBE39" w14:textId="77777777" w:rsidR="007E6076" w:rsidRPr="0088270D" w:rsidRDefault="007E6076" w:rsidP="009B768D">
      <w:pPr>
        <w:pStyle w:val="MediumGrid2-Accent11"/>
        <w:rPr>
          <w:b/>
          <w:bCs/>
          <w:lang w:val="en-US"/>
        </w:rPr>
      </w:pPr>
    </w:p>
    <w:p w14:paraId="3583DA3D" w14:textId="77777777" w:rsidR="00E93083" w:rsidRPr="00D20E25" w:rsidRDefault="00E93083" w:rsidP="00D20E25">
      <w:pPr>
        <w:pStyle w:val="MediumGrid2-Accent11"/>
      </w:pPr>
    </w:p>
    <w:p w14:paraId="5B02873E"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E9F0" w14:textId="77777777" w:rsidR="00EB0144" w:rsidRDefault="00EB0144" w:rsidP="00D20E25">
      <w:r>
        <w:separator/>
      </w:r>
    </w:p>
  </w:endnote>
  <w:endnote w:type="continuationSeparator" w:id="0">
    <w:p w14:paraId="7AE98A8D" w14:textId="77777777" w:rsidR="00EB0144" w:rsidRDefault="00EB0144"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80" w14:textId="77777777" w:rsidR="005C07B5" w:rsidRDefault="005C07B5" w:rsidP="00D20E25">
    <w:pPr>
      <w:pStyle w:val="Footer"/>
      <w:jc w:val="center"/>
    </w:pPr>
  </w:p>
  <w:p w14:paraId="3380CC8D" w14:textId="5ECA8D32" w:rsidR="005C07B5" w:rsidRDefault="005C07B5" w:rsidP="00D20E25">
    <w:pPr>
      <w:pStyle w:val="Footer"/>
      <w:jc w:val="center"/>
      <w:rPr>
        <w:lang w:val="en-US"/>
      </w:rPr>
    </w:pPr>
    <w:r w:rsidRPr="006C7EC1">
      <w:t>© 20</w:t>
    </w:r>
    <w:r w:rsidR="00177E8A">
      <w:rPr>
        <w:lang w:val="en-US"/>
      </w:rPr>
      <w:t>20</w:t>
    </w:r>
    <w:r w:rsidRPr="006C7EC1">
      <w:t xml:space="preserve"> </w:t>
    </w:r>
    <w:r>
      <w:t>Benefit Comply, LLC</w:t>
    </w:r>
  </w:p>
  <w:p w14:paraId="6F340B38"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0F7498">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1DB7" w14:textId="5D53F661" w:rsidR="005C07B5" w:rsidRDefault="005C07B5" w:rsidP="00D20E25">
    <w:pPr>
      <w:pStyle w:val="Footer"/>
      <w:jc w:val="center"/>
      <w:rPr>
        <w:lang w:val="en-US"/>
      </w:rPr>
    </w:pPr>
    <w:r>
      <w:t>© 20</w:t>
    </w:r>
    <w:r w:rsidR="00235F99">
      <w:rPr>
        <w:lang w:val="en-US"/>
      </w:rPr>
      <w:t>20</w:t>
    </w:r>
    <w:r w:rsidRPr="006C7EC1">
      <w:t xml:space="preserve"> </w:t>
    </w:r>
    <w:r>
      <w:t>Benefit Comply, LLC</w:t>
    </w:r>
  </w:p>
  <w:p w14:paraId="6D4CAEE0"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0B0CA6">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3494" w14:textId="77777777" w:rsidR="00EB0144" w:rsidRDefault="00EB0144" w:rsidP="00D20E25">
      <w:r>
        <w:separator/>
      </w:r>
    </w:p>
  </w:footnote>
  <w:footnote w:type="continuationSeparator" w:id="0">
    <w:p w14:paraId="3AAB9481" w14:textId="77777777" w:rsidR="00EB0144" w:rsidRDefault="00EB0144"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7705D"/>
    <w:multiLevelType w:val="hybridMultilevel"/>
    <w:tmpl w:val="CF7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C7DB0"/>
    <w:multiLevelType w:val="hybridMultilevel"/>
    <w:tmpl w:val="0936C3C8"/>
    <w:lvl w:ilvl="0" w:tplc="BB588F8A">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65EB8"/>
    <w:multiLevelType w:val="hybridMultilevel"/>
    <w:tmpl w:val="8944A118"/>
    <w:lvl w:ilvl="0" w:tplc="A598601C">
      <w:start w:val="202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0472B2"/>
    <w:multiLevelType w:val="hybridMultilevel"/>
    <w:tmpl w:val="E11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FE100D"/>
    <w:multiLevelType w:val="hybridMultilevel"/>
    <w:tmpl w:val="D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4559C8"/>
    <w:multiLevelType w:val="hybridMultilevel"/>
    <w:tmpl w:val="2A7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A0FAA"/>
    <w:multiLevelType w:val="hybridMultilevel"/>
    <w:tmpl w:val="4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8"/>
  </w:num>
  <w:num w:numId="3">
    <w:abstractNumId w:val="27"/>
  </w:num>
  <w:num w:numId="4">
    <w:abstractNumId w:val="10"/>
  </w:num>
  <w:num w:numId="5">
    <w:abstractNumId w:val="32"/>
  </w:num>
  <w:num w:numId="6">
    <w:abstractNumId w:val="7"/>
  </w:num>
  <w:num w:numId="7">
    <w:abstractNumId w:val="15"/>
  </w:num>
  <w:num w:numId="8">
    <w:abstractNumId w:val="33"/>
  </w:num>
  <w:num w:numId="9">
    <w:abstractNumId w:val="19"/>
  </w:num>
  <w:num w:numId="10">
    <w:abstractNumId w:val="39"/>
  </w:num>
  <w:num w:numId="11">
    <w:abstractNumId w:val="1"/>
  </w:num>
  <w:num w:numId="12">
    <w:abstractNumId w:val="18"/>
  </w:num>
  <w:num w:numId="13">
    <w:abstractNumId w:val="26"/>
  </w:num>
  <w:num w:numId="14">
    <w:abstractNumId w:val="44"/>
  </w:num>
  <w:num w:numId="15">
    <w:abstractNumId w:val="30"/>
  </w:num>
  <w:num w:numId="16">
    <w:abstractNumId w:val="38"/>
  </w:num>
  <w:num w:numId="17">
    <w:abstractNumId w:val="11"/>
  </w:num>
  <w:num w:numId="18">
    <w:abstractNumId w:val="21"/>
  </w:num>
  <w:num w:numId="19">
    <w:abstractNumId w:val="31"/>
  </w:num>
  <w:num w:numId="20">
    <w:abstractNumId w:val="41"/>
  </w:num>
  <w:num w:numId="21">
    <w:abstractNumId w:val="20"/>
  </w:num>
  <w:num w:numId="22">
    <w:abstractNumId w:val="35"/>
  </w:num>
  <w:num w:numId="23">
    <w:abstractNumId w:val="45"/>
  </w:num>
  <w:num w:numId="24">
    <w:abstractNumId w:val="34"/>
  </w:num>
  <w:num w:numId="25">
    <w:abstractNumId w:val="17"/>
  </w:num>
  <w:num w:numId="26">
    <w:abstractNumId w:val="14"/>
  </w:num>
  <w:num w:numId="27">
    <w:abstractNumId w:val="43"/>
  </w:num>
  <w:num w:numId="28">
    <w:abstractNumId w:val="9"/>
  </w:num>
  <w:num w:numId="29">
    <w:abstractNumId w:val="2"/>
  </w:num>
  <w:num w:numId="30">
    <w:abstractNumId w:val="12"/>
  </w:num>
  <w:num w:numId="31">
    <w:abstractNumId w:val="0"/>
  </w:num>
  <w:num w:numId="32">
    <w:abstractNumId w:val="23"/>
  </w:num>
  <w:num w:numId="33">
    <w:abstractNumId w:val="4"/>
  </w:num>
  <w:num w:numId="34">
    <w:abstractNumId w:val="3"/>
  </w:num>
  <w:num w:numId="35">
    <w:abstractNumId w:val="42"/>
  </w:num>
  <w:num w:numId="36">
    <w:abstractNumId w:val="29"/>
  </w:num>
  <w:num w:numId="37">
    <w:abstractNumId w:val="36"/>
  </w:num>
  <w:num w:numId="38">
    <w:abstractNumId w:val="40"/>
  </w:num>
  <w:num w:numId="39">
    <w:abstractNumId w:val="24"/>
  </w:num>
  <w:num w:numId="40">
    <w:abstractNumId w:val="22"/>
  </w:num>
  <w:num w:numId="41">
    <w:abstractNumId w:val="25"/>
  </w:num>
  <w:num w:numId="42">
    <w:abstractNumId w:val="13"/>
  </w:num>
  <w:num w:numId="43">
    <w:abstractNumId w:val="8"/>
  </w:num>
  <w:num w:numId="44">
    <w:abstractNumId w:val="5"/>
  </w:num>
  <w:num w:numId="45">
    <w:abstractNumId w:val="37"/>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1499"/>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B0CA6"/>
    <w:rsid w:val="000C41B5"/>
    <w:rsid w:val="000C5473"/>
    <w:rsid w:val="000E03AB"/>
    <w:rsid w:val="000E668C"/>
    <w:rsid w:val="000E7039"/>
    <w:rsid w:val="000F11E2"/>
    <w:rsid w:val="000F7498"/>
    <w:rsid w:val="0010150B"/>
    <w:rsid w:val="00102C3F"/>
    <w:rsid w:val="00103F85"/>
    <w:rsid w:val="00104680"/>
    <w:rsid w:val="00113F23"/>
    <w:rsid w:val="00137BDB"/>
    <w:rsid w:val="00140769"/>
    <w:rsid w:val="00142A3F"/>
    <w:rsid w:val="001432A3"/>
    <w:rsid w:val="00144A9C"/>
    <w:rsid w:val="00150473"/>
    <w:rsid w:val="0015387D"/>
    <w:rsid w:val="00160335"/>
    <w:rsid w:val="00177E8A"/>
    <w:rsid w:val="001824D9"/>
    <w:rsid w:val="00183E9D"/>
    <w:rsid w:val="00187547"/>
    <w:rsid w:val="001912DE"/>
    <w:rsid w:val="00191E3C"/>
    <w:rsid w:val="0019308E"/>
    <w:rsid w:val="001B1A88"/>
    <w:rsid w:val="001C256F"/>
    <w:rsid w:val="001C70AE"/>
    <w:rsid w:val="001D58D8"/>
    <w:rsid w:val="001D745D"/>
    <w:rsid w:val="001E2972"/>
    <w:rsid w:val="001E622E"/>
    <w:rsid w:val="001F0404"/>
    <w:rsid w:val="001F20E5"/>
    <w:rsid w:val="00200664"/>
    <w:rsid w:val="002079A9"/>
    <w:rsid w:val="00211FC6"/>
    <w:rsid w:val="00231306"/>
    <w:rsid w:val="00235F99"/>
    <w:rsid w:val="00243690"/>
    <w:rsid w:val="00246370"/>
    <w:rsid w:val="00246773"/>
    <w:rsid w:val="00247077"/>
    <w:rsid w:val="00253B2C"/>
    <w:rsid w:val="00255A5D"/>
    <w:rsid w:val="00270D0F"/>
    <w:rsid w:val="00273D4E"/>
    <w:rsid w:val="00277CAA"/>
    <w:rsid w:val="0029167B"/>
    <w:rsid w:val="002A12E5"/>
    <w:rsid w:val="002A51D5"/>
    <w:rsid w:val="002B743A"/>
    <w:rsid w:val="002C4ADB"/>
    <w:rsid w:val="002D6E4B"/>
    <w:rsid w:val="002E41EF"/>
    <w:rsid w:val="002F1D78"/>
    <w:rsid w:val="002F2BFF"/>
    <w:rsid w:val="002F3FBC"/>
    <w:rsid w:val="002F5B6A"/>
    <w:rsid w:val="002F7CDF"/>
    <w:rsid w:val="00311883"/>
    <w:rsid w:val="00311D22"/>
    <w:rsid w:val="00314066"/>
    <w:rsid w:val="003231B2"/>
    <w:rsid w:val="00332855"/>
    <w:rsid w:val="003332F7"/>
    <w:rsid w:val="00337651"/>
    <w:rsid w:val="00341F9B"/>
    <w:rsid w:val="00342727"/>
    <w:rsid w:val="003536E9"/>
    <w:rsid w:val="0035725D"/>
    <w:rsid w:val="003606B3"/>
    <w:rsid w:val="00367D54"/>
    <w:rsid w:val="00373838"/>
    <w:rsid w:val="00374089"/>
    <w:rsid w:val="0037534B"/>
    <w:rsid w:val="00376CF8"/>
    <w:rsid w:val="00377A73"/>
    <w:rsid w:val="00383956"/>
    <w:rsid w:val="00386166"/>
    <w:rsid w:val="003902B6"/>
    <w:rsid w:val="003902B9"/>
    <w:rsid w:val="0039272A"/>
    <w:rsid w:val="00397F1D"/>
    <w:rsid w:val="003A15A0"/>
    <w:rsid w:val="003A5779"/>
    <w:rsid w:val="003A5845"/>
    <w:rsid w:val="003A5F0F"/>
    <w:rsid w:val="003B0730"/>
    <w:rsid w:val="003B180D"/>
    <w:rsid w:val="003B7105"/>
    <w:rsid w:val="003D3ABE"/>
    <w:rsid w:val="003D5BB6"/>
    <w:rsid w:val="003D69F0"/>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E5"/>
    <w:rsid w:val="004F4484"/>
    <w:rsid w:val="00515089"/>
    <w:rsid w:val="00521F45"/>
    <w:rsid w:val="0052609C"/>
    <w:rsid w:val="00532F84"/>
    <w:rsid w:val="005352A3"/>
    <w:rsid w:val="00537619"/>
    <w:rsid w:val="005378A2"/>
    <w:rsid w:val="00540CCF"/>
    <w:rsid w:val="00554B62"/>
    <w:rsid w:val="00554D66"/>
    <w:rsid w:val="0055764A"/>
    <w:rsid w:val="005660E9"/>
    <w:rsid w:val="005718C3"/>
    <w:rsid w:val="005814F8"/>
    <w:rsid w:val="00581F18"/>
    <w:rsid w:val="005865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84C"/>
    <w:rsid w:val="00616FD0"/>
    <w:rsid w:val="00633D0E"/>
    <w:rsid w:val="006466D7"/>
    <w:rsid w:val="006577E9"/>
    <w:rsid w:val="006717AA"/>
    <w:rsid w:val="00675439"/>
    <w:rsid w:val="00683EE3"/>
    <w:rsid w:val="00684B92"/>
    <w:rsid w:val="00685C8D"/>
    <w:rsid w:val="00686AFD"/>
    <w:rsid w:val="00691CB9"/>
    <w:rsid w:val="006924DC"/>
    <w:rsid w:val="006930C9"/>
    <w:rsid w:val="006A61F3"/>
    <w:rsid w:val="006B1545"/>
    <w:rsid w:val="006B23FC"/>
    <w:rsid w:val="006B28BC"/>
    <w:rsid w:val="006B35C9"/>
    <w:rsid w:val="006C3EE1"/>
    <w:rsid w:val="006C5937"/>
    <w:rsid w:val="006C6E71"/>
    <w:rsid w:val="006C7B72"/>
    <w:rsid w:val="006C7EC1"/>
    <w:rsid w:val="006D5631"/>
    <w:rsid w:val="006E1247"/>
    <w:rsid w:val="006E28AD"/>
    <w:rsid w:val="006E42C0"/>
    <w:rsid w:val="00713909"/>
    <w:rsid w:val="00736A9B"/>
    <w:rsid w:val="007508F7"/>
    <w:rsid w:val="00764D79"/>
    <w:rsid w:val="007709F7"/>
    <w:rsid w:val="00774FAD"/>
    <w:rsid w:val="00776816"/>
    <w:rsid w:val="00781D99"/>
    <w:rsid w:val="007821CE"/>
    <w:rsid w:val="007864F0"/>
    <w:rsid w:val="007908B7"/>
    <w:rsid w:val="007A5C28"/>
    <w:rsid w:val="007A5F8B"/>
    <w:rsid w:val="007B1155"/>
    <w:rsid w:val="007B1E18"/>
    <w:rsid w:val="007B4885"/>
    <w:rsid w:val="007C3D13"/>
    <w:rsid w:val="007C4419"/>
    <w:rsid w:val="007C77AA"/>
    <w:rsid w:val="007C7C7C"/>
    <w:rsid w:val="007D3E4D"/>
    <w:rsid w:val="007E18DE"/>
    <w:rsid w:val="007E193A"/>
    <w:rsid w:val="007E2565"/>
    <w:rsid w:val="007E377B"/>
    <w:rsid w:val="007E53F1"/>
    <w:rsid w:val="007E6076"/>
    <w:rsid w:val="007F34B4"/>
    <w:rsid w:val="008020F4"/>
    <w:rsid w:val="0080349F"/>
    <w:rsid w:val="008052A3"/>
    <w:rsid w:val="0083063B"/>
    <w:rsid w:val="008322DC"/>
    <w:rsid w:val="008351DA"/>
    <w:rsid w:val="00835D16"/>
    <w:rsid w:val="008362F4"/>
    <w:rsid w:val="00840509"/>
    <w:rsid w:val="008477BE"/>
    <w:rsid w:val="008557A4"/>
    <w:rsid w:val="008615C4"/>
    <w:rsid w:val="0086304F"/>
    <w:rsid w:val="008659FA"/>
    <w:rsid w:val="00866B99"/>
    <w:rsid w:val="0088270D"/>
    <w:rsid w:val="00897617"/>
    <w:rsid w:val="008A5DF8"/>
    <w:rsid w:val="008A65DA"/>
    <w:rsid w:val="008C712B"/>
    <w:rsid w:val="008D0598"/>
    <w:rsid w:val="008D3E7A"/>
    <w:rsid w:val="008D5BAD"/>
    <w:rsid w:val="008E2AFE"/>
    <w:rsid w:val="008E2D74"/>
    <w:rsid w:val="008E4117"/>
    <w:rsid w:val="008F0F5D"/>
    <w:rsid w:val="008F6B65"/>
    <w:rsid w:val="008F75A9"/>
    <w:rsid w:val="00903DB2"/>
    <w:rsid w:val="00922438"/>
    <w:rsid w:val="009312C4"/>
    <w:rsid w:val="00935D00"/>
    <w:rsid w:val="00946019"/>
    <w:rsid w:val="00951D03"/>
    <w:rsid w:val="009536DD"/>
    <w:rsid w:val="00953E85"/>
    <w:rsid w:val="00963FAC"/>
    <w:rsid w:val="0099032C"/>
    <w:rsid w:val="009A4AD6"/>
    <w:rsid w:val="009B5ABE"/>
    <w:rsid w:val="009B768D"/>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16944"/>
    <w:rsid w:val="00A21DC4"/>
    <w:rsid w:val="00A35CFA"/>
    <w:rsid w:val="00A45E46"/>
    <w:rsid w:val="00A50245"/>
    <w:rsid w:val="00A51D54"/>
    <w:rsid w:val="00A563B1"/>
    <w:rsid w:val="00A62B5A"/>
    <w:rsid w:val="00A65FD1"/>
    <w:rsid w:val="00A671B6"/>
    <w:rsid w:val="00A94DC8"/>
    <w:rsid w:val="00A9585D"/>
    <w:rsid w:val="00AA3E90"/>
    <w:rsid w:val="00AA6A57"/>
    <w:rsid w:val="00AB0F84"/>
    <w:rsid w:val="00AB1C85"/>
    <w:rsid w:val="00AB2DCF"/>
    <w:rsid w:val="00AC321F"/>
    <w:rsid w:val="00AC60D1"/>
    <w:rsid w:val="00AD14A0"/>
    <w:rsid w:val="00AD5E20"/>
    <w:rsid w:val="00AE1425"/>
    <w:rsid w:val="00AE2B47"/>
    <w:rsid w:val="00AE33B8"/>
    <w:rsid w:val="00AF0878"/>
    <w:rsid w:val="00AF0B9D"/>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C7270"/>
    <w:rsid w:val="00BD2EC1"/>
    <w:rsid w:val="00BE0984"/>
    <w:rsid w:val="00BE5FA7"/>
    <w:rsid w:val="00BF49EF"/>
    <w:rsid w:val="00C14297"/>
    <w:rsid w:val="00C20BEE"/>
    <w:rsid w:val="00C24151"/>
    <w:rsid w:val="00C24CC8"/>
    <w:rsid w:val="00C27347"/>
    <w:rsid w:val="00C37884"/>
    <w:rsid w:val="00C4512D"/>
    <w:rsid w:val="00C60F20"/>
    <w:rsid w:val="00C70F5A"/>
    <w:rsid w:val="00C75185"/>
    <w:rsid w:val="00C87D79"/>
    <w:rsid w:val="00CB2087"/>
    <w:rsid w:val="00CB7F8B"/>
    <w:rsid w:val="00CD3AB1"/>
    <w:rsid w:val="00CD6579"/>
    <w:rsid w:val="00CE15AE"/>
    <w:rsid w:val="00CE2D96"/>
    <w:rsid w:val="00CF39CD"/>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2CD0"/>
    <w:rsid w:val="00E53468"/>
    <w:rsid w:val="00E53CBA"/>
    <w:rsid w:val="00E76581"/>
    <w:rsid w:val="00E773C4"/>
    <w:rsid w:val="00E85FF7"/>
    <w:rsid w:val="00E93083"/>
    <w:rsid w:val="00EA7801"/>
    <w:rsid w:val="00EB0144"/>
    <w:rsid w:val="00EB2B80"/>
    <w:rsid w:val="00EB6293"/>
    <w:rsid w:val="00EB76AE"/>
    <w:rsid w:val="00EC7786"/>
    <w:rsid w:val="00ED0E7A"/>
    <w:rsid w:val="00ED14BC"/>
    <w:rsid w:val="00EF1C04"/>
    <w:rsid w:val="00EF7919"/>
    <w:rsid w:val="00F00EB2"/>
    <w:rsid w:val="00F05E10"/>
    <w:rsid w:val="00F06079"/>
    <w:rsid w:val="00F160FF"/>
    <w:rsid w:val="00F33F3C"/>
    <w:rsid w:val="00F4702D"/>
    <w:rsid w:val="00F50A82"/>
    <w:rsid w:val="00F51BB5"/>
    <w:rsid w:val="00F51DF1"/>
    <w:rsid w:val="00F535E7"/>
    <w:rsid w:val="00F55CEF"/>
    <w:rsid w:val="00F562CC"/>
    <w:rsid w:val="00F617E4"/>
    <w:rsid w:val="00F75275"/>
    <w:rsid w:val="00F80D9C"/>
    <w:rsid w:val="00F8240F"/>
    <w:rsid w:val="00F82708"/>
    <w:rsid w:val="00F83367"/>
    <w:rsid w:val="00F877B8"/>
    <w:rsid w:val="00F90F20"/>
    <w:rsid w:val="00F91499"/>
    <w:rsid w:val="00F949F2"/>
    <w:rsid w:val="00F96597"/>
    <w:rsid w:val="00FA0739"/>
    <w:rsid w:val="00FA2F25"/>
    <w:rsid w:val="00FA4C44"/>
    <w:rsid w:val="00FA57A8"/>
    <w:rsid w:val="00FB0360"/>
    <w:rsid w:val="00FB1408"/>
    <w:rsid w:val="00FB6812"/>
    <w:rsid w:val="00FC73FE"/>
    <w:rsid w:val="00FD0F26"/>
    <w:rsid w:val="00FD20BF"/>
    <w:rsid w:val="00FE5F9B"/>
    <w:rsid w:val="00FF294F"/>
    <w:rsid w:val="00FF3581"/>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8B1"/>
  <w15:chartTrackingRefBased/>
  <w15:docId w15:val="{90E3E0BD-45AF-437E-BA71-20B0C88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2A12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52020704">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patient-centered-outcomes-research-institute-f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8CF3C-A11A-4AC9-A5C6-CC8B17851306}">
  <ds:schemaRefs>
    <ds:schemaRef ds:uri="http://schemas.openxmlformats.org/officeDocument/2006/bibliography"/>
  </ds:schemaRefs>
</ds:datastoreItem>
</file>

<file path=customXml/itemProps2.xml><?xml version="1.0" encoding="utf-8"?>
<ds:datastoreItem xmlns:ds="http://schemas.openxmlformats.org/officeDocument/2006/customXml" ds:itemID="{1F2EF00D-41F7-45D8-A927-64FA9F671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4431</CharactersWithSpaces>
  <SharedDoc>false</SharedDoc>
  <HLinks>
    <vt:vector size="24" baseType="variant">
      <vt:variant>
        <vt:i4>4587541</vt:i4>
      </vt:variant>
      <vt:variant>
        <vt:i4>9</vt:i4>
      </vt:variant>
      <vt:variant>
        <vt:i4>0</vt:i4>
      </vt:variant>
      <vt:variant>
        <vt:i4>5</vt:i4>
      </vt:variant>
      <vt:variant>
        <vt:lpwstr>http://benefitcomply.com/resources/wp-content/uploads/2019/05/HSAContributionCalculations_2020.xlsx</vt:lpwstr>
      </vt:variant>
      <vt:variant>
        <vt:lpwstr/>
      </vt:variant>
      <vt:variant>
        <vt:i4>5177362</vt:i4>
      </vt:variant>
      <vt:variant>
        <vt:i4>6</vt:i4>
      </vt:variant>
      <vt:variant>
        <vt:i4>0</vt:i4>
      </vt:variant>
      <vt:variant>
        <vt:i4>5</vt:i4>
      </vt:variant>
      <vt:variant>
        <vt:lpwstr>http://benefitcomply.com/resources/wp-content/uploads/2018/11/HSAContributionCalculations_2019.xlsx</vt:lpwstr>
      </vt:variant>
      <vt:variant>
        <vt:lpwstr/>
      </vt:variant>
      <vt:variant>
        <vt:i4>6815823</vt:i4>
      </vt:variant>
      <vt:variant>
        <vt:i4>3</vt:i4>
      </vt:variant>
      <vt:variant>
        <vt:i4>0</vt:i4>
      </vt:variant>
      <vt:variant>
        <vt:i4>5</vt:i4>
      </vt:variant>
      <vt:variant>
        <vt:lpwstr>http://benefitcomply.com/resources/wp-content/uploads/2019/05/HSAGuide_May2019.pdf</vt:lpwstr>
      </vt:variant>
      <vt:variant>
        <vt:lpwstr/>
      </vt:variant>
      <vt:variant>
        <vt:i4>6094938</vt:i4>
      </vt:variant>
      <vt:variant>
        <vt:i4>0</vt:i4>
      </vt:variant>
      <vt:variant>
        <vt:i4>0</vt:i4>
      </vt:variant>
      <vt:variant>
        <vt:i4>5</vt:i4>
      </vt:variant>
      <vt:variant>
        <vt:lpwstr>https://www.irs.gov/irb/2019-22_IRB</vt:lpwstr>
      </vt:variant>
      <vt:variant>
        <vt:lpwstr>REV-PROC-2019-25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2020-12-02T15:17:00Z</dcterms:created>
  <dcterms:modified xsi:type="dcterms:W3CDTF">2020-12-02T15:17:00Z</dcterms:modified>
</cp:coreProperties>
</file>