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4DEE" w14:textId="014CD8AD" w:rsidR="006C7EC1" w:rsidRPr="007A388B" w:rsidRDefault="003C5BBE" w:rsidP="006C7EC1">
      <w:pPr>
        <w:jc w:val="center"/>
        <w:rPr>
          <w:rFonts w:cs="Arial"/>
          <w:b/>
          <w:szCs w:val="20"/>
        </w:rPr>
      </w:pPr>
      <w:r>
        <w:rPr>
          <w:noProof/>
        </w:rPr>
        <mc:AlternateContent>
          <mc:Choice Requires="wps">
            <w:drawing>
              <wp:anchor distT="0" distB="0" distL="114300" distR="114300" simplePos="0" relativeHeight="251657216" behindDoc="0" locked="0" layoutInCell="1" allowOverlap="1" wp14:anchorId="5095B1E1" wp14:editId="01FDD123">
                <wp:simplePos x="0" y="0"/>
                <wp:positionH relativeFrom="column">
                  <wp:posOffset>2082800</wp:posOffset>
                </wp:positionH>
                <wp:positionV relativeFrom="paragraph">
                  <wp:posOffset>-604520</wp:posOffset>
                </wp:positionV>
                <wp:extent cx="4724400" cy="60515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wps:spPr>
                      <wps:txbx>
                        <w:txbxContent>
                          <w:p w14:paraId="694CA34B" w14:textId="46B57866" w:rsidR="00D147A9" w:rsidRPr="000B4DEA" w:rsidRDefault="00160EF0" w:rsidP="006B5260">
                            <w:pPr>
                              <w:jc w:val="center"/>
                              <w:rPr>
                                <w:color w:val="FFFFFF"/>
                                <w:spacing w:val="40"/>
                                <w:sz w:val="44"/>
                                <w:szCs w:val="44"/>
                              </w:rPr>
                            </w:pPr>
                            <w:r>
                              <w:rPr>
                                <w:color w:val="FFFFFF"/>
                                <w:spacing w:val="40"/>
                                <w:sz w:val="44"/>
                                <w:szCs w:val="44"/>
                              </w:rPr>
                              <w:t>Issue Brief</w:t>
                            </w:r>
                          </w:p>
                          <w:p w14:paraId="3C216563"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5B1E1" id="_x0000_t202" coordsize="21600,21600" o:spt="202" path="m,l,21600r21600,l21600,xe">
                <v:stroke joinstyle="miter"/>
                <v:path gradientshapeok="t" o:connecttype="rect"/>
              </v:shapetype>
              <v:shape id="Text Box 8" o:spid="_x0000_s1026" type="#_x0000_t202" style="position:absolute;left:0;text-align:left;margin-left:164pt;margin-top:-47.6pt;width:372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" filled="f" stroked="f">
                <v:textbox>
                  <w:txbxContent>
                    <w:p w14:paraId="694CA34B" w14:textId="46B57866" w:rsidR="00D147A9" w:rsidRPr="000B4DEA" w:rsidRDefault="00160EF0" w:rsidP="006B5260">
                      <w:pPr>
                        <w:jc w:val="center"/>
                        <w:rPr>
                          <w:color w:val="FFFFFF"/>
                          <w:spacing w:val="40"/>
                          <w:sz w:val="44"/>
                          <w:szCs w:val="44"/>
                        </w:rPr>
                      </w:pPr>
                      <w:r>
                        <w:rPr>
                          <w:color w:val="FFFFFF"/>
                          <w:spacing w:val="40"/>
                          <w:sz w:val="44"/>
                          <w:szCs w:val="44"/>
                        </w:rPr>
                        <w:t>Issue Brief</w:t>
                      </w:r>
                    </w:p>
                    <w:p w14:paraId="3C216563"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8240" behindDoc="1" locked="0" layoutInCell="1" allowOverlap="1" wp14:anchorId="19D5F356" wp14:editId="160EDCB5">
            <wp:simplePos x="0" y="0"/>
            <wp:positionH relativeFrom="column">
              <wp:posOffset>-964565</wp:posOffset>
            </wp:positionH>
            <wp:positionV relativeFrom="paragraph">
              <wp:posOffset>-802005</wp:posOffset>
            </wp:positionV>
            <wp:extent cx="7823200" cy="802640"/>
            <wp:effectExtent l="0" t="0" r="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CA983" w14:textId="77777777" w:rsidR="001824D9" w:rsidRPr="007A388B" w:rsidRDefault="001824D9" w:rsidP="00DD1020">
      <w:pPr>
        <w:rPr>
          <w:rFonts w:cs="Arial"/>
          <w:b/>
          <w:szCs w:val="20"/>
        </w:rPr>
      </w:pPr>
    </w:p>
    <w:p w14:paraId="26E0FCDF" w14:textId="11BC7ABB" w:rsidR="003443F3" w:rsidRDefault="00AC699E" w:rsidP="00740643">
      <w:pPr>
        <w:ind w:left="0"/>
        <w:rPr>
          <w:b/>
          <w:sz w:val="24"/>
          <w:szCs w:val="24"/>
        </w:rPr>
      </w:pPr>
      <w:r>
        <w:rPr>
          <w:b/>
          <w:sz w:val="24"/>
          <w:szCs w:val="24"/>
        </w:rPr>
        <w:t>Enforcement Efforts for Mental Health Parity – New Comparative Analysis</w:t>
      </w:r>
    </w:p>
    <w:p w14:paraId="2051CFBB" w14:textId="77777777" w:rsidR="003443F3" w:rsidRDefault="003443F3" w:rsidP="00740643">
      <w:pPr>
        <w:ind w:left="0"/>
      </w:pPr>
    </w:p>
    <w:p w14:paraId="7D9AEECE" w14:textId="2A836DEB" w:rsidR="003443F3" w:rsidRPr="00D20E25" w:rsidRDefault="003443F3" w:rsidP="00740643">
      <w:pPr>
        <w:ind w:left="0"/>
      </w:pPr>
      <w:r w:rsidRPr="00D20E25">
        <w:t xml:space="preserve">Issue Date: </w:t>
      </w:r>
      <w:r w:rsidR="00AC699E">
        <w:t>February</w:t>
      </w:r>
      <w:r>
        <w:t xml:space="preserve"> 2021</w:t>
      </w:r>
    </w:p>
    <w:p w14:paraId="3BC845AE" w14:textId="682290FA" w:rsidR="003443F3" w:rsidRDefault="003443F3" w:rsidP="00B21B12">
      <w:pPr>
        <w:ind w:left="0"/>
      </w:pPr>
    </w:p>
    <w:p w14:paraId="1120C65A" w14:textId="31662404" w:rsidR="00B21B12" w:rsidRDefault="00B21B12" w:rsidP="00B21B12">
      <w:pPr>
        <w:ind w:left="0"/>
      </w:pPr>
    </w:p>
    <w:p w14:paraId="36808592" w14:textId="73A1615F" w:rsidR="00B21B12" w:rsidRPr="00D20E25" w:rsidRDefault="00B21B12" w:rsidP="00B21B12">
      <w:pPr>
        <w:ind w:left="0"/>
      </w:pPr>
      <w:r w:rsidRPr="00B21B12">
        <w:t xml:space="preserve">Recent legislation prioritizes enforcement efforts for existing rules </w:t>
      </w:r>
      <w:r>
        <w:t>that require</w:t>
      </w:r>
      <w:r w:rsidRPr="00B21B12">
        <w:t xml:space="preserve"> parity for group health plan coverage of mental health and substance use disorder benefits. Group health plans</w:t>
      </w:r>
      <w:r w:rsidR="00660E8B">
        <w:t xml:space="preserve"> that provide coverage for mental health or substance use disorder benefits and are therefore</w:t>
      </w:r>
      <w:r w:rsidRPr="00B21B12">
        <w:t xml:space="preserve"> subject to mental health parity rules </w:t>
      </w:r>
      <w:r w:rsidR="00AA19CC">
        <w:t>will soon be required to</w:t>
      </w:r>
      <w:r w:rsidRPr="00B21B12">
        <w:t xml:space="preserve"> prepare a comparative analysis and have it available upon request.</w:t>
      </w:r>
      <w:r w:rsidR="006A2078">
        <w:t xml:space="preserve"> </w:t>
      </w:r>
      <w:r w:rsidR="00C23243">
        <w:t>T</w:t>
      </w:r>
      <w:r w:rsidR="00EE3421">
        <w:t>he carrier will handle this responsibility</w:t>
      </w:r>
      <w:r w:rsidR="00E552A3">
        <w:t xml:space="preserve"> </w:t>
      </w:r>
      <w:r w:rsidR="00C23243">
        <w:t>on behalf of fully-insured group health plans, but employers offering a self-funded group health plan should coordinate with their third</w:t>
      </w:r>
      <w:r w:rsidR="004D3023">
        <w:t>-</w:t>
      </w:r>
      <w:r w:rsidR="00C23243">
        <w:t>party administrator</w:t>
      </w:r>
      <w:r w:rsidR="004D3023">
        <w:t xml:space="preserve"> (TPA)</w:t>
      </w:r>
      <w:r w:rsidR="00C23243">
        <w:t xml:space="preserve"> </w:t>
      </w:r>
      <w:r w:rsidR="007C1A02">
        <w:t xml:space="preserve">to determine </w:t>
      </w:r>
      <w:r w:rsidR="000C0E97">
        <w:t>compliance responsibilities for</w:t>
      </w:r>
      <w:r w:rsidR="007F181A">
        <w:t xml:space="preserve"> this new requirement.</w:t>
      </w:r>
    </w:p>
    <w:p w14:paraId="799215B9" w14:textId="77777777" w:rsidR="005B6E73" w:rsidRDefault="005B6E73" w:rsidP="00C50309">
      <w:pPr>
        <w:pStyle w:val="NormalWeb"/>
        <w:rPr>
          <w:rFonts w:ascii="Arial" w:hAnsi="Arial" w:cs="Arial"/>
          <w:b/>
          <w:bCs/>
          <w:sz w:val="20"/>
          <w:szCs w:val="20"/>
        </w:rPr>
      </w:pPr>
      <w:r>
        <w:rPr>
          <w:rFonts w:ascii="Arial" w:hAnsi="Arial" w:cs="Arial"/>
          <w:b/>
          <w:bCs/>
          <w:sz w:val="20"/>
          <w:szCs w:val="20"/>
        </w:rPr>
        <w:t>Background</w:t>
      </w:r>
    </w:p>
    <w:p w14:paraId="23FFBBD0" w14:textId="091551B4" w:rsidR="00C50309" w:rsidRPr="00C50309" w:rsidRDefault="00C50309" w:rsidP="00C50309">
      <w:pPr>
        <w:pStyle w:val="NormalWeb"/>
        <w:rPr>
          <w:rFonts w:ascii="Arial" w:hAnsi="Arial" w:cs="Arial"/>
          <w:sz w:val="20"/>
          <w:szCs w:val="20"/>
        </w:rPr>
      </w:pPr>
      <w:r w:rsidRPr="00C50309">
        <w:rPr>
          <w:rFonts w:ascii="Arial" w:hAnsi="Arial" w:cs="Arial"/>
          <w:sz w:val="20"/>
          <w:szCs w:val="20"/>
        </w:rPr>
        <w:t xml:space="preserve">The Mental Health Parity and Addiction Equity Act (MHPAEA) does not require group health plans to provide mental health or substance use disorder benefits, but if </w:t>
      </w:r>
      <w:r w:rsidR="00C05C8A">
        <w:rPr>
          <w:rFonts w:ascii="Arial" w:hAnsi="Arial" w:cs="Arial"/>
          <w:sz w:val="20"/>
          <w:szCs w:val="20"/>
        </w:rPr>
        <w:t>a</w:t>
      </w:r>
      <w:r w:rsidRPr="00C50309">
        <w:rPr>
          <w:rFonts w:ascii="Arial" w:hAnsi="Arial" w:cs="Arial"/>
          <w:sz w:val="20"/>
          <w:szCs w:val="20"/>
        </w:rPr>
        <w:t xml:space="preserve"> plan does offer such benefits</w:t>
      </w:r>
      <w:r w:rsidR="00AA19CC">
        <w:rPr>
          <w:rFonts w:ascii="Arial" w:hAnsi="Arial" w:cs="Arial"/>
          <w:sz w:val="20"/>
          <w:szCs w:val="20"/>
        </w:rPr>
        <w:t xml:space="preserve"> beyond </w:t>
      </w:r>
      <w:r w:rsidR="004D3023">
        <w:rPr>
          <w:rFonts w:ascii="Arial" w:hAnsi="Arial" w:cs="Arial"/>
          <w:sz w:val="20"/>
          <w:szCs w:val="20"/>
        </w:rPr>
        <w:t xml:space="preserve">just </w:t>
      </w:r>
      <w:r w:rsidR="00AA19CC">
        <w:rPr>
          <w:rFonts w:ascii="Arial" w:hAnsi="Arial" w:cs="Arial"/>
          <w:sz w:val="20"/>
          <w:szCs w:val="20"/>
        </w:rPr>
        <w:t>preventive</w:t>
      </w:r>
      <w:r w:rsidR="004D3023">
        <w:rPr>
          <w:rFonts w:ascii="Arial" w:hAnsi="Arial" w:cs="Arial"/>
          <w:sz w:val="20"/>
          <w:szCs w:val="20"/>
        </w:rPr>
        <w:t xml:space="preserve"> services</w:t>
      </w:r>
      <w:r w:rsidRPr="00C50309">
        <w:rPr>
          <w:rFonts w:ascii="Arial" w:hAnsi="Arial" w:cs="Arial"/>
          <w:sz w:val="20"/>
          <w:szCs w:val="20"/>
        </w:rPr>
        <w:t>, then parity requirements (including the new comparative analysis requirements) apply.</w:t>
      </w:r>
    </w:p>
    <w:p w14:paraId="24D4D083" w14:textId="4C91EFDD" w:rsidR="00C50309" w:rsidRPr="00C50309" w:rsidRDefault="00C50309" w:rsidP="00C50309">
      <w:pPr>
        <w:pStyle w:val="NormalWeb"/>
        <w:rPr>
          <w:rFonts w:ascii="Arial" w:hAnsi="Arial" w:cs="Arial"/>
          <w:sz w:val="20"/>
          <w:szCs w:val="20"/>
        </w:rPr>
      </w:pPr>
      <w:r w:rsidRPr="00C50309">
        <w:rPr>
          <w:rFonts w:ascii="Arial" w:hAnsi="Arial" w:cs="Arial"/>
          <w:sz w:val="20"/>
          <w:szCs w:val="20"/>
        </w:rPr>
        <w:t>Small fully-insured group health plans must offer essential health benefits</w:t>
      </w:r>
      <w:r w:rsidR="004D3023">
        <w:rPr>
          <w:rFonts w:ascii="Arial" w:hAnsi="Arial" w:cs="Arial"/>
          <w:sz w:val="20"/>
          <w:szCs w:val="20"/>
        </w:rPr>
        <w:t xml:space="preserve"> (EHBs)</w:t>
      </w:r>
      <w:r w:rsidRPr="00C50309">
        <w:rPr>
          <w:rFonts w:ascii="Arial" w:hAnsi="Arial" w:cs="Arial"/>
          <w:sz w:val="20"/>
          <w:szCs w:val="20"/>
        </w:rPr>
        <w:t xml:space="preserve">, which include mental health and substance use disorder benefits, so such plans are subject to the parity rules. However, large fully-insured group health plans and all self-funded group health plans could potentially exclude </w:t>
      </w:r>
      <w:r w:rsidR="00E21CB7">
        <w:rPr>
          <w:rFonts w:ascii="Arial" w:hAnsi="Arial" w:cs="Arial"/>
          <w:sz w:val="20"/>
          <w:szCs w:val="20"/>
        </w:rPr>
        <w:t>any such coverage not</w:t>
      </w:r>
      <w:r w:rsidRPr="00C50309">
        <w:rPr>
          <w:rFonts w:ascii="Arial" w:hAnsi="Arial" w:cs="Arial"/>
          <w:sz w:val="20"/>
          <w:szCs w:val="20"/>
        </w:rPr>
        <w:t xml:space="preserve"> considered to be preventive</w:t>
      </w:r>
      <w:r w:rsidR="004D3023">
        <w:rPr>
          <w:rFonts w:ascii="Arial" w:hAnsi="Arial" w:cs="Arial"/>
          <w:sz w:val="20"/>
          <w:szCs w:val="20"/>
        </w:rPr>
        <w:t>,</w:t>
      </w:r>
      <w:r w:rsidRPr="00C50309">
        <w:rPr>
          <w:rFonts w:ascii="Arial" w:hAnsi="Arial" w:cs="Arial"/>
          <w:sz w:val="20"/>
          <w:szCs w:val="20"/>
        </w:rPr>
        <w:t xml:space="preserve"> </w:t>
      </w:r>
      <w:r w:rsidR="00E21CB7">
        <w:rPr>
          <w:rFonts w:ascii="Arial" w:hAnsi="Arial" w:cs="Arial"/>
          <w:sz w:val="20"/>
          <w:szCs w:val="20"/>
        </w:rPr>
        <w:t xml:space="preserve">and </w:t>
      </w:r>
      <w:r w:rsidRPr="00C50309">
        <w:rPr>
          <w:rFonts w:ascii="Arial" w:hAnsi="Arial" w:cs="Arial"/>
          <w:sz w:val="20"/>
          <w:szCs w:val="20"/>
        </w:rPr>
        <w:t>the rules clarify that if a plan provides only preventive</w:t>
      </w:r>
      <w:r w:rsidR="004D3023">
        <w:rPr>
          <w:rFonts w:ascii="Arial" w:hAnsi="Arial" w:cs="Arial"/>
          <w:sz w:val="20"/>
          <w:szCs w:val="20"/>
        </w:rPr>
        <w:t xml:space="preserve"> coverage</w:t>
      </w:r>
      <w:r w:rsidRPr="00C50309">
        <w:rPr>
          <w:rFonts w:ascii="Arial" w:hAnsi="Arial" w:cs="Arial"/>
          <w:sz w:val="20"/>
          <w:szCs w:val="20"/>
        </w:rPr>
        <w:t>, then the parity rules do not apply.</w:t>
      </w:r>
      <w:r w:rsidR="005E0FDF">
        <w:rPr>
          <w:rFonts w:ascii="Arial" w:hAnsi="Arial" w:cs="Arial"/>
          <w:sz w:val="20"/>
          <w:szCs w:val="20"/>
        </w:rPr>
        <w:t xml:space="preserve"> </w:t>
      </w:r>
    </w:p>
    <w:p w14:paraId="1350030A" w14:textId="6855DE81" w:rsidR="00C50309" w:rsidRPr="00C50309" w:rsidRDefault="00C50309" w:rsidP="00C50309">
      <w:pPr>
        <w:pStyle w:val="NormalWeb"/>
        <w:rPr>
          <w:rFonts w:ascii="Arial" w:hAnsi="Arial" w:cs="Arial"/>
          <w:sz w:val="20"/>
          <w:szCs w:val="20"/>
        </w:rPr>
      </w:pPr>
      <w:r w:rsidRPr="00C50309">
        <w:rPr>
          <w:rFonts w:ascii="Arial" w:hAnsi="Arial" w:cs="Arial"/>
          <w:sz w:val="20"/>
          <w:szCs w:val="20"/>
        </w:rPr>
        <w:t>For those group health plans offering mental health or substance use disorder benefits</w:t>
      </w:r>
      <w:r w:rsidR="005E0FDF">
        <w:rPr>
          <w:rFonts w:ascii="Arial" w:hAnsi="Arial" w:cs="Arial"/>
          <w:sz w:val="20"/>
          <w:szCs w:val="20"/>
        </w:rPr>
        <w:t xml:space="preserve"> beyond what is considered preventive</w:t>
      </w:r>
      <w:r w:rsidRPr="00C50309">
        <w:rPr>
          <w:rFonts w:ascii="Arial" w:hAnsi="Arial" w:cs="Arial"/>
          <w:sz w:val="20"/>
          <w:szCs w:val="20"/>
        </w:rPr>
        <w:t>, the parity rules can be summarized as follows:</w:t>
      </w:r>
    </w:p>
    <w:p w14:paraId="0E8953E2" w14:textId="7CC72355" w:rsidR="00663EFB" w:rsidRPr="00663EFB" w:rsidRDefault="00C50309" w:rsidP="0092349E">
      <w:pPr>
        <w:spacing w:before="100" w:beforeAutospacing="1" w:after="100" w:afterAutospacing="1"/>
        <w:rPr>
          <w:rStyle w:val="Strong"/>
          <w:rFonts w:cs="Arial"/>
          <w:b w:val="0"/>
          <w:bCs w:val="0"/>
          <w:szCs w:val="20"/>
        </w:rPr>
      </w:pPr>
      <w:r w:rsidRPr="00663EFB">
        <w:rPr>
          <w:rStyle w:val="Strong"/>
          <w:rFonts w:cs="Arial"/>
          <w:b w:val="0"/>
          <w:bCs w:val="0"/>
          <w:szCs w:val="20"/>
          <w:u w:val="single"/>
        </w:rPr>
        <w:t>A</w:t>
      </w:r>
      <w:r w:rsidR="005E0FDF" w:rsidRPr="00663EFB">
        <w:rPr>
          <w:rStyle w:val="Strong"/>
          <w:rFonts w:cs="Arial"/>
          <w:b w:val="0"/>
          <w:bCs w:val="0"/>
          <w:szCs w:val="20"/>
          <w:u w:val="single"/>
        </w:rPr>
        <w:t>ny a</w:t>
      </w:r>
      <w:r w:rsidRPr="00663EFB">
        <w:rPr>
          <w:rStyle w:val="Strong"/>
          <w:rFonts w:cs="Arial"/>
          <w:b w:val="0"/>
          <w:bCs w:val="0"/>
          <w:szCs w:val="20"/>
          <w:u w:val="single"/>
        </w:rPr>
        <w:t>nnual</w:t>
      </w:r>
      <w:r w:rsidR="005E0FDF" w:rsidRPr="00663EFB">
        <w:rPr>
          <w:rStyle w:val="Strong"/>
          <w:rFonts w:cs="Arial"/>
          <w:b w:val="0"/>
          <w:bCs w:val="0"/>
          <w:szCs w:val="20"/>
          <w:u w:val="single"/>
        </w:rPr>
        <w:t xml:space="preserve"> or l</w:t>
      </w:r>
      <w:r w:rsidRPr="00663EFB">
        <w:rPr>
          <w:rStyle w:val="Strong"/>
          <w:rFonts w:cs="Arial"/>
          <w:b w:val="0"/>
          <w:bCs w:val="0"/>
          <w:szCs w:val="20"/>
          <w:u w:val="single"/>
        </w:rPr>
        <w:t xml:space="preserve">ifetime limits must be the same or </w:t>
      </w:r>
      <w:r w:rsidR="005E0FDF" w:rsidRPr="00663EFB">
        <w:rPr>
          <w:rStyle w:val="Strong"/>
          <w:rFonts w:cs="Arial"/>
          <w:b w:val="0"/>
          <w:bCs w:val="0"/>
          <w:szCs w:val="20"/>
          <w:u w:val="single"/>
        </w:rPr>
        <w:t xml:space="preserve">more </w:t>
      </w:r>
      <w:r w:rsidRPr="00663EFB">
        <w:rPr>
          <w:rStyle w:val="Strong"/>
          <w:rFonts w:cs="Arial"/>
          <w:b w:val="0"/>
          <w:bCs w:val="0"/>
          <w:szCs w:val="20"/>
          <w:u w:val="single"/>
        </w:rPr>
        <w:t>generous than those applicable to medical/surgical benefits</w:t>
      </w:r>
      <w:r w:rsidRPr="00663EFB">
        <w:rPr>
          <w:rStyle w:val="Strong"/>
          <w:rFonts w:cs="Arial"/>
          <w:b w:val="0"/>
          <w:bCs w:val="0"/>
          <w:szCs w:val="20"/>
        </w:rPr>
        <w:t>.</w:t>
      </w:r>
      <w:r w:rsidRPr="00C50309">
        <w:rPr>
          <w:rFonts w:cs="Arial"/>
          <w:szCs w:val="20"/>
        </w:rPr>
        <w:t xml:space="preserve"> This requirement is generally met because plans are broadly prohibited by the ACA from placing annual or lifetime limits on </w:t>
      </w:r>
      <w:r w:rsidR="004D3023">
        <w:rPr>
          <w:rFonts w:cs="Arial"/>
          <w:szCs w:val="20"/>
        </w:rPr>
        <w:t>EHBs</w:t>
      </w:r>
      <w:r w:rsidRPr="00C50309">
        <w:rPr>
          <w:rFonts w:cs="Arial"/>
          <w:szCs w:val="20"/>
        </w:rPr>
        <w:t xml:space="preserve">, and most often mental health and substance use disorder benefits will be </w:t>
      </w:r>
      <w:r w:rsidR="004D3023">
        <w:rPr>
          <w:rFonts w:cs="Arial"/>
          <w:szCs w:val="20"/>
        </w:rPr>
        <w:t>EHBs</w:t>
      </w:r>
      <w:r w:rsidRPr="00C50309">
        <w:rPr>
          <w:rFonts w:cs="Arial"/>
          <w:szCs w:val="20"/>
        </w:rPr>
        <w:t>.</w:t>
      </w:r>
    </w:p>
    <w:p w14:paraId="16F8D604" w14:textId="7EA37DE5" w:rsidR="005E0FDF" w:rsidRPr="00663EFB" w:rsidRDefault="00C50309" w:rsidP="000F215F">
      <w:pPr>
        <w:spacing w:before="100" w:beforeAutospacing="1" w:after="100" w:afterAutospacing="1"/>
        <w:rPr>
          <w:rFonts w:cs="Arial"/>
          <w:szCs w:val="20"/>
        </w:rPr>
      </w:pPr>
      <w:r w:rsidRPr="00663EFB">
        <w:rPr>
          <w:rStyle w:val="Strong"/>
          <w:rFonts w:cs="Arial"/>
          <w:b w:val="0"/>
          <w:bCs w:val="0"/>
          <w:szCs w:val="20"/>
          <w:u w:val="single"/>
        </w:rPr>
        <w:t>Equality of financial requirements and quantitative treatment limitations</w:t>
      </w:r>
      <w:r w:rsidRPr="00663EFB">
        <w:rPr>
          <w:rStyle w:val="Strong"/>
          <w:rFonts w:cs="Arial"/>
          <w:b w:val="0"/>
          <w:bCs w:val="0"/>
          <w:szCs w:val="20"/>
        </w:rPr>
        <w:t>.</w:t>
      </w:r>
      <w:r w:rsidRPr="00663EFB">
        <w:rPr>
          <w:rFonts w:cs="Arial"/>
          <w:b/>
          <w:bCs/>
          <w:szCs w:val="20"/>
        </w:rPr>
        <w:t xml:space="preserve"> </w:t>
      </w:r>
      <w:r w:rsidRPr="00C50309">
        <w:rPr>
          <w:rFonts w:cs="Arial"/>
          <w:szCs w:val="20"/>
        </w:rPr>
        <w:t>This requirement considers financial requirements (e.g. deductibles, copays, or coinsurance) and quantitative treatment limitations (e.g. frequency of treatment, number of visits, or days of coverage) and indicates such requirements or limitations cannot be more restrictive than the predominant requirements and limitations that apply for substantially all of the medical/surgical benefits.</w:t>
      </w:r>
      <w:r w:rsidR="007D1EF7">
        <w:rPr>
          <w:rFonts w:cs="Arial"/>
          <w:szCs w:val="20"/>
        </w:rPr>
        <w:t xml:space="preserve"> </w:t>
      </w:r>
      <w:r w:rsidR="00040AAC">
        <w:rPr>
          <w:rFonts w:cs="Arial"/>
          <w:szCs w:val="20"/>
        </w:rPr>
        <w:t>When considering this rule, i</w:t>
      </w:r>
      <w:r w:rsidR="007D1EF7" w:rsidRPr="007D1EF7">
        <w:rPr>
          <w:rFonts w:cs="Arial"/>
          <w:szCs w:val="20"/>
        </w:rPr>
        <w:t>t</w:t>
      </w:r>
      <w:r w:rsidR="004D3023">
        <w:rPr>
          <w:rFonts w:cs="Arial"/>
          <w:szCs w:val="20"/>
        </w:rPr>
        <w:t xml:space="preserve"> is</w:t>
      </w:r>
      <w:r w:rsidR="007D1EF7" w:rsidRPr="007D1EF7">
        <w:rPr>
          <w:rFonts w:cs="Arial"/>
          <w:szCs w:val="20"/>
        </w:rPr>
        <w:t xml:space="preserve"> necessary to determine whether there is a type of financial requirement or treatment limitation that applies to at least 2/3 of the medical/surgical benefits. If yes, </w:t>
      </w:r>
      <w:r w:rsidR="007D1EF7">
        <w:rPr>
          <w:rFonts w:cs="Arial"/>
          <w:szCs w:val="20"/>
        </w:rPr>
        <w:t xml:space="preserve">the </w:t>
      </w:r>
      <w:r w:rsidR="007D1EF7" w:rsidRPr="007D1EF7">
        <w:rPr>
          <w:rFonts w:cs="Arial"/>
          <w:szCs w:val="20"/>
        </w:rPr>
        <w:t xml:space="preserve">predominant level of that financial requirement or treatment limitation, or something less restrictive, may apply to </w:t>
      </w:r>
      <w:r w:rsidR="007D1EF7">
        <w:rPr>
          <w:rFonts w:cs="Arial"/>
          <w:szCs w:val="20"/>
        </w:rPr>
        <w:t>mental health or substance use disorder</w:t>
      </w:r>
      <w:r w:rsidR="007D1EF7" w:rsidRPr="007D1EF7">
        <w:rPr>
          <w:rFonts w:cs="Arial"/>
          <w:szCs w:val="20"/>
        </w:rPr>
        <w:t xml:space="preserve"> benefits.</w:t>
      </w:r>
      <w:r w:rsidR="000F215F">
        <w:rPr>
          <w:rFonts w:cs="Arial"/>
          <w:szCs w:val="20"/>
        </w:rPr>
        <w:t xml:space="preserve"> </w:t>
      </w:r>
      <w:r w:rsidR="007D1EF7" w:rsidRPr="007D1EF7">
        <w:rPr>
          <w:rFonts w:cs="Arial"/>
          <w:szCs w:val="20"/>
        </w:rPr>
        <w:t xml:space="preserve">However, if there </w:t>
      </w:r>
      <w:r w:rsidR="0032612C">
        <w:rPr>
          <w:rFonts w:cs="Arial"/>
          <w:szCs w:val="20"/>
        </w:rPr>
        <w:t>isn’t a</w:t>
      </w:r>
      <w:r w:rsidR="007D1EF7" w:rsidRPr="007D1EF7">
        <w:rPr>
          <w:rFonts w:cs="Arial"/>
          <w:szCs w:val="20"/>
        </w:rPr>
        <w:t xml:space="preserve"> </w:t>
      </w:r>
      <w:r w:rsidR="0032612C">
        <w:rPr>
          <w:rFonts w:cs="Arial"/>
          <w:szCs w:val="20"/>
        </w:rPr>
        <w:t>financial requirement or treatment limitation</w:t>
      </w:r>
      <w:r w:rsidR="007D1EF7" w:rsidRPr="007D1EF7">
        <w:rPr>
          <w:rFonts w:cs="Arial"/>
          <w:szCs w:val="20"/>
        </w:rPr>
        <w:t xml:space="preserve"> that applies to at least 2/3 of the medical/surgical benefits, then the plan cannot impose any cost-sharing </w:t>
      </w:r>
      <w:r w:rsidR="00C62BAB">
        <w:rPr>
          <w:rFonts w:cs="Arial"/>
          <w:szCs w:val="20"/>
        </w:rPr>
        <w:t xml:space="preserve">or treatment limitations </w:t>
      </w:r>
      <w:r w:rsidR="007D1EF7" w:rsidRPr="007D1EF7">
        <w:rPr>
          <w:rFonts w:cs="Arial"/>
          <w:szCs w:val="20"/>
        </w:rPr>
        <w:t xml:space="preserve">for </w:t>
      </w:r>
      <w:r w:rsidR="00C62BAB">
        <w:rPr>
          <w:rFonts w:cs="Arial"/>
          <w:szCs w:val="20"/>
        </w:rPr>
        <w:t>mental health or substance use disorder benefits</w:t>
      </w:r>
      <w:r w:rsidR="007D1EF7" w:rsidRPr="007D1EF7">
        <w:rPr>
          <w:rFonts w:cs="Arial"/>
          <w:szCs w:val="20"/>
        </w:rPr>
        <w:t xml:space="preserve">. For example, if 50% of outpatient office visits are subject to coinsurance and 50% are subject to a copay, then the plan could not charge anything for </w:t>
      </w:r>
      <w:r w:rsidR="00C62BAB">
        <w:rPr>
          <w:rFonts w:cs="Arial"/>
          <w:szCs w:val="20"/>
        </w:rPr>
        <w:t>mental health or substance use disorder</w:t>
      </w:r>
      <w:r w:rsidR="007D1EF7" w:rsidRPr="007D1EF7">
        <w:rPr>
          <w:rFonts w:cs="Arial"/>
          <w:szCs w:val="20"/>
        </w:rPr>
        <w:t xml:space="preserve"> office visits.</w:t>
      </w:r>
    </w:p>
    <w:p w14:paraId="61F24E1D" w14:textId="4C99318D" w:rsidR="00C50309" w:rsidRPr="00C50309" w:rsidRDefault="00C50309" w:rsidP="0092349E">
      <w:pPr>
        <w:spacing w:before="100" w:beforeAutospacing="1" w:after="100" w:afterAutospacing="1"/>
        <w:rPr>
          <w:rFonts w:cs="Arial"/>
          <w:szCs w:val="20"/>
        </w:rPr>
      </w:pPr>
      <w:r w:rsidRPr="00663EFB">
        <w:rPr>
          <w:rStyle w:val="Strong"/>
          <w:rFonts w:cs="Arial"/>
          <w:b w:val="0"/>
          <w:bCs w:val="0"/>
          <w:szCs w:val="20"/>
          <w:u w:val="single"/>
        </w:rPr>
        <w:t>Equal treatment for non-quantitative treatment limitations</w:t>
      </w:r>
      <w:r w:rsidRPr="00663EFB">
        <w:rPr>
          <w:rStyle w:val="Strong"/>
          <w:rFonts w:cs="Arial"/>
          <w:b w:val="0"/>
          <w:bCs w:val="0"/>
          <w:szCs w:val="20"/>
        </w:rPr>
        <w:t>.</w:t>
      </w:r>
      <w:r w:rsidRPr="00C50309">
        <w:rPr>
          <w:rFonts w:cs="Arial"/>
          <w:szCs w:val="20"/>
        </w:rPr>
        <w:t xml:space="preserve"> Any non-quantitative treatment limitations (NQTLs) imposing processes, strategies, evidentiary standards or other factors before providing coverage cannot be more stringent than those applied to medical/surgical benefits. Of the three requirements, parity for NQTLs has proven to be the most difficult to understand and implement. The </w:t>
      </w:r>
      <w:r w:rsidRPr="00C50309">
        <w:rPr>
          <w:rFonts w:cs="Arial"/>
          <w:szCs w:val="20"/>
        </w:rPr>
        <w:lastRenderedPageBreak/>
        <w:t>agencies have issued several FAQs and a self-check tool to clarify exactly what is required.</w:t>
      </w:r>
      <w:r w:rsidR="009C01FF">
        <w:rPr>
          <w:rFonts w:cs="Arial"/>
          <w:szCs w:val="20"/>
        </w:rPr>
        <w:t xml:space="preserve"> The new comparative analysis</w:t>
      </w:r>
      <w:r w:rsidR="004D3023">
        <w:rPr>
          <w:rFonts w:cs="Arial"/>
          <w:szCs w:val="20"/>
        </w:rPr>
        <w:t xml:space="preserve"> requirement</w:t>
      </w:r>
      <w:r w:rsidR="003906B5">
        <w:rPr>
          <w:rFonts w:cs="Arial"/>
          <w:szCs w:val="20"/>
        </w:rPr>
        <w:t xml:space="preserve"> discussed below is focused on NQTLs.</w:t>
      </w:r>
    </w:p>
    <w:p w14:paraId="27AB8C0C" w14:textId="287158A7" w:rsidR="00C50309" w:rsidRPr="00C50309" w:rsidRDefault="00C50309" w:rsidP="00C50309">
      <w:pPr>
        <w:pStyle w:val="NormalWeb"/>
        <w:rPr>
          <w:rFonts w:ascii="Arial" w:hAnsi="Arial" w:cs="Arial"/>
          <w:sz w:val="20"/>
          <w:szCs w:val="20"/>
        </w:rPr>
      </w:pPr>
      <w:r w:rsidRPr="00C50309">
        <w:rPr>
          <w:rFonts w:ascii="Arial" w:hAnsi="Arial" w:cs="Arial"/>
          <w:sz w:val="20"/>
          <w:szCs w:val="20"/>
        </w:rPr>
        <w:t>The financial requirements, quantitative treatment limitations and NQTLs must be provided in parity with medical/surgical benefits within each of 6 designated classifications: (i) inpatient, in-network; (ii) inpatient, out-of-network; (iii) outpatient, in-network; (iv) outpatient, out-of-network; (v) emergency care; and (vi) prescription drugs.</w:t>
      </w:r>
      <w:r w:rsidR="00A5256D">
        <w:rPr>
          <w:rFonts w:ascii="Arial" w:hAnsi="Arial" w:cs="Arial"/>
          <w:sz w:val="20"/>
          <w:szCs w:val="20"/>
        </w:rPr>
        <w:t xml:space="preserve"> </w:t>
      </w:r>
      <w:r w:rsidR="00A5256D" w:rsidRPr="00A5256D">
        <w:rPr>
          <w:rFonts w:ascii="Arial" w:hAnsi="Arial" w:cs="Arial"/>
          <w:sz w:val="20"/>
          <w:szCs w:val="20"/>
        </w:rPr>
        <w:t>Outpatient services may be sub-classified into</w:t>
      </w:r>
      <w:r w:rsidR="00A5256D">
        <w:rPr>
          <w:rFonts w:ascii="Arial" w:hAnsi="Arial" w:cs="Arial"/>
          <w:sz w:val="20"/>
          <w:szCs w:val="20"/>
        </w:rPr>
        <w:t>:</w:t>
      </w:r>
      <w:r w:rsidR="00A5256D" w:rsidRPr="00A5256D">
        <w:rPr>
          <w:rFonts w:ascii="Arial" w:hAnsi="Arial" w:cs="Arial"/>
          <w:sz w:val="20"/>
          <w:szCs w:val="20"/>
        </w:rPr>
        <w:t xml:space="preserve"> (a) office visits</w:t>
      </w:r>
      <w:r w:rsidR="00A5256D">
        <w:rPr>
          <w:rFonts w:ascii="Arial" w:hAnsi="Arial" w:cs="Arial"/>
          <w:sz w:val="20"/>
          <w:szCs w:val="20"/>
        </w:rPr>
        <w:t>;</w:t>
      </w:r>
      <w:r w:rsidR="00A5256D" w:rsidRPr="00A5256D">
        <w:rPr>
          <w:rFonts w:ascii="Arial" w:hAnsi="Arial" w:cs="Arial"/>
          <w:sz w:val="20"/>
          <w:szCs w:val="20"/>
        </w:rPr>
        <w:t xml:space="preserve"> and (b) all other outpatient items and services</w:t>
      </w:r>
      <w:r w:rsidR="00A5256D">
        <w:rPr>
          <w:rFonts w:ascii="Arial" w:hAnsi="Arial" w:cs="Arial"/>
          <w:sz w:val="20"/>
          <w:szCs w:val="20"/>
        </w:rPr>
        <w:t xml:space="preserve">, </w:t>
      </w:r>
      <w:r w:rsidR="002E0D2B">
        <w:rPr>
          <w:rFonts w:ascii="Arial" w:hAnsi="Arial" w:cs="Arial"/>
          <w:sz w:val="20"/>
          <w:szCs w:val="20"/>
        </w:rPr>
        <w:t>but plans may</w:t>
      </w:r>
      <w:r w:rsidR="002E0D2B" w:rsidRPr="002E0D2B">
        <w:rPr>
          <w:rFonts w:ascii="Arial" w:hAnsi="Arial" w:cs="Arial"/>
          <w:sz w:val="20"/>
          <w:szCs w:val="20"/>
        </w:rPr>
        <w:t xml:space="preserve"> not further sub-classify generalists and specialists</w:t>
      </w:r>
      <w:r w:rsidR="002E0D2B">
        <w:rPr>
          <w:rFonts w:ascii="Arial" w:hAnsi="Arial" w:cs="Arial"/>
          <w:sz w:val="20"/>
          <w:szCs w:val="20"/>
        </w:rPr>
        <w:t>.</w:t>
      </w:r>
    </w:p>
    <w:p w14:paraId="30954A05" w14:textId="2F366193" w:rsidR="00AA19CC" w:rsidRPr="006F0090" w:rsidRDefault="006F0090" w:rsidP="00C50309">
      <w:pPr>
        <w:pStyle w:val="NormalWeb"/>
        <w:rPr>
          <w:rFonts w:ascii="Arial" w:hAnsi="Arial" w:cs="Arial"/>
          <w:b/>
          <w:bCs/>
          <w:sz w:val="20"/>
          <w:szCs w:val="20"/>
        </w:rPr>
      </w:pPr>
      <w:r>
        <w:rPr>
          <w:rFonts w:ascii="Arial" w:hAnsi="Arial" w:cs="Arial"/>
          <w:b/>
          <w:bCs/>
          <w:sz w:val="20"/>
          <w:szCs w:val="20"/>
        </w:rPr>
        <w:t>Comparative Analysis Requirements</w:t>
      </w:r>
    </w:p>
    <w:p w14:paraId="7B287635" w14:textId="536A503E" w:rsidR="00C50309" w:rsidRPr="00C50309" w:rsidRDefault="00C50309" w:rsidP="00C50309">
      <w:pPr>
        <w:pStyle w:val="NormalWeb"/>
        <w:rPr>
          <w:rFonts w:ascii="Arial" w:hAnsi="Arial" w:cs="Arial"/>
          <w:sz w:val="20"/>
          <w:szCs w:val="20"/>
        </w:rPr>
      </w:pPr>
      <w:r w:rsidRPr="00C50309">
        <w:rPr>
          <w:rFonts w:ascii="Arial" w:hAnsi="Arial" w:cs="Arial"/>
          <w:sz w:val="20"/>
          <w:szCs w:val="20"/>
        </w:rPr>
        <w:t>The latest efforts to improve compliance with these parity requirements was included in the Consolidated Appropriations Act of 2021. The legislation requires that group health plans providing mental health or substance abuse disorder benefits and imposing any NQTLs on such benefits (i.e. restrictions not tied to dollar value or frequency) must perform and document a comparative analysis. The comparative analysis is required to contain the following information (copied directly from the legislation):</w:t>
      </w:r>
    </w:p>
    <w:p w14:paraId="5A4BC4E4" w14:textId="77777777" w:rsidR="00C50309" w:rsidRPr="00C50309" w:rsidRDefault="00C50309" w:rsidP="00C50309">
      <w:pPr>
        <w:numPr>
          <w:ilvl w:val="0"/>
          <w:numId w:val="27"/>
        </w:numPr>
        <w:spacing w:before="100" w:beforeAutospacing="1" w:after="100" w:afterAutospacing="1"/>
        <w:rPr>
          <w:rFonts w:cs="Arial"/>
          <w:szCs w:val="20"/>
        </w:rPr>
      </w:pPr>
      <w:r w:rsidRPr="00C50309">
        <w:rPr>
          <w:rFonts w:cs="Arial"/>
          <w:szCs w:val="20"/>
        </w:rPr>
        <w:t>The specific plan or coverage terms or other relevant terms regarding the NQTLs and a description of all mental health or substance use disorder and medical or surgical benefits to which each such term applies in each respective benefits classification.</w:t>
      </w:r>
    </w:p>
    <w:p w14:paraId="27CD3F90" w14:textId="77777777" w:rsidR="00C50309" w:rsidRPr="00C50309" w:rsidRDefault="00C50309" w:rsidP="00C50309">
      <w:pPr>
        <w:numPr>
          <w:ilvl w:val="0"/>
          <w:numId w:val="27"/>
        </w:numPr>
        <w:spacing w:before="100" w:beforeAutospacing="1" w:after="100" w:afterAutospacing="1"/>
        <w:rPr>
          <w:rFonts w:cs="Arial"/>
          <w:szCs w:val="20"/>
        </w:rPr>
      </w:pPr>
      <w:r w:rsidRPr="00C50309">
        <w:rPr>
          <w:rFonts w:cs="Arial"/>
          <w:szCs w:val="20"/>
        </w:rPr>
        <w:t>The factors used to determine that the NQTLs will apply to mental health or substance use disorder benefits and medical or surgical benefits.</w:t>
      </w:r>
    </w:p>
    <w:p w14:paraId="080C3DE6" w14:textId="77777777" w:rsidR="00C50309" w:rsidRPr="00C50309" w:rsidRDefault="00C50309" w:rsidP="00C50309">
      <w:pPr>
        <w:numPr>
          <w:ilvl w:val="0"/>
          <w:numId w:val="27"/>
        </w:numPr>
        <w:spacing w:before="100" w:beforeAutospacing="1" w:after="100" w:afterAutospacing="1"/>
        <w:rPr>
          <w:rFonts w:cs="Arial"/>
          <w:szCs w:val="20"/>
        </w:rPr>
      </w:pPr>
      <w:r w:rsidRPr="00C50309">
        <w:rPr>
          <w:rFonts w:cs="Arial"/>
          <w:szCs w:val="20"/>
        </w:rPr>
        <w:t>The evidentiary standards used for the factors identified in clause (ii), when applicable, provided that every factor shall be defined, and any other source or evidence relied upon to design and apply the NQTLs to mental health or substance use disorder benefits and medical or surgical benefits.</w:t>
      </w:r>
    </w:p>
    <w:p w14:paraId="58AF5813" w14:textId="77777777" w:rsidR="00C50309" w:rsidRPr="00C50309" w:rsidRDefault="00C50309" w:rsidP="00C50309">
      <w:pPr>
        <w:numPr>
          <w:ilvl w:val="0"/>
          <w:numId w:val="27"/>
        </w:numPr>
        <w:spacing w:before="100" w:beforeAutospacing="1" w:after="100" w:afterAutospacing="1"/>
        <w:rPr>
          <w:rFonts w:cs="Arial"/>
          <w:szCs w:val="20"/>
        </w:rPr>
      </w:pPr>
      <w:r w:rsidRPr="00C50309">
        <w:rPr>
          <w:rFonts w:cs="Arial"/>
          <w:szCs w:val="20"/>
        </w:rPr>
        <w:t>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p w14:paraId="59D2C198" w14:textId="77777777" w:rsidR="00C50309" w:rsidRPr="00C50309" w:rsidRDefault="00C50309" w:rsidP="00C50309">
      <w:pPr>
        <w:numPr>
          <w:ilvl w:val="0"/>
          <w:numId w:val="27"/>
        </w:numPr>
        <w:spacing w:before="100" w:beforeAutospacing="1" w:after="100" w:afterAutospacing="1"/>
        <w:rPr>
          <w:rFonts w:cs="Arial"/>
          <w:szCs w:val="20"/>
        </w:rPr>
      </w:pPr>
      <w:r w:rsidRPr="00C50309">
        <w:rPr>
          <w:rFonts w:cs="Arial"/>
          <w:szCs w:val="20"/>
        </w:rPr>
        <w:t>The specific findings and conclusions reached by the group health plan or health insurance issuer with respect to the health insurance coverage, including any results of the analyses described in this subparagraph that indicate that the plan or coverage is or is not in compliance with this section.</w:t>
      </w:r>
    </w:p>
    <w:p w14:paraId="71556A03" w14:textId="639721DA" w:rsidR="002A10E0" w:rsidRDefault="00C50309" w:rsidP="00C50309">
      <w:pPr>
        <w:pStyle w:val="NormalWeb"/>
        <w:rPr>
          <w:rFonts w:ascii="Arial" w:hAnsi="Arial" w:cs="Arial"/>
          <w:sz w:val="20"/>
          <w:szCs w:val="20"/>
        </w:rPr>
      </w:pPr>
      <w:r w:rsidRPr="00C50309">
        <w:rPr>
          <w:rFonts w:ascii="Arial" w:hAnsi="Arial" w:cs="Arial"/>
          <w:sz w:val="20"/>
          <w:szCs w:val="20"/>
        </w:rPr>
        <w:t>Beginning 45 days after the legislation goes into effect</w:t>
      </w:r>
      <w:r w:rsidR="00DF07FC">
        <w:rPr>
          <w:rFonts w:ascii="Arial" w:hAnsi="Arial" w:cs="Arial"/>
          <w:sz w:val="20"/>
          <w:szCs w:val="20"/>
        </w:rPr>
        <w:t xml:space="preserve"> (in early February)</w:t>
      </w:r>
      <w:r w:rsidRPr="00C50309">
        <w:rPr>
          <w:rFonts w:ascii="Arial" w:hAnsi="Arial" w:cs="Arial"/>
          <w:sz w:val="20"/>
          <w:szCs w:val="20"/>
        </w:rPr>
        <w:t>, the comparative analysis must be made available to the applicable state or federal agency upon request</w:t>
      </w:r>
      <w:r w:rsidR="00DF07FC">
        <w:rPr>
          <w:rFonts w:ascii="Arial" w:hAnsi="Arial" w:cs="Arial"/>
          <w:sz w:val="20"/>
          <w:szCs w:val="20"/>
        </w:rPr>
        <w:t>. The analysis does</w:t>
      </w:r>
      <w:r w:rsidR="009E6E57">
        <w:rPr>
          <w:rFonts w:ascii="Arial" w:hAnsi="Arial" w:cs="Arial"/>
          <w:sz w:val="20"/>
          <w:szCs w:val="20"/>
        </w:rPr>
        <w:t xml:space="preserve"> not</w:t>
      </w:r>
      <w:r w:rsidR="00DF07FC">
        <w:rPr>
          <w:rFonts w:ascii="Arial" w:hAnsi="Arial" w:cs="Arial"/>
          <w:sz w:val="20"/>
          <w:szCs w:val="20"/>
        </w:rPr>
        <w:t xml:space="preserve"> need to be sent anywhere, but </w:t>
      </w:r>
      <w:r w:rsidRPr="00C50309">
        <w:rPr>
          <w:rFonts w:ascii="Arial" w:hAnsi="Arial" w:cs="Arial"/>
          <w:sz w:val="20"/>
          <w:szCs w:val="20"/>
        </w:rPr>
        <w:t>it should be kept in a file for audit purposes in case</w:t>
      </w:r>
      <w:r w:rsidR="009E6E57">
        <w:rPr>
          <w:rFonts w:ascii="Arial" w:hAnsi="Arial" w:cs="Arial"/>
          <w:sz w:val="20"/>
          <w:szCs w:val="20"/>
        </w:rPr>
        <w:t xml:space="preserve"> it is</w:t>
      </w:r>
      <w:r w:rsidRPr="00C50309">
        <w:rPr>
          <w:rFonts w:ascii="Arial" w:hAnsi="Arial" w:cs="Arial"/>
          <w:sz w:val="20"/>
          <w:szCs w:val="20"/>
        </w:rPr>
        <w:t xml:space="preserve"> ever requested. If an agency audit of the analysis determines that any NQTL does not comply with the parity requirements, the plan may be required to take corrective action to bring the plan into compliance. If the plan fails to do so in a timely manner, the agency </w:t>
      </w:r>
      <w:r w:rsidR="009E6E57">
        <w:rPr>
          <w:rFonts w:ascii="Arial" w:hAnsi="Arial" w:cs="Arial"/>
          <w:sz w:val="20"/>
          <w:szCs w:val="20"/>
        </w:rPr>
        <w:t>will</w:t>
      </w:r>
      <w:r w:rsidR="009E6E57" w:rsidRPr="00C50309">
        <w:rPr>
          <w:rFonts w:ascii="Arial" w:hAnsi="Arial" w:cs="Arial"/>
          <w:sz w:val="20"/>
          <w:szCs w:val="20"/>
        </w:rPr>
        <w:t xml:space="preserve"> </w:t>
      </w:r>
      <w:r w:rsidRPr="00C50309">
        <w:rPr>
          <w:rFonts w:ascii="Arial" w:hAnsi="Arial" w:cs="Arial"/>
          <w:sz w:val="20"/>
          <w:szCs w:val="20"/>
        </w:rPr>
        <w:t>notify enrolled individuals of the non-compliance and may also include the plan in a public report along with other non-compliant plans.</w:t>
      </w:r>
    </w:p>
    <w:p w14:paraId="3F832A48" w14:textId="2C2FF412" w:rsidR="002A10E0" w:rsidRPr="00C50309" w:rsidRDefault="002A10E0" w:rsidP="002A10E0">
      <w:pPr>
        <w:spacing w:before="100" w:beforeAutospacing="1" w:after="100" w:afterAutospacing="1"/>
        <w:ind w:left="0"/>
        <w:rPr>
          <w:rFonts w:cs="Arial"/>
          <w:szCs w:val="20"/>
        </w:rPr>
      </w:pPr>
      <w:r w:rsidRPr="00C50309">
        <w:rPr>
          <w:rFonts w:cs="Arial"/>
          <w:szCs w:val="20"/>
        </w:rPr>
        <w:t xml:space="preserve">For </w:t>
      </w:r>
      <w:r w:rsidRPr="00C50309">
        <w:rPr>
          <w:rFonts w:cs="Arial"/>
          <w:szCs w:val="20"/>
          <w:u w:val="single"/>
        </w:rPr>
        <w:t>fully-insured plans</w:t>
      </w:r>
      <w:r w:rsidRPr="00C50309">
        <w:rPr>
          <w:rFonts w:cs="Arial"/>
          <w:szCs w:val="20"/>
        </w:rPr>
        <w:t xml:space="preserve">, </w:t>
      </w:r>
      <w:r w:rsidR="00AD41F0">
        <w:rPr>
          <w:rFonts w:cs="Arial"/>
          <w:szCs w:val="20"/>
        </w:rPr>
        <w:t>t</w:t>
      </w:r>
      <w:r>
        <w:rPr>
          <w:rFonts w:cs="Arial"/>
          <w:szCs w:val="20"/>
        </w:rPr>
        <w:t>he carrier is primarily responsible for ensuring the plan design and claims processing comply with the MHPAEA, and the carrier should prepare this comparative analysis and handle any audit of such analysis if requested. Some carriers are already subject to such requirements and audits at the state level.</w:t>
      </w:r>
    </w:p>
    <w:p w14:paraId="0D45881B" w14:textId="25C7C67B" w:rsidR="002A10E0" w:rsidRPr="00C50309" w:rsidRDefault="002A10E0" w:rsidP="00DF5ABB">
      <w:pPr>
        <w:spacing w:before="100" w:beforeAutospacing="1" w:after="100" w:afterAutospacing="1"/>
        <w:ind w:left="0"/>
        <w:rPr>
          <w:rFonts w:cs="Arial"/>
          <w:szCs w:val="20"/>
        </w:rPr>
      </w:pPr>
      <w:r w:rsidRPr="00C50309">
        <w:rPr>
          <w:rFonts w:cs="Arial"/>
          <w:szCs w:val="20"/>
        </w:rPr>
        <w:t xml:space="preserve">For </w:t>
      </w:r>
      <w:r w:rsidRPr="00C50309">
        <w:rPr>
          <w:rFonts w:cs="Arial"/>
          <w:szCs w:val="20"/>
          <w:u w:val="single"/>
        </w:rPr>
        <w:t>self-funded plans</w:t>
      </w:r>
      <w:r w:rsidRPr="00C50309">
        <w:rPr>
          <w:rFonts w:cs="Arial"/>
          <w:szCs w:val="20"/>
        </w:rPr>
        <w:t>, the TPA will likely take responsibility for this</w:t>
      </w:r>
      <w:r>
        <w:rPr>
          <w:rFonts w:cs="Arial"/>
          <w:szCs w:val="20"/>
        </w:rPr>
        <w:t xml:space="preserve"> new requirement, or at least assist with it</w:t>
      </w:r>
      <w:r w:rsidRPr="00C50309">
        <w:rPr>
          <w:rFonts w:cs="Arial"/>
          <w:szCs w:val="20"/>
        </w:rPr>
        <w:t xml:space="preserve">. </w:t>
      </w:r>
      <w:r>
        <w:rPr>
          <w:rFonts w:cs="Arial"/>
          <w:szCs w:val="20"/>
        </w:rPr>
        <w:t xml:space="preserve">For self-funded plans, the employer </w:t>
      </w:r>
      <w:r w:rsidR="007924B1">
        <w:rPr>
          <w:rFonts w:cs="Arial"/>
          <w:szCs w:val="20"/>
        </w:rPr>
        <w:t>is</w:t>
      </w:r>
      <w:r w:rsidR="00DF5ABB">
        <w:rPr>
          <w:rFonts w:cs="Arial"/>
          <w:szCs w:val="20"/>
        </w:rPr>
        <w:t xml:space="preserve"> </w:t>
      </w:r>
      <w:r w:rsidR="009E6E57">
        <w:rPr>
          <w:rFonts w:cs="Arial"/>
          <w:szCs w:val="20"/>
        </w:rPr>
        <w:t xml:space="preserve">primarily </w:t>
      </w:r>
      <w:r>
        <w:rPr>
          <w:rFonts w:cs="Arial"/>
          <w:szCs w:val="20"/>
        </w:rPr>
        <w:t>responsible for compliance with MHPAEA requirements. The TPA may have some fiduciary responsibility depending upon the</w:t>
      </w:r>
      <w:r w:rsidR="009E6E57">
        <w:rPr>
          <w:rFonts w:cs="Arial"/>
          <w:szCs w:val="20"/>
        </w:rPr>
        <w:t xml:space="preserve"> terms of the</w:t>
      </w:r>
      <w:r>
        <w:rPr>
          <w:rFonts w:cs="Arial"/>
          <w:szCs w:val="20"/>
        </w:rPr>
        <w:t xml:space="preserve"> contract for services and </w:t>
      </w:r>
      <w:r w:rsidR="00DF5ABB">
        <w:rPr>
          <w:rFonts w:cs="Arial"/>
          <w:szCs w:val="20"/>
        </w:rPr>
        <w:t xml:space="preserve">the TPA’s </w:t>
      </w:r>
      <w:r>
        <w:rPr>
          <w:rFonts w:cs="Arial"/>
          <w:szCs w:val="20"/>
        </w:rPr>
        <w:t xml:space="preserve">role in plan design and claims processing, so it would make sense for the </w:t>
      </w:r>
      <w:r>
        <w:rPr>
          <w:rFonts w:cs="Arial"/>
          <w:szCs w:val="20"/>
        </w:rPr>
        <w:lastRenderedPageBreak/>
        <w:t xml:space="preserve">TPAs to assist with this comparative analysis, but employers cannot automatically assume </w:t>
      </w:r>
      <w:r w:rsidR="00DF5ABB">
        <w:rPr>
          <w:rFonts w:cs="Arial"/>
          <w:szCs w:val="20"/>
        </w:rPr>
        <w:t xml:space="preserve">that </w:t>
      </w:r>
      <w:r>
        <w:rPr>
          <w:rFonts w:cs="Arial"/>
          <w:szCs w:val="20"/>
        </w:rPr>
        <w:t xml:space="preserve">it </w:t>
      </w:r>
      <w:r w:rsidR="00DF5ABB">
        <w:rPr>
          <w:rFonts w:cs="Arial"/>
          <w:szCs w:val="20"/>
        </w:rPr>
        <w:t>will be</w:t>
      </w:r>
      <w:r>
        <w:rPr>
          <w:rFonts w:cs="Arial"/>
          <w:szCs w:val="20"/>
        </w:rPr>
        <w:t xml:space="preserve"> handled by the TPA. </w:t>
      </w:r>
    </w:p>
    <w:p w14:paraId="2D8BB34A" w14:textId="77777777" w:rsidR="008D390C" w:rsidRDefault="008D390C" w:rsidP="00C50309">
      <w:pPr>
        <w:pStyle w:val="NormalWeb"/>
        <w:rPr>
          <w:rFonts w:ascii="Arial" w:hAnsi="Arial" w:cs="Arial"/>
          <w:b/>
          <w:bCs/>
          <w:sz w:val="20"/>
          <w:szCs w:val="20"/>
        </w:rPr>
      </w:pPr>
      <w:r>
        <w:rPr>
          <w:rFonts w:ascii="Arial" w:hAnsi="Arial" w:cs="Arial"/>
          <w:b/>
          <w:bCs/>
          <w:sz w:val="20"/>
          <w:szCs w:val="20"/>
        </w:rPr>
        <w:t>Summary</w:t>
      </w:r>
    </w:p>
    <w:p w14:paraId="2464BD5C" w14:textId="0A87CC34" w:rsidR="00C50309" w:rsidRPr="002F4BFA" w:rsidRDefault="0056518B" w:rsidP="002F4BFA">
      <w:pPr>
        <w:pStyle w:val="NormalWeb"/>
        <w:rPr>
          <w:rFonts w:cs="Arial"/>
          <w:szCs w:val="20"/>
        </w:rPr>
      </w:pPr>
      <w:r>
        <w:rPr>
          <w:rFonts w:ascii="Arial" w:hAnsi="Arial" w:cs="Arial"/>
          <w:sz w:val="20"/>
          <w:szCs w:val="20"/>
        </w:rPr>
        <w:t>T</w:t>
      </w:r>
      <w:r w:rsidR="00C50309" w:rsidRPr="00C50309">
        <w:rPr>
          <w:rFonts w:ascii="Arial" w:hAnsi="Arial" w:cs="Arial"/>
          <w:sz w:val="20"/>
          <w:szCs w:val="20"/>
        </w:rPr>
        <w:t xml:space="preserve">he agencies are required to provide further guidance in the next 18 months and are unlikely to perform a </w:t>
      </w:r>
      <w:r w:rsidR="008D390C">
        <w:rPr>
          <w:rFonts w:ascii="Arial" w:hAnsi="Arial" w:cs="Arial"/>
          <w:sz w:val="20"/>
          <w:szCs w:val="20"/>
        </w:rPr>
        <w:t>significant</w:t>
      </w:r>
      <w:r w:rsidR="00C50309" w:rsidRPr="00C50309">
        <w:rPr>
          <w:rFonts w:ascii="Arial" w:hAnsi="Arial" w:cs="Arial"/>
          <w:sz w:val="20"/>
          <w:szCs w:val="20"/>
        </w:rPr>
        <w:t xml:space="preserve"> number of audits before then. However, in the meantime, employers offering self-funded group health plans may want to further explore whether their plans really do meet parity requirements and </w:t>
      </w:r>
      <w:r w:rsidR="002F4BFA">
        <w:rPr>
          <w:rFonts w:ascii="Arial" w:hAnsi="Arial" w:cs="Arial"/>
          <w:sz w:val="20"/>
          <w:szCs w:val="20"/>
        </w:rPr>
        <w:t>coordinate with</w:t>
      </w:r>
      <w:r w:rsidR="00C50309" w:rsidRPr="00C50309">
        <w:rPr>
          <w:rFonts w:ascii="Arial" w:hAnsi="Arial" w:cs="Arial"/>
          <w:sz w:val="20"/>
          <w:szCs w:val="20"/>
        </w:rPr>
        <w:t xml:space="preserve"> the TPA </w:t>
      </w:r>
      <w:r w:rsidR="002F4BFA">
        <w:rPr>
          <w:rFonts w:ascii="Arial" w:hAnsi="Arial" w:cs="Arial"/>
          <w:sz w:val="20"/>
          <w:szCs w:val="20"/>
        </w:rPr>
        <w:t>to begin</w:t>
      </w:r>
      <w:r w:rsidR="00021614">
        <w:rPr>
          <w:rFonts w:ascii="Arial" w:hAnsi="Arial" w:cs="Arial"/>
          <w:sz w:val="20"/>
          <w:szCs w:val="20"/>
        </w:rPr>
        <w:t xml:space="preserve"> preparing a comparative analysis</w:t>
      </w:r>
      <w:r w:rsidR="005674B0">
        <w:rPr>
          <w:rFonts w:ascii="Arial" w:hAnsi="Arial" w:cs="Arial"/>
          <w:sz w:val="20"/>
          <w:szCs w:val="20"/>
        </w:rPr>
        <w:t xml:space="preserve"> for potential audit purposes</w:t>
      </w:r>
      <w:r w:rsidR="00C50309" w:rsidRPr="00C50309">
        <w:rPr>
          <w:rFonts w:ascii="Arial" w:hAnsi="Arial" w:cs="Arial"/>
          <w:sz w:val="20"/>
          <w:szCs w:val="20"/>
        </w:rPr>
        <w:t>. </w:t>
      </w:r>
    </w:p>
    <w:p w14:paraId="47C1455E" w14:textId="7C161421" w:rsidR="00C50309" w:rsidRPr="00C50309" w:rsidRDefault="00C50309" w:rsidP="00C50309">
      <w:pPr>
        <w:pStyle w:val="NormalWeb"/>
        <w:rPr>
          <w:rFonts w:ascii="Arial" w:hAnsi="Arial" w:cs="Arial"/>
          <w:sz w:val="20"/>
          <w:szCs w:val="20"/>
        </w:rPr>
      </w:pPr>
      <w:r w:rsidRPr="00C50309">
        <w:rPr>
          <w:rFonts w:ascii="Arial" w:hAnsi="Arial" w:cs="Arial"/>
          <w:sz w:val="20"/>
          <w:szCs w:val="20"/>
        </w:rPr>
        <w:t>The DOL's self-compliance tool will be helpful for this analysis. You can find the tool here</w:t>
      </w:r>
      <w:r w:rsidR="009E6E57">
        <w:rPr>
          <w:rFonts w:ascii="Arial" w:hAnsi="Arial" w:cs="Arial"/>
          <w:sz w:val="20"/>
          <w:szCs w:val="20"/>
        </w:rPr>
        <w:t>:</w:t>
      </w:r>
      <w:r w:rsidRPr="00C50309">
        <w:rPr>
          <w:rFonts w:ascii="Arial" w:hAnsi="Arial" w:cs="Arial"/>
          <w:sz w:val="20"/>
          <w:szCs w:val="20"/>
        </w:rPr>
        <w:t> </w:t>
      </w:r>
      <w:hyperlink r:id="rId12" w:tgtFrame="_blank" w:history="1">
        <w:r w:rsidRPr="00C50309">
          <w:rPr>
            <w:rStyle w:val="Hyperlink"/>
            <w:rFonts w:ascii="Arial" w:hAnsi="Arial" w:cs="Arial"/>
            <w:sz w:val="20"/>
            <w:szCs w:val="20"/>
          </w:rPr>
          <w:t>https://www.dol.gov/sites/dolgov/files/EBSA/laws-and-regulations/laws/mental-health-parity/self-compliance-tool.pdf</w:t>
        </w:r>
      </w:hyperlink>
    </w:p>
    <w:p w14:paraId="56F9AF0D" w14:textId="77777777" w:rsidR="003443F3" w:rsidRDefault="003443F3" w:rsidP="003443F3">
      <w:pPr>
        <w:pStyle w:val="MediumGrid2-Accent11"/>
        <w:rPr>
          <w:lang w:val="en-US"/>
        </w:rPr>
      </w:pPr>
    </w:p>
    <w:p w14:paraId="05881C89" w14:textId="77777777" w:rsidR="0031633B" w:rsidRDefault="0031633B" w:rsidP="009F128D">
      <w:pPr>
        <w:pStyle w:val="MediumShading1-Accent11"/>
        <w:ind w:left="0"/>
        <w:rPr>
          <w:rFonts w:cs="Arial"/>
          <w:i/>
          <w:sz w:val="16"/>
          <w:szCs w:val="16"/>
        </w:rPr>
      </w:pPr>
    </w:p>
    <w:p w14:paraId="0FD1D7C3" w14:textId="77777777" w:rsidR="00C22433" w:rsidRDefault="00C22433" w:rsidP="009F128D">
      <w:pPr>
        <w:pStyle w:val="MediumShading1-Accent11"/>
        <w:ind w:left="0"/>
        <w:rPr>
          <w:rFonts w:cs="Arial"/>
          <w:i/>
          <w:sz w:val="16"/>
          <w:szCs w:val="16"/>
        </w:rPr>
      </w:pPr>
    </w:p>
    <w:p w14:paraId="76761674" w14:textId="77777777" w:rsidR="00C22433" w:rsidRDefault="00C22433" w:rsidP="009F128D">
      <w:pPr>
        <w:pStyle w:val="MediumShading1-Accent11"/>
        <w:ind w:left="0"/>
        <w:rPr>
          <w:rFonts w:cs="Arial"/>
          <w:i/>
          <w:sz w:val="16"/>
          <w:szCs w:val="16"/>
        </w:rPr>
      </w:pPr>
    </w:p>
    <w:p w14:paraId="448020FF" w14:textId="004F1F72" w:rsidR="009F128D" w:rsidRPr="007A388B" w:rsidRDefault="009F128D" w:rsidP="009F128D">
      <w:pPr>
        <w:pStyle w:val="MediumShading1-Accent11"/>
        <w:ind w:left="0"/>
        <w:rPr>
          <w:rFonts w:cs="Arial"/>
          <w:szCs w:val="20"/>
        </w:rPr>
      </w:pPr>
      <w:r w:rsidRPr="007A388B">
        <w:rPr>
          <w:rFonts w:cs="Arial"/>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027EABE9" w14:textId="77777777" w:rsidR="008362F4" w:rsidRPr="007A388B" w:rsidRDefault="008362F4" w:rsidP="00160EF0">
      <w:pPr>
        <w:ind w:left="0"/>
        <w:rPr>
          <w:rFonts w:cs="Arial"/>
          <w:szCs w:val="20"/>
        </w:rPr>
      </w:pPr>
    </w:p>
    <w:sectPr w:rsidR="008362F4" w:rsidRPr="007A388B" w:rsidSect="00E53468">
      <w:footerReference w:type="default" r:id="rId13"/>
      <w:headerReference w:type="first" r:id="rId14"/>
      <w:footerReference w:type="first" r:id="rId15"/>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72752" w14:textId="77777777" w:rsidR="00132B1C" w:rsidRDefault="00132B1C" w:rsidP="006C7EC1">
      <w:r>
        <w:separator/>
      </w:r>
    </w:p>
  </w:endnote>
  <w:endnote w:type="continuationSeparator" w:id="0">
    <w:p w14:paraId="0A732320" w14:textId="77777777" w:rsidR="00132B1C" w:rsidRDefault="00132B1C" w:rsidP="006C7EC1">
      <w:r>
        <w:continuationSeparator/>
      </w:r>
    </w:p>
  </w:endnote>
  <w:endnote w:type="continuationNotice" w:id="1">
    <w:p w14:paraId="5AD3FD01" w14:textId="77777777" w:rsidR="00132B1C" w:rsidRDefault="00132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88F8" w14:textId="77777777" w:rsidR="008E0604" w:rsidRDefault="008E0604" w:rsidP="006C7EC1">
    <w:pPr>
      <w:pStyle w:val="Footer"/>
      <w:jc w:val="center"/>
      <w:rPr>
        <w:rFonts w:cs="Arial"/>
        <w:sz w:val="18"/>
        <w:szCs w:val="18"/>
      </w:rPr>
    </w:pPr>
  </w:p>
  <w:p w14:paraId="4A636617" w14:textId="06543608" w:rsidR="008E0604" w:rsidRDefault="008E0604" w:rsidP="006C7EC1">
    <w:pPr>
      <w:pStyle w:val="Footer"/>
      <w:jc w:val="center"/>
      <w:rPr>
        <w:sz w:val="18"/>
        <w:szCs w:val="18"/>
        <w:lang w:val="en-US"/>
      </w:rPr>
    </w:pPr>
    <w:r w:rsidRPr="006C7EC1">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62504B95"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3</w:t>
    </w:r>
    <w:r w:rsidRPr="00866B99">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0291" w14:textId="7A93474D" w:rsidR="008E0604" w:rsidRDefault="008E0604" w:rsidP="006C7EC1">
    <w:pPr>
      <w:pStyle w:val="Footer"/>
      <w:jc w:val="center"/>
      <w:rPr>
        <w:sz w:val="18"/>
        <w:szCs w:val="18"/>
        <w:lang w:val="en-US"/>
      </w:rPr>
    </w:pPr>
    <w:r>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3E13368A"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B5FF0" w14:textId="77777777" w:rsidR="00132B1C" w:rsidRDefault="00132B1C" w:rsidP="006C7EC1">
      <w:r>
        <w:separator/>
      </w:r>
    </w:p>
  </w:footnote>
  <w:footnote w:type="continuationSeparator" w:id="0">
    <w:p w14:paraId="581F6F9B" w14:textId="77777777" w:rsidR="00132B1C" w:rsidRDefault="00132B1C" w:rsidP="006C7EC1">
      <w:r>
        <w:continuationSeparator/>
      </w:r>
    </w:p>
  </w:footnote>
  <w:footnote w:type="continuationNotice" w:id="1">
    <w:p w14:paraId="0CC36092" w14:textId="77777777" w:rsidR="00132B1C" w:rsidRDefault="00132B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9F74"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FC5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55FDD"/>
    <w:multiLevelType w:val="hybridMultilevel"/>
    <w:tmpl w:val="D2688856"/>
    <w:lvl w:ilvl="0" w:tplc="37A64CC6">
      <w:start w:val="1"/>
      <w:numFmt w:val="bullet"/>
      <w:lvlText w:val="o"/>
      <w:lvlJc w:val="left"/>
      <w:pPr>
        <w:ind w:left="1080" w:hanging="360"/>
      </w:pPr>
      <w:rPr>
        <w:rFonts w:ascii="Courier New" w:hAnsi="Courier New" w:hint="default"/>
      </w:rPr>
    </w:lvl>
    <w:lvl w:ilvl="1" w:tplc="FC806A1C">
      <w:start w:val="1"/>
      <w:numFmt w:val="bullet"/>
      <w:lvlText w:val=""/>
      <w:lvlJc w:val="left"/>
      <w:pPr>
        <w:ind w:left="1800" w:hanging="432"/>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87708"/>
    <w:multiLevelType w:val="hybridMultilevel"/>
    <w:tmpl w:val="2FF4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DC7195"/>
    <w:multiLevelType w:val="hybridMultilevel"/>
    <w:tmpl w:val="81DE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43E2C"/>
    <w:multiLevelType w:val="hybridMultilevel"/>
    <w:tmpl w:val="AA366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B1D2F"/>
    <w:multiLevelType w:val="multilevel"/>
    <w:tmpl w:val="79BE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E2ED6"/>
    <w:multiLevelType w:val="hybridMultilevel"/>
    <w:tmpl w:val="E8FA4A18"/>
    <w:lvl w:ilvl="0" w:tplc="DA2C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56144"/>
    <w:multiLevelType w:val="hybridMultilevel"/>
    <w:tmpl w:val="E8CA0A0C"/>
    <w:lvl w:ilvl="0" w:tplc="37A64CC6">
      <w:start w:val="1"/>
      <w:numFmt w:val="bullet"/>
      <w:lvlText w:val="o"/>
      <w:lvlJc w:val="left"/>
      <w:pPr>
        <w:ind w:left="1080" w:hanging="360"/>
      </w:pPr>
      <w:rPr>
        <w:rFonts w:ascii="Courier New" w:hAnsi="Courier New" w:hint="default"/>
      </w:rPr>
    </w:lvl>
    <w:lvl w:ilvl="1" w:tplc="1CD8F816">
      <w:start w:val="1"/>
      <w:numFmt w:val="bullet"/>
      <w:lvlText w:val=""/>
      <w:lvlJc w:val="left"/>
      <w:pPr>
        <w:ind w:left="2160" w:hanging="108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3E75C8"/>
    <w:multiLevelType w:val="hybridMultilevel"/>
    <w:tmpl w:val="A2AC4F52"/>
    <w:lvl w:ilvl="0" w:tplc="04090001">
      <w:start w:val="1"/>
      <w:numFmt w:val="bullet"/>
      <w:lvlText w:val=""/>
      <w:lvlJc w:val="left"/>
      <w:pPr>
        <w:ind w:left="720" w:hanging="360"/>
      </w:pPr>
      <w:rPr>
        <w:rFonts w:ascii="Symbol" w:hAnsi="Symbol" w:hint="default"/>
      </w:rPr>
    </w:lvl>
    <w:lvl w:ilvl="1" w:tplc="9D00A294">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2028E"/>
    <w:multiLevelType w:val="hybridMultilevel"/>
    <w:tmpl w:val="44A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A7A73"/>
    <w:multiLevelType w:val="hybridMultilevel"/>
    <w:tmpl w:val="E43C6602"/>
    <w:lvl w:ilvl="0" w:tplc="0BF6434E">
      <w:start w:val="1"/>
      <w:numFmt w:val="bullet"/>
      <w:lvlText w:val="o"/>
      <w:lvlJc w:val="left"/>
      <w:pPr>
        <w:ind w:left="1080" w:hanging="360"/>
      </w:pPr>
      <w:rPr>
        <w:rFonts w:ascii="Courier New" w:hAnsi="Courier New" w:hint="default"/>
      </w:rPr>
    </w:lvl>
    <w:lvl w:ilvl="1" w:tplc="1CD8F816">
      <w:start w:val="1"/>
      <w:numFmt w:val="bullet"/>
      <w:lvlText w:val=""/>
      <w:lvlJc w:val="left"/>
      <w:pPr>
        <w:ind w:left="2520" w:hanging="108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62797C"/>
    <w:multiLevelType w:val="hybridMultilevel"/>
    <w:tmpl w:val="A91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64D50"/>
    <w:multiLevelType w:val="hybridMultilevel"/>
    <w:tmpl w:val="7B3641CE"/>
    <w:lvl w:ilvl="0" w:tplc="37A64CC6">
      <w:start w:val="1"/>
      <w:numFmt w:val="bullet"/>
      <w:lvlText w:val="o"/>
      <w:lvlJc w:val="left"/>
      <w:pPr>
        <w:ind w:left="1080" w:hanging="360"/>
      </w:pPr>
      <w:rPr>
        <w:rFonts w:ascii="Courier New" w:hAnsi="Courier New" w:hint="default"/>
      </w:rPr>
    </w:lvl>
    <w:lvl w:ilvl="1" w:tplc="D3B6AAEC">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347A07"/>
    <w:multiLevelType w:val="hybridMultilevel"/>
    <w:tmpl w:val="299E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474F9"/>
    <w:multiLevelType w:val="hybridMultilevel"/>
    <w:tmpl w:val="7C0E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23875E7"/>
    <w:multiLevelType w:val="hybridMultilevel"/>
    <w:tmpl w:val="E66C43A4"/>
    <w:lvl w:ilvl="0" w:tplc="37A64CC6">
      <w:start w:val="1"/>
      <w:numFmt w:val="bullet"/>
      <w:lvlText w:val="o"/>
      <w:lvlJc w:val="left"/>
      <w:pPr>
        <w:ind w:left="1080" w:hanging="72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A24686"/>
    <w:multiLevelType w:val="multilevel"/>
    <w:tmpl w:val="818C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CF12286"/>
    <w:multiLevelType w:val="hybridMultilevel"/>
    <w:tmpl w:val="6C904DFE"/>
    <w:lvl w:ilvl="0" w:tplc="37A64CC6">
      <w:start w:val="1"/>
      <w:numFmt w:val="bullet"/>
      <w:lvlText w:val="o"/>
      <w:lvlJc w:val="left"/>
      <w:pPr>
        <w:ind w:left="1080" w:hanging="360"/>
      </w:pPr>
      <w:rPr>
        <w:rFonts w:ascii="Courier New" w:hAnsi="Courier New" w:hint="default"/>
      </w:rPr>
    </w:lvl>
    <w:lvl w:ilvl="1" w:tplc="F4DE6FE4">
      <w:start w:val="1"/>
      <w:numFmt w:val="bullet"/>
      <w:lvlText w:val=""/>
      <w:lvlJc w:val="left"/>
      <w:pPr>
        <w:ind w:left="144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7FC512C"/>
    <w:multiLevelType w:val="hybridMultilevel"/>
    <w:tmpl w:val="E0C22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9D818E9"/>
    <w:multiLevelType w:val="hybridMultilevel"/>
    <w:tmpl w:val="CDDCFDD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30770C"/>
    <w:multiLevelType w:val="multilevel"/>
    <w:tmpl w:val="91C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24"/>
  </w:num>
  <w:num w:numId="4">
    <w:abstractNumId w:val="4"/>
  </w:num>
  <w:num w:numId="5">
    <w:abstractNumId w:val="19"/>
  </w:num>
  <w:num w:numId="6">
    <w:abstractNumId w:val="8"/>
  </w:num>
  <w:num w:numId="7">
    <w:abstractNumId w:val="7"/>
  </w:num>
  <w:num w:numId="8">
    <w:abstractNumId w:val="22"/>
  </w:num>
  <w:num w:numId="9">
    <w:abstractNumId w:val="0"/>
  </w:num>
  <w:num w:numId="10">
    <w:abstractNumId w:val="20"/>
  </w:num>
  <w:num w:numId="11">
    <w:abstractNumId w:val="26"/>
  </w:num>
  <w:num w:numId="12">
    <w:abstractNumId w:val="13"/>
  </w:num>
  <w:num w:numId="13">
    <w:abstractNumId w:val="11"/>
  </w:num>
  <w:num w:numId="14">
    <w:abstractNumId w:val="10"/>
  </w:num>
  <w:num w:numId="15">
    <w:abstractNumId w:val="14"/>
  </w:num>
  <w:num w:numId="16">
    <w:abstractNumId w:val="16"/>
  </w:num>
  <w:num w:numId="17">
    <w:abstractNumId w:val="1"/>
  </w:num>
  <w:num w:numId="18">
    <w:abstractNumId w:val="23"/>
  </w:num>
  <w:num w:numId="19">
    <w:abstractNumId w:val="12"/>
  </w:num>
  <w:num w:numId="20">
    <w:abstractNumId w:val="5"/>
  </w:num>
  <w:num w:numId="21">
    <w:abstractNumId w:val="15"/>
  </w:num>
  <w:num w:numId="22">
    <w:abstractNumId w:val="3"/>
  </w:num>
  <w:num w:numId="23">
    <w:abstractNumId w:val="6"/>
  </w:num>
  <w:num w:numId="24">
    <w:abstractNumId w:val="17"/>
  </w:num>
  <w:num w:numId="25">
    <w:abstractNumId w:val="18"/>
  </w:num>
  <w:num w:numId="26">
    <w:abstractNumId w:val="9"/>
  </w:num>
  <w:num w:numId="27">
    <w:abstractNumId w:val="21"/>
  </w:num>
  <w:num w:numId="2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010"/>
    <w:rsid w:val="00005756"/>
    <w:rsid w:val="000130D1"/>
    <w:rsid w:val="00014763"/>
    <w:rsid w:val="00015218"/>
    <w:rsid w:val="000166F5"/>
    <w:rsid w:val="00016C71"/>
    <w:rsid w:val="00017D2C"/>
    <w:rsid w:val="000205FF"/>
    <w:rsid w:val="00021614"/>
    <w:rsid w:val="00027ACB"/>
    <w:rsid w:val="00032B26"/>
    <w:rsid w:val="00033E0F"/>
    <w:rsid w:val="00035AF6"/>
    <w:rsid w:val="00040328"/>
    <w:rsid w:val="00040AAC"/>
    <w:rsid w:val="00040AB3"/>
    <w:rsid w:val="00041D34"/>
    <w:rsid w:val="00042967"/>
    <w:rsid w:val="00042BA6"/>
    <w:rsid w:val="00042D2A"/>
    <w:rsid w:val="00045F42"/>
    <w:rsid w:val="00054BF9"/>
    <w:rsid w:val="00055FFE"/>
    <w:rsid w:val="00056762"/>
    <w:rsid w:val="0006084A"/>
    <w:rsid w:val="0006208C"/>
    <w:rsid w:val="00063A66"/>
    <w:rsid w:val="00065F15"/>
    <w:rsid w:val="00071F3D"/>
    <w:rsid w:val="000755EB"/>
    <w:rsid w:val="00081D45"/>
    <w:rsid w:val="00084509"/>
    <w:rsid w:val="000857D5"/>
    <w:rsid w:val="00085D10"/>
    <w:rsid w:val="00090998"/>
    <w:rsid w:val="00093B13"/>
    <w:rsid w:val="00095F17"/>
    <w:rsid w:val="00096B1E"/>
    <w:rsid w:val="00097D97"/>
    <w:rsid w:val="000A0287"/>
    <w:rsid w:val="000A697A"/>
    <w:rsid w:val="000A76F4"/>
    <w:rsid w:val="000B3DE8"/>
    <w:rsid w:val="000B4DEA"/>
    <w:rsid w:val="000C0E97"/>
    <w:rsid w:val="000C21E8"/>
    <w:rsid w:val="000C3603"/>
    <w:rsid w:val="000C3FA8"/>
    <w:rsid w:val="000C41B5"/>
    <w:rsid w:val="000C5473"/>
    <w:rsid w:val="000C62AE"/>
    <w:rsid w:val="000C721A"/>
    <w:rsid w:val="000D122C"/>
    <w:rsid w:val="000D4097"/>
    <w:rsid w:val="000D78EF"/>
    <w:rsid w:val="000E03AB"/>
    <w:rsid w:val="000E1BA2"/>
    <w:rsid w:val="000E3689"/>
    <w:rsid w:val="000E668C"/>
    <w:rsid w:val="000F215F"/>
    <w:rsid w:val="000F3F23"/>
    <w:rsid w:val="000F7383"/>
    <w:rsid w:val="000F7913"/>
    <w:rsid w:val="0010150B"/>
    <w:rsid w:val="001021F4"/>
    <w:rsid w:val="00102429"/>
    <w:rsid w:val="001024A5"/>
    <w:rsid w:val="00103F85"/>
    <w:rsid w:val="00104680"/>
    <w:rsid w:val="001057C8"/>
    <w:rsid w:val="0011270F"/>
    <w:rsid w:val="00113F23"/>
    <w:rsid w:val="001166BB"/>
    <w:rsid w:val="00123FBF"/>
    <w:rsid w:val="00124760"/>
    <w:rsid w:val="00131E66"/>
    <w:rsid w:val="0013223A"/>
    <w:rsid w:val="00132B1C"/>
    <w:rsid w:val="00141074"/>
    <w:rsid w:val="001432A3"/>
    <w:rsid w:val="00144A9C"/>
    <w:rsid w:val="00146F88"/>
    <w:rsid w:val="00152DA2"/>
    <w:rsid w:val="00155720"/>
    <w:rsid w:val="00157A36"/>
    <w:rsid w:val="00157B5F"/>
    <w:rsid w:val="00160EF0"/>
    <w:rsid w:val="00164BD5"/>
    <w:rsid w:val="00171CE9"/>
    <w:rsid w:val="00172882"/>
    <w:rsid w:val="00173347"/>
    <w:rsid w:val="00174732"/>
    <w:rsid w:val="00174C14"/>
    <w:rsid w:val="00180838"/>
    <w:rsid w:val="001824D9"/>
    <w:rsid w:val="001831CC"/>
    <w:rsid w:val="00186D38"/>
    <w:rsid w:val="00187547"/>
    <w:rsid w:val="00192198"/>
    <w:rsid w:val="00194FD3"/>
    <w:rsid w:val="001A4388"/>
    <w:rsid w:val="001A4846"/>
    <w:rsid w:val="001A569D"/>
    <w:rsid w:val="001A7596"/>
    <w:rsid w:val="001A7955"/>
    <w:rsid w:val="001B1A88"/>
    <w:rsid w:val="001B5103"/>
    <w:rsid w:val="001B7DDB"/>
    <w:rsid w:val="001C1E40"/>
    <w:rsid w:val="001C256F"/>
    <w:rsid w:val="001C4860"/>
    <w:rsid w:val="001C4A2B"/>
    <w:rsid w:val="001C68CC"/>
    <w:rsid w:val="001D005C"/>
    <w:rsid w:val="001D58D8"/>
    <w:rsid w:val="001D6B1C"/>
    <w:rsid w:val="001D745D"/>
    <w:rsid w:val="001D77F4"/>
    <w:rsid w:val="001E2972"/>
    <w:rsid w:val="001E4F45"/>
    <w:rsid w:val="001E5BC2"/>
    <w:rsid w:val="001E622E"/>
    <w:rsid w:val="001F0404"/>
    <w:rsid w:val="001F0840"/>
    <w:rsid w:val="001F20E5"/>
    <w:rsid w:val="001F4FFE"/>
    <w:rsid w:val="001F55BC"/>
    <w:rsid w:val="001F7549"/>
    <w:rsid w:val="00200480"/>
    <w:rsid w:val="00200664"/>
    <w:rsid w:val="0020244B"/>
    <w:rsid w:val="002039F6"/>
    <w:rsid w:val="002065F7"/>
    <w:rsid w:val="00206A67"/>
    <w:rsid w:val="00210CB2"/>
    <w:rsid w:val="00211FC6"/>
    <w:rsid w:val="0021233F"/>
    <w:rsid w:val="00212890"/>
    <w:rsid w:val="00212E4A"/>
    <w:rsid w:val="0021589F"/>
    <w:rsid w:val="00221A14"/>
    <w:rsid w:val="00222DBE"/>
    <w:rsid w:val="002241F3"/>
    <w:rsid w:val="00224D07"/>
    <w:rsid w:val="00226283"/>
    <w:rsid w:val="00231306"/>
    <w:rsid w:val="00237FED"/>
    <w:rsid w:val="00241387"/>
    <w:rsid w:val="0024203D"/>
    <w:rsid w:val="00247077"/>
    <w:rsid w:val="00250761"/>
    <w:rsid w:val="00250A13"/>
    <w:rsid w:val="002520CC"/>
    <w:rsid w:val="0025504A"/>
    <w:rsid w:val="00255A5D"/>
    <w:rsid w:val="00267C12"/>
    <w:rsid w:val="00270D0F"/>
    <w:rsid w:val="00273D4E"/>
    <w:rsid w:val="00274033"/>
    <w:rsid w:val="002742E6"/>
    <w:rsid w:val="00275DD5"/>
    <w:rsid w:val="00277CAA"/>
    <w:rsid w:val="00280260"/>
    <w:rsid w:val="00280F68"/>
    <w:rsid w:val="00291712"/>
    <w:rsid w:val="00294390"/>
    <w:rsid w:val="0029448D"/>
    <w:rsid w:val="00294C2C"/>
    <w:rsid w:val="002A10E0"/>
    <w:rsid w:val="002A6392"/>
    <w:rsid w:val="002A761A"/>
    <w:rsid w:val="002B0DBE"/>
    <w:rsid w:val="002C2AA3"/>
    <w:rsid w:val="002C47F4"/>
    <w:rsid w:val="002C4ADB"/>
    <w:rsid w:val="002D2BFF"/>
    <w:rsid w:val="002D4009"/>
    <w:rsid w:val="002D4642"/>
    <w:rsid w:val="002D62DC"/>
    <w:rsid w:val="002D6E4B"/>
    <w:rsid w:val="002E0D2B"/>
    <w:rsid w:val="002E12F2"/>
    <w:rsid w:val="002E165C"/>
    <w:rsid w:val="002E280D"/>
    <w:rsid w:val="002E36B9"/>
    <w:rsid w:val="002E5E28"/>
    <w:rsid w:val="002E69BE"/>
    <w:rsid w:val="002E74B6"/>
    <w:rsid w:val="002F1D78"/>
    <w:rsid w:val="002F3FBC"/>
    <w:rsid w:val="002F4713"/>
    <w:rsid w:val="002F4BFA"/>
    <w:rsid w:val="002F5B6A"/>
    <w:rsid w:val="002F5FCD"/>
    <w:rsid w:val="00302572"/>
    <w:rsid w:val="00311D22"/>
    <w:rsid w:val="00314066"/>
    <w:rsid w:val="00315062"/>
    <w:rsid w:val="00315F0E"/>
    <w:rsid w:val="0031633B"/>
    <w:rsid w:val="00316395"/>
    <w:rsid w:val="0031698C"/>
    <w:rsid w:val="00317FF0"/>
    <w:rsid w:val="00320AE7"/>
    <w:rsid w:val="0032612C"/>
    <w:rsid w:val="003278D8"/>
    <w:rsid w:val="00332855"/>
    <w:rsid w:val="00337651"/>
    <w:rsid w:val="00341F9B"/>
    <w:rsid w:val="0034392C"/>
    <w:rsid w:val="00343CA8"/>
    <w:rsid w:val="003443F3"/>
    <w:rsid w:val="00346D40"/>
    <w:rsid w:val="00351DAE"/>
    <w:rsid w:val="003536E9"/>
    <w:rsid w:val="003539EC"/>
    <w:rsid w:val="00353ADB"/>
    <w:rsid w:val="0035725D"/>
    <w:rsid w:val="00357D7D"/>
    <w:rsid w:val="003606B3"/>
    <w:rsid w:val="00360C6F"/>
    <w:rsid w:val="00373838"/>
    <w:rsid w:val="0037534B"/>
    <w:rsid w:val="00375AC7"/>
    <w:rsid w:val="00376D4E"/>
    <w:rsid w:val="00376F89"/>
    <w:rsid w:val="00377A73"/>
    <w:rsid w:val="003902B9"/>
    <w:rsid w:val="003906B5"/>
    <w:rsid w:val="0039272A"/>
    <w:rsid w:val="00393B70"/>
    <w:rsid w:val="003953C4"/>
    <w:rsid w:val="00395F3D"/>
    <w:rsid w:val="00397F1D"/>
    <w:rsid w:val="003A15A0"/>
    <w:rsid w:val="003A220B"/>
    <w:rsid w:val="003A2F29"/>
    <w:rsid w:val="003A43B8"/>
    <w:rsid w:val="003A7120"/>
    <w:rsid w:val="003B0730"/>
    <w:rsid w:val="003B2F3D"/>
    <w:rsid w:val="003B5A18"/>
    <w:rsid w:val="003B7105"/>
    <w:rsid w:val="003C07A3"/>
    <w:rsid w:val="003C1F48"/>
    <w:rsid w:val="003C2C45"/>
    <w:rsid w:val="003C5066"/>
    <w:rsid w:val="003C50C6"/>
    <w:rsid w:val="003C51C7"/>
    <w:rsid w:val="003C5727"/>
    <w:rsid w:val="003C5BBE"/>
    <w:rsid w:val="003C7B39"/>
    <w:rsid w:val="003D3ABE"/>
    <w:rsid w:val="003D4144"/>
    <w:rsid w:val="003D535B"/>
    <w:rsid w:val="003D5BB6"/>
    <w:rsid w:val="003E1F9E"/>
    <w:rsid w:val="003E29E5"/>
    <w:rsid w:val="003E7F11"/>
    <w:rsid w:val="003F0C62"/>
    <w:rsid w:val="003F1272"/>
    <w:rsid w:val="004019B7"/>
    <w:rsid w:val="00406390"/>
    <w:rsid w:val="0041140E"/>
    <w:rsid w:val="00414B5B"/>
    <w:rsid w:val="00421453"/>
    <w:rsid w:val="00431FC0"/>
    <w:rsid w:val="0043286B"/>
    <w:rsid w:val="00441B20"/>
    <w:rsid w:val="0044224C"/>
    <w:rsid w:val="004423AB"/>
    <w:rsid w:val="004469E6"/>
    <w:rsid w:val="0044776D"/>
    <w:rsid w:val="004506BC"/>
    <w:rsid w:val="00450D6A"/>
    <w:rsid w:val="00452FE0"/>
    <w:rsid w:val="004536D0"/>
    <w:rsid w:val="00453723"/>
    <w:rsid w:val="00453816"/>
    <w:rsid w:val="00454033"/>
    <w:rsid w:val="00461B0E"/>
    <w:rsid w:val="00462785"/>
    <w:rsid w:val="00463782"/>
    <w:rsid w:val="00464CBE"/>
    <w:rsid w:val="00467366"/>
    <w:rsid w:val="00467E2A"/>
    <w:rsid w:val="00475F37"/>
    <w:rsid w:val="0047657B"/>
    <w:rsid w:val="00476F72"/>
    <w:rsid w:val="00485069"/>
    <w:rsid w:val="004870C3"/>
    <w:rsid w:val="00490D5F"/>
    <w:rsid w:val="004948BE"/>
    <w:rsid w:val="004949A4"/>
    <w:rsid w:val="004960DE"/>
    <w:rsid w:val="004A5176"/>
    <w:rsid w:val="004A51E3"/>
    <w:rsid w:val="004A5ED3"/>
    <w:rsid w:val="004B2781"/>
    <w:rsid w:val="004B4147"/>
    <w:rsid w:val="004B6441"/>
    <w:rsid w:val="004B7C6C"/>
    <w:rsid w:val="004C0B6B"/>
    <w:rsid w:val="004C2946"/>
    <w:rsid w:val="004C685A"/>
    <w:rsid w:val="004C7E74"/>
    <w:rsid w:val="004D2B1C"/>
    <w:rsid w:val="004D3023"/>
    <w:rsid w:val="004E1381"/>
    <w:rsid w:val="004E1B3E"/>
    <w:rsid w:val="004E42A2"/>
    <w:rsid w:val="004E530D"/>
    <w:rsid w:val="004E746A"/>
    <w:rsid w:val="004E77C4"/>
    <w:rsid w:val="004F0122"/>
    <w:rsid w:val="004F38E5"/>
    <w:rsid w:val="004F3956"/>
    <w:rsid w:val="004F4484"/>
    <w:rsid w:val="004F586D"/>
    <w:rsid w:val="004F5A38"/>
    <w:rsid w:val="004F5A8F"/>
    <w:rsid w:val="004F7BD0"/>
    <w:rsid w:val="005039FC"/>
    <w:rsid w:val="00521B3F"/>
    <w:rsid w:val="005274B9"/>
    <w:rsid w:val="005305B0"/>
    <w:rsid w:val="00531DB4"/>
    <w:rsid w:val="00532F84"/>
    <w:rsid w:val="00534E8E"/>
    <w:rsid w:val="00536488"/>
    <w:rsid w:val="0053695B"/>
    <w:rsid w:val="005378A2"/>
    <w:rsid w:val="00540CCF"/>
    <w:rsid w:val="00541D66"/>
    <w:rsid w:val="00544C20"/>
    <w:rsid w:val="00547D6E"/>
    <w:rsid w:val="00554D66"/>
    <w:rsid w:val="00556801"/>
    <w:rsid w:val="0055764A"/>
    <w:rsid w:val="0056000B"/>
    <w:rsid w:val="0056285C"/>
    <w:rsid w:val="0056518B"/>
    <w:rsid w:val="005660E9"/>
    <w:rsid w:val="005661EC"/>
    <w:rsid w:val="005674B0"/>
    <w:rsid w:val="00567BC4"/>
    <w:rsid w:val="005718A9"/>
    <w:rsid w:val="005718C3"/>
    <w:rsid w:val="00572595"/>
    <w:rsid w:val="00572FB1"/>
    <w:rsid w:val="005774AC"/>
    <w:rsid w:val="005816E0"/>
    <w:rsid w:val="00586252"/>
    <w:rsid w:val="00586571"/>
    <w:rsid w:val="005900FA"/>
    <w:rsid w:val="00591725"/>
    <w:rsid w:val="005921C3"/>
    <w:rsid w:val="005926DA"/>
    <w:rsid w:val="005A05DE"/>
    <w:rsid w:val="005A3E5A"/>
    <w:rsid w:val="005A41A8"/>
    <w:rsid w:val="005A45C7"/>
    <w:rsid w:val="005A5540"/>
    <w:rsid w:val="005A631F"/>
    <w:rsid w:val="005B0103"/>
    <w:rsid w:val="005B6E73"/>
    <w:rsid w:val="005B764E"/>
    <w:rsid w:val="005C1093"/>
    <w:rsid w:val="005C2382"/>
    <w:rsid w:val="005D0395"/>
    <w:rsid w:val="005D0EB6"/>
    <w:rsid w:val="005D297F"/>
    <w:rsid w:val="005D57B1"/>
    <w:rsid w:val="005D6BCD"/>
    <w:rsid w:val="005D6D8C"/>
    <w:rsid w:val="005E036C"/>
    <w:rsid w:val="005E0FDF"/>
    <w:rsid w:val="005E1161"/>
    <w:rsid w:val="005E2A1D"/>
    <w:rsid w:val="005E4301"/>
    <w:rsid w:val="005E58C5"/>
    <w:rsid w:val="005F01CB"/>
    <w:rsid w:val="005F1993"/>
    <w:rsid w:val="005F2269"/>
    <w:rsid w:val="005F3D9F"/>
    <w:rsid w:val="005F4D3F"/>
    <w:rsid w:val="005F6338"/>
    <w:rsid w:val="005F6CE2"/>
    <w:rsid w:val="0060024D"/>
    <w:rsid w:val="006009AC"/>
    <w:rsid w:val="00600FC4"/>
    <w:rsid w:val="006034D7"/>
    <w:rsid w:val="00604653"/>
    <w:rsid w:val="00605355"/>
    <w:rsid w:val="006102F4"/>
    <w:rsid w:val="0061182E"/>
    <w:rsid w:val="0061232B"/>
    <w:rsid w:val="006149F2"/>
    <w:rsid w:val="00616FD0"/>
    <w:rsid w:val="006261D3"/>
    <w:rsid w:val="00630D64"/>
    <w:rsid w:val="00633D0E"/>
    <w:rsid w:val="0063513F"/>
    <w:rsid w:val="006466D7"/>
    <w:rsid w:val="00647A57"/>
    <w:rsid w:val="00656AD9"/>
    <w:rsid w:val="006577E9"/>
    <w:rsid w:val="00657FA9"/>
    <w:rsid w:val="00660E8B"/>
    <w:rsid w:val="00663EFB"/>
    <w:rsid w:val="006705E6"/>
    <w:rsid w:val="00671446"/>
    <w:rsid w:val="006717AA"/>
    <w:rsid w:val="006724C5"/>
    <w:rsid w:val="0067384B"/>
    <w:rsid w:val="00675439"/>
    <w:rsid w:val="0067543D"/>
    <w:rsid w:val="006756CB"/>
    <w:rsid w:val="006812E4"/>
    <w:rsid w:val="0068512D"/>
    <w:rsid w:val="00685C8D"/>
    <w:rsid w:val="006861E5"/>
    <w:rsid w:val="00686217"/>
    <w:rsid w:val="006973D7"/>
    <w:rsid w:val="006A2078"/>
    <w:rsid w:val="006A5F78"/>
    <w:rsid w:val="006B1545"/>
    <w:rsid w:val="006B1811"/>
    <w:rsid w:val="006B19C3"/>
    <w:rsid w:val="006B23FC"/>
    <w:rsid w:val="006B28BC"/>
    <w:rsid w:val="006B340E"/>
    <w:rsid w:val="006B5260"/>
    <w:rsid w:val="006B5292"/>
    <w:rsid w:val="006C3D9A"/>
    <w:rsid w:val="006C7B72"/>
    <w:rsid w:val="006C7EC1"/>
    <w:rsid w:val="006D1522"/>
    <w:rsid w:val="006D19E4"/>
    <w:rsid w:val="006D4331"/>
    <w:rsid w:val="006D523F"/>
    <w:rsid w:val="006E1247"/>
    <w:rsid w:val="006F0090"/>
    <w:rsid w:val="006F1C73"/>
    <w:rsid w:val="006F1CE8"/>
    <w:rsid w:val="006F72AD"/>
    <w:rsid w:val="007022C4"/>
    <w:rsid w:val="00707014"/>
    <w:rsid w:val="0070757A"/>
    <w:rsid w:val="00713909"/>
    <w:rsid w:val="00716C3A"/>
    <w:rsid w:val="00726F77"/>
    <w:rsid w:val="0072721D"/>
    <w:rsid w:val="00727250"/>
    <w:rsid w:val="00731A51"/>
    <w:rsid w:val="007353E4"/>
    <w:rsid w:val="00736A9B"/>
    <w:rsid w:val="007405CF"/>
    <w:rsid w:val="00740643"/>
    <w:rsid w:val="007414D8"/>
    <w:rsid w:val="0074294F"/>
    <w:rsid w:val="00745FC3"/>
    <w:rsid w:val="007473E8"/>
    <w:rsid w:val="007508F7"/>
    <w:rsid w:val="0075148E"/>
    <w:rsid w:val="00754C2D"/>
    <w:rsid w:val="007550ED"/>
    <w:rsid w:val="007569A1"/>
    <w:rsid w:val="00757C13"/>
    <w:rsid w:val="00760479"/>
    <w:rsid w:val="00761EBB"/>
    <w:rsid w:val="007626B8"/>
    <w:rsid w:val="00767915"/>
    <w:rsid w:val="0077076C"/>
    <w:rsid w:val="0077352D"/>
    <w:rsid w:val="00773A5A"/>
    <w:rsid w:val="00773AE3"/>
    <w:rsid w:val="00776816"/>
    <w:rsid w:val="00777DB3"/>
    <w:rsid w:val="0078128E"/>
    <w:rsid w:val="00782D3C"/>
    <w:rsid w:val="00787274"/>
    <w:rsid w:val="00787628"/>
    <w:rsid w:val="007908B7"/>
    <w:rsid w:val="007924B1"/>
    <w:rsid w:val="00793BBE"/>
    <w:rsid w:val="0079475D"/>
    <w:rsid w:val="007955C9"/>
    <w:rsid w:val="007956BD"/>
    <w:rsid w:val="007A158F"/>
    <w:rsid w:val="007A388B"/>
    <w:rsid w:val="007A5518"/>
    <w:rsid w:val="007A6D31"/>
    <w:rsid w:val="007B2013"/>
    <w:rsid w:val="007B4885"/>
    <w:rsid w:val="007B5B0D"/>
    <w:rsid w:val="007B799A"/>
    <w:rsid w:val="007C1A02"/>
    <w:rsid w:val="007C77AA"/>
    <w:rsid w:val="007C7C7C"/>
    <w:rsid w:val="007C7D72"/>
    <w:rsid w:val="007D1EF7"/>
    <w:rsid w:val="007D2229"/>
    <w:rsid w:val="007D5827"/>
    <w:rsid w:val="007E04C0"/>
    <w:rsid w:val="007E2565"/>
    <w:rsid w:val="007E2A51"/>
    <w:rsid w:val="007E4ADD"/>
    <w:rsid w:val="007E557F"/>
    <w:rsid w:val="007F0369"/>
    <w:rsid w:val="007F1010"/>
    <w:rsid w:val="007F181A"/>
    <w:rsid w:val="007F316B"/>
    <w:rsid w:val="007F34B4"/>
    <w:rsid w:val="007F634F"/>
    <w:rsid w:val="00800A0A"/>
    <w:rsid w:val="0080349F"/>
    <w:rsid w:val="00803687"/>
    <w:rsid w:val="008052A3"/>
    <w:rsid w:val="00817F53"/>
    <w:rsid w:val="00822C04"/>
    <w:rsid w:val="00827418"/>
    <w:rsid w:val="0083063B"/>
    <w:rsid w:val="008326AD"/>
    <w:rsid w:val="008347E7"/>
    <w:rsid w:val="008362F4"/>
    <w:rsid w:val="00840509"/>
    <w:rsid w:val="00840DD1"/>
    <w:rsid w:val="008477BE"/>
    <w:rsid w:val="0084792A"/>
    <w:rsid w:val="008511EE"/>
    <w:rsid w:val="008615C4"/>
    <w:rsid w:val="00862790"/>
    <w:rsid w:val="0086304F"/>
    <w:rsid w:val="008645AC"/>
    <w:rsid w:val="008659F9"/>
    <w:rsid w:val="008666BB"/>
    <w:rsid w:val="00866B99"/>
    <w:rsid w:val="00871ACC"/>
    <w:rsid w:val="008724C7"/>
    <w:rsid w:val="00872FBB"/>
    <w:rsid w:val="008753F2"/>
    <w:rsid w:val="00875586"/>
    <w:rsid w:val="00876DAF"/>
    <w:rsid w:val="00885BC0"/>
    <w:rsid w:val="00886377"/>
    <w:rsid w:val="008900C8"/>
    <w:rsid w:val="00896801"/>
    <w:rsid w:val="00897617"/>
    <w:rsid w:val="008A1B3B"/>
    <w:rsid w:val="008A5596"/>
    <w:rsid w:val="008A5DF8"/>
    <w:rsid w:val="008C0B28"/>
    <w:rsid w:val="008C4542"/>
    <w:rsid w:val="008C712B"/>
    <w:rsid w:val="008D0598"/>
    <w:rsid w:val="008D2EDB"/>
    <w:rsid w:val="008D390C"/>
    <w:rsid w:val="008D3DE2"/>
    <w:rsid w:val="008D3E7A"/>
    <w:rsid w:val="008D5BAD"/>
    <w:rsid w:val="008E0604"/>
    <w:rsid w:val="008E148E"/>
    <w:rsid w:val="008E2D74"/>
    <w:rsid w:val="008E4B3D"/>
    <w:rsid w:val="008F2B0B"/>
    <w:rsid w:val="008F600C"/>
    <w:rsid w:val="008F6E15"/>
    <w:rsid w:val="008F7C18"/>
    <w:rsid w:val="00903C55"/>
    <w:rsid w:val="00906619"/>
    <w:rsid w:val="0091229A"/>
    <w:rsid w:val="00914A8A"/>
    <w:rsid w:val="00915B9B"/>
    <w:rsid w:val="00915DAA"/>
    <w:rsid w:val="009225E0"/>
    <w:rsid w:val="00923103"/>
    <w:rsid w:val="0092349E"/>
    <w:rsid w:val="00930A4F"/>
    <w:rsid w:val="00930CA4"/>
    <w:rsid w:val="009312C4"/>
    <w:rsid w:val="009319F6"/>
    <w:rsid w:val="00935874"/>
    <w:rsid w:val="0093597C"/>
    <w:rsid w:val="00942300"/>
    <w:rsid w:val="00944B86"/>
    <w:rsid w:val="00947119"/>
    <w:rsid w:val="00951D03"/>
    <w:rsid w:val="009536DD"/>
    <w:rsid w:val="00955041"/>
    <w:rsid w:val="00957C4A"/>
    <w:rsid w:val="0096161E"/>
    <w:rsid w:val="009629D1"/>
    <w:rsid w:val="009634AE"/>
    <w:rsid w:val="00966B82"/>
    <w:rsid w:val="0096744A"/>
    <w:rsid w:val="00967C19"/>
    <w:rsid w:val="0097001D"/>
    <w:rsid w:val="009704FD"/>
    <w:rsid w:val="00971E66"/>
    <w:rsid w:val="00973EE6"/>
    <w:rsid w:val="00976EE7"/>
    <w:rsid w:val="00981FBD"/>
    <w:rsid w:val="0098506A"/>
    <w:rsid w:val="00985216"/>
    <w:rsid w:val="0098528A"/>
    <w:rsid w:val="009874AF"/>
    <w:rsid w:val="00991D93"/>
    <w:rsid w:val="00997BDD"/>
    <w:rsid w:val="00997C14"/>
    <w:rsid w:val="009A00E3"/>
    <w:rsid w:val="009A085C"/>
    <w:rsid w:val="009A29C5"/>
    <w:rsid w:val="009A4486"/>
    <w:rsid w:val="009A4AD6"/>
    <w:rsid w:val="009A4E1C"/>
    <w:rsid w:val="009B1702"/>
    <w:rsid w:val="009B501C"/>
    <w:rsid w:val="009C01FF"/>
    <w:rsid w:val="009C1B95"/>
    <w:rsid w:val="009C2D14"/>
    <w:rsid w:val="009C3F26"/>
    <w:rsid w:val="009C53BE"/>
    <w:rsid w:val="009C6FD1"/>
    <w:rsid w:val="009D099F"/>
    <w:rsid w:val="009D2536"/>
    <w:rsid w:val="009D30FA"/>
    <w:rsid w:val="009D6B8F"/>
    <w:rsid w:val="009D7F08"/>
    <w:rsid w:val="009E2006"/>
    <w:rsid w:val="009E3117"/>
    <w:rsid w:val="009E6E57"/>
    <w:rsid w:val="009F0EFE"/>
    <w:rsid w:val="009F1035"/>
    <w:rsid w:val="009F128D"/>
    <w:rsid w:val="009F5809"/>
    <w:rsid w:val="00A05298"/>
    <w:rsid w:val="00A05A38"/>
    <w:rsid w:val="00A061DD"/>
    <w:rsid w:val="00A0655A"/>
    <w:rsid w:val="00A21DC4"/>
    <w:rsid w:val="00A31FE8"/>
    <w:rsid w:val="00A34FC3"/>
    <w:rsid w:val="00A3661F"/>
    <w:rsid w:val="00A36D84"/>
    <w:rsid w:val="00A402FF"/>
    <w:rsid w:val="00A4314E"/>
    <w:rsid w:val="00A47456"/>
    <w:rsid w:val="00A50245"/>
    <w:rsid w:val="00A5136C"/>
    <w:rsid w:val="00A51D54"/>
    <w:rsid w:val="00A5256D"/>
    <w:rsid w:val="00A56BB2"/>
    <w:rsid w:val="00A60F14"/>
    <w:rsid w:val="00A6352B"/>
    <w:rsid w:val="00A65433"/>
    <w:rsid w:val="00A671B6"/>
    <w:rsid w:val="00A67C0D"/>
    <w:rsid w:val="00A7366E"/>
    <w:rsid w:val="00A80096"/>
    <w:rsid w:val="00A82355"/>
    <w:rsid w:val="00A8449C"/>
    <w:rsid w:val="00A84C0E"/>
    <w:rsid w:val="00A8787E"/>
    <w:rsid w:val="00A90CF2"/>
    <w:rsid w:val="00A94DC8"/>
    <w:rsid w:val="00A953DD"/>
    <w:rsid w:val="00A9585D"/>
    <w:rsid w:val="00A97951"/>
    <w:rsid w:val="00AA034E"/>
    <w:rsid w:val="00AA19CC"/>
    <w:rsid w:val="00AA3E90"/>
    <w:rsid w:val="00AA4243"/>
    <w:rsid w:val="00AA6A57"/>
    <w:rsid w:val="00AA755D"/>
    <w:rsid w:val="00AB07ED"/>
    <w:rsid w:val="00AB0F84"/>
    <w:rsid w:val="00AB2DCF"/>
    <w:rsid w:val="00AB3D29"/>
    <w:rsid w:val="00AB5E46"/>
    <w:rsid w:val="00AB665D"/>
    <w:rsid w:val="00AB66C0"/>
    <w:rsid w:val="00AB7CF7"/>
    <w:rsid w:val="00AC08CA"/>
    <w:rsid w:val="00AC0F82"/>
    <w:rsid w:val="00AC60D1"/>
    <w:rsid w:val="00AC699E"/>
    <w:rsid w:val="00AD32EA"/>
    <w:rsid w:val="00AD41F0"/>
    <w:rsid w:val="00AD5E20"/>
    <w:rsid w:val="00AE1425"/>
    <w:rsid w:val="00AE2B47"/>
    <w:rsid w:val="00AE2F6D"/>
    <w:rsid w:val="00AE33B8"/>
    <w:rsid w:val="00AE4A0B"/>
    <w:rsid w:val="00AE5B5A"/>
    <w:rsid w:val="00AE7C27"/>
    <w:rsid w:val="00AE7EFE"/>
    <w:rsid w:val="00AF0B9D"/>
    <w:rsid w:val="00AF2A4A"/>
    <w:rsid w:val="00B06E74"/>
    <w:rsid w:val="00B07A85"/>
    <w:rsid w:val="00B1142F"/>
    <w:rsid w:val="00B1435D"/>
    <w:rsid w:val="00B14799"/>
    <w:rsid w:val="00B149A7"/>
    <w:rsid w:val="00B15106"/>
    <w:rsid w:val="00B15861"/>
    <w:rsid w:val="00B16E4B"/>
    <w:rsid w:val="00B2077C"/>
    <w:rsid w:val="00B21B12"/>
    <w:rsid w:val="00B270A4"/>
    <w:rsid w:val="00B30347"/>
    <w:rsid w:val="00B305B7"/>
    <w:rsid w:val="00B333FE"/>
    <w:rsid w:val="00B347E4"/>
    <w:rsid w:val="00B3542E"/>
    <w:rsid w:val="00B3582B"/>
    <w:rsid w:val="00B448AB"/>
    <w:rsid w:val="00B44ACE"/>
    <w:rsid w:val="00B46224"/>
    <w:rsid w:val="00B47977"/>
    <w:rsid w:val="00B50087"/>
    <w:rsid w:val="00B51719"/>
    <w:rsid w:val="00B554D2"/>
    <w:rsid w:val="00B556B2"/>
    <w:rsid w:val="00B55BBA"/>
    <w:rsid w:val="00B574EB"/>
    <w:rsid w:val="00B57B5E"/>
    <w:rsid w:val="00B6090B"/>
    <w:rsid w:val="00B65DDB"/>
    <w:rsid w:val="00B66B60"/>
    <w:rsid w:val="00B76B82"/>
    <w:rsid w:val="00B803FC"/>
    <w:rsid w:val="00B83197"/>
    <w:rsid w:val="00B872AB"/>
    <w:rsid w:val="00B90848"/>
    <w:rsid w:val="00B94DC0"/>
    <w:rsid w:val="00B954EF"/>
    <w:rsid w:val="00BA2F5A"/>
    <w:rsid w:val="00BA3246"/>
    <w:rsid w:val="00BA5DD9"/>
    <w:rsid w:val="00BA673B"/>
    <w:rsid w:val="00BA6CE3"/>
    <w:rsid w:val="00BA6FBA"/>
    <w:rsid w:val="00BB01DD"/>
    <w:rsid w:val="00BB04D8"/>
    <w:rsid w:val="00BB181A"/>
    <w:rsid w:val="00BB2107"/>
    <w:rsid w:val="00BB40D2"/>
    <w:rsid w:val="00BB42EE"/>
    <w:rsid w:val="00BC004D"/>
    <w:rsid w:val="00BC1E4F"/>
    <w:rsid w:val="00BC2CF9"/>
    <w:rsid w:val="00BC5BB5"/>
    <w:rsid w:val="00BC7052"/>
    <w:rsid w:val="00BD0CFB"/>
    <w:rsid w:val="00BD2EC1"/>
    <w:rsid w:val="00BD3EE9"/>
    <w:rsid w:val="00BE0172"/>
    <w:rsid w:val="00BE0984"/>
    <w:rsid w:val="00BE0BDC"/>
    <w:rsid w:val="00BE2261"/>
    <w:rsid w:val="00BE398F"/>
    <w:rsid w:val="00BE3B81"/>
    <w:rsid w:val="00BE63C5"/>
    <w:rsid w:val="00BE7708"/>
    <w:rsid w:val="00BE786E"/>
    <w:rsid w:val="00BF434C"/>
    <w:rsid w:val="00BF49EF"/>
    <w:rsid w:val="00C05C8A"/>
    <w:rsid w:val="00C05F06"/>
    <w:rsid w:val="00C064D9"/>
    <w:rsid w:val="00C07F42"/>
    <w:rsid w:val="00C208DE"/>
    <w:rsid w:val="00C22433"/>
    <w:rsid w:val="00C23112"/>
    <w:rsid w:val="00C23243"/>
    <w:rsid w:val="00C24151"/>
    <w:rsid w:val="00C317AB"/>
    <w:rsid w:val="00C34138"/>
    <w:rsid w:val="00C3682E"/>
    <w:rsid w:val="00C45829"/>
    <w:rsid w:val="00C47927"/>
    <w:rsid w:val="00C50309"/>
    <w:rsid w:val="00C53E66"/>
    <w:rsid w:val="00C5571B"/>
    <w:rsid w:val="00C60F20"/>
    <w:rsid w:val="00C62BAB"/>
    <w:rsid w:val="00C67CE4"/>
    <w:rsid w:val="00C70F5A"/>
    <w:rsid w:val="00C81D87"/>
    <w:rsid w:val="00C862A0"/>
    <w:rsid w:val="00C86BD6"/>
    <w:rsid w:val="00C87D79"/>
    <w:rsid w:val="00C91306"/>
    <w:rsid w:val="00C91641"/>
    <w:rsid w:val="00C91C53"/>
    <w:rsid w:val="00C925FD"/>
    <w:rsid w:val="00C966A6"/>
    <w:rsid w:val="00C96734"/>
    <w:rsid w:val="00C97198"/>
    <w:rsid w:val="00CA1706"/>
    <w:rsid w:val="00CA6013"/>
    <w:rsid w:val="00CB08F7"/>
    <w:rsid w:val="00CB2087"/>
    <w:rsid w:val="00CB2A7B"/>
    <w:rsid w:val="00CB7F8B"/>
    <w:rsid w:val="00CC0D9E"/>
    <w:rsid w:val="00CC16E7"/>
    <w:rsid w:val="00CC182D"/>
    <w:rsid w:val="00CC30AB"/>
    <w:rsid w:val="00CC37BD"/>
    <w:rsid w:val="00CC64F7"/>
    <w:rsid w:val="00CD3AB1"/>
    <w:rsid w:val="00CD4988"/>
    <w:rsid w:val="00CD55E5"/>
    <w:rsid w:val="00CE06B2"/>
    <w:rsid w:val="00CE15AE"/>
    <w:rsid w:val="00CF44F7"/>
    <w:rsid w:val="00CF4B10"/>
    <w:rsid w:val="00CF51FD"/>
    <w:rsid w:val="00D00064"/>
    <w:rsid w:val="00D0013D"/>
    <w:rsid w:val="00D00F60"/>
    <w:rsid w:val="00D0224C"/>
    <w:rsid w:val="00D03404"/>
    <w:rsid w:val="00D05C68"/>
    <w:rsid w:val="00D06F47"/>
    <w:rsid w:val="00D1094A"/>
    <w:rsid w:val="00D12D97"/>
    <w:rsid w:val="00D147A9"/>
    <w:rsid w:val="00D14868"/>
    <w:rsid w:val="00D179E6"/>
    <w:rsid w:val="00D20571"/>
    <w:rsid w:val="00D223E5"/>
    <w:rsid w:val="00D23F45"/>
    <w:rsid w:val="00D25E06"/>
    <w:rsid w:val="00D31672"/>
    <w:rsid w:val="00D34186"/>
    <w:rsid w:val="00D41D37"/>
    <w:rsid w:val="00D448E1"/>
    <w:rsid w:val="00D44E36"/>
    <w:rsid w:val="00D47576"/>
    <w:rsid w:val="00D506D7"/>
    <w:rsid w:val="00D53EE9"/>
    <w:rsid w:val="00D55B71"/>
    <w:rsid w:val="00D563CC"/>
    <w:rsid w:val="00D57C2E"/>
    <w:rsid w:val="00D57CB5"/>
    <w:rsid w:val="00D636DB"/>
    <w:rsid w:val="00D65AA8"/>
    <w:rsid w:val="00D72EFB"/>
    <w:rsid w:val="00D73E10"/>
    <w:rsid w:val="00D757CE"/>
    <w:rsid w:val="00D76D80"/>
    <w:rsid w:val="00D80B8E"/>
    <w:rsid w:val="00D80E1E"/>
    <w:rsid w:val="00D81E25"/>
    <w:rsid w:val="00D878EE"/>
    <w:rsid w:val="00D91171"/>
    <w:rsid w:val="00D95A9D"/>
    <w:rsid w:val="00D95ABC"/>
    <w:rsid w:val="00D970B0"/>
    <w:rsid w:val="00D975E7"/>
    <w:rsid w:val="00D97ECB"/>
    <w:rsid w:val="00D97F55"/>
    <w:rsid w:val="00DA08FE"/>
    <w:rsid w:val="00DA1860"/>
    <w:rsid w:val="00DA5084"/>
    <w:rsid w:val="00DA58AF"/>
    <w:rsid w:val="00DA6314"/>
    <w:rsid w:val="00DB00D9"/>
    <w:rsid w:val="00DB1126"/>
    <w:rsid w:val="00DB42E7"/>
    <w:rsid w:val="00DB46C3"/>
    <w:rsid w:val="00DB553D"/>
    <w:rsid w:val="00DB7D95"/>
    <w:rsid w:val="00DC0369"/>
    <w:rsid w:val="00DC376D"/>
    <w:rsid w:val="00DC50F5"/>
    <w:rsid w:val="00DC5861"/>
    <w:rsid w:val="00DD04FD"/>
    <w:rsid w:val="00DD09A0"/>
    <w:rsid w:val="00DD0B06"/>
    <w:rsid w:val="00DD1020"/>
    <w:rsid w:val="00DD1F73"/>
    <w:rsid w:val="00DD52F9"/>
    <w:rsid w:val="00DD69C1"/>
    <w:rsid w:val="00DE124E"/>
    <w:rsid w:val="00DE2EE4"/>
    <w:rsid w:val="00DE3D17"/>
    <w:rsid w:val="00DE428B"/>
    <w:rsid w:val="00DE67D6"/>
    <w:rsid w:val="00DE6AED"/>
    <w:rsid w:val="00DF07FC"/>
    <w:rsid w:val="00DF24C0"/>
    <w:rsid w:val="00DF5986"/>
    <w:rsid w:val="00DF5ABB"/>
    <w:rsid w:val="00DF5D23"/>
    <w:rsid w:val="00E00702"/>
    <w:rsid w:val="00E023A7"/>
    <w:rsid w:val="00E03088"/>
    <w:rsid w:val="00E03522"/>
    <w:rsid w:val="00E0400B"/>
    <w:rsid w:val="00E04743"/>
    <w:rsid w:val="00E070CA"/>
    <w:rsid w:val="00E07AAD"/>
    <w:rsid w:val="00E07E45"/>
    <w:rsid w:val="00E10762"/>
    <w:rsid w:val="00E12B24"/>
    <w:rsid w:val="00E17007"/>
    <w:rsid w:val="00E17240"/>
    <w:rsid w:val="00E21CB7"/>
    <w:rsid w:val="00E24779"/>
    <w:rsid w:val="00E27D09"/>
    <w:rsid w:val="00E33680"/>
    <w:rsid w:val="00E377FE"/>
    <w:rsid w:val="00E415F3"/>
    <w:rsid w:val="00E429E7"/>
    <w:rsid w:val="00E44200"/>
    <w:rsid w:val="00E44F0B"/>
    <w:rsid w:val="00E457E7"/>
    <w:rsid w:val="00E468EC"/>
    <w:rsid w:val="00E46F87"/>
    <w:rsid w:val="00E47863"/>
    <w:rsid w:val="00E4786E"/>
    <w:rsid w:val="00E50650"/>
    <w:rsid w:val="00E527B2"/>
    <w:rsid w:val="00E53468"/>
    <w:rsid w:val="00E537E1"/>
    <w:rsid w:val="00E552A3"/>
    <w:rsid w:val="00E567EC"/>
    <w:rsid w:val="00E57E1C"/>
    <w:rsid w:val="00E64005"/>
    <w:rsid w:val="00E64CB3"/>
    <w:rsid w:val="00E726FA"/>
    <w:rsid w:val="00E76581"/>
    <w:rsid w:val="00E773C4"/>
    <w:rsid w:val="00E81E3B"/>
    <w:rsid w:val="00E830A5"/>
    <w:rsid w:val="00E83CD0"/>
    <w:rsid w:val="00E84917"/>
    <w:rsid w:val="00E85FF7"/>
    <w:rsid w:val="00E86E88"/>
    <w:rsid w:val="00E87904"/>
    <w:rsid w:val="00E90D07"/>
    <w:rsid w:val="00E91FF5"/>
    <w:rsid w:val="00E9524E"/>
    <w:rsid w:val="00EA3D1A"/>
    <w:rsid w:val="00EA7E3D"/>
    <w:rsid w:val="00EB2B80"/>
    <w:rsid w:val="00EB4518"/>
    <w:rsid w:val="00EB54CD"/>
    <w:rsid w:val="00EB6293"/>
    <w:rsid w:val="00EB6674"/>
    <w:rsid w:val="00EB7532"/>
    <w:rsid w:val="00EC1D90"/>
    <w:rsid w:val="00EC2522"/>
    <w:rsid w:val="00EC6C15"/>
    <w:rsid w:val="00EC6C32"/>
    <w:rsid w:val="00EC7F7C"/>
    <w:rsid w:val="00ED3253"/>
    <w:rsid w:val="00ED645B"/>
    <w:rsid w:val="00EE0737"/>
    <w:rsid w:val="00EE3421"/>
    <w:rsid w:val="00EE49A4"/>
    <w:rsid w:val="00EF1C04"/>
    <w:rsid w:val="00EF5442"/>
    <w:rsid w:val="00EF7919"/>
    <w:rsid w:val="00F030DB"/>
    <w:rsid w:val="00F0385E"/>
    <w:rsid w:val="00F06079"/>
    <w:rsid w:val="00F14F76"/>
    <w:rsid w:val="00F175B5"/>
    <w:rsid w:val="00F208D8"/>
    <w:rsid w:val="00F26202"/>
    <w:rsid w:val="00F303A3"/>
    <w:rsid w:val="00F30E07"/>
    <w:rsid w:val="00F35D9F"/>
    <w:rsid w:val="00F35E68"/>
    <w:rsid w:val="00F42961"/>
    <w:rsid w:val="00F43C01"/>
    <w:rsid w:val="00F440C1"/>
    <w:rsid w:val="00F4413D"/>
    <w:rsid w:val="00F47D7C"/>
    <w:rsid w:val="00F51BB5"/>
    <w:rsid w:val="00F51DF1"/>
    <w:rsid w:val="00F535E7"/>
    <w:rsid w:val="00F54EFA"/>
    <w:rsid w:val="00F55CEF"/>
    <w:rsid w:val="00F562CC"/>
    <w:rsid w:val="00F56F3A"/>
    <w:rsid w:val="00F57124"/>
    <w:rsid w:val="00F57D82"/>
    <w:rsid w:val="00F601AF"/>
    <w:rsid w:val="00F617E4"/>
    <w:rsid w:val="00F63385"/>
    <w:rsid w:val="00F6406C"/>
    <w:rsid w:val="00F65020"/>
    <w:rsid w:val="00F65565"/>
    <w:rsid w:val="00F70734"/>
    <w:rsid w:val="00F7135C"/>
    <w:rsid w:val="00F74F27"/>
    <w:rsid w:val="00F80D9C"/>
    <w:rsid w:val="00F83367"/>
    <w:rsid w:val="00F87601"/>
    <w:rsid w:val="00F877B8"/>
    <w:rsid w:val="00F909F2"/>
    <w:rsid w:val="00F92368"/>
    <w:rsid w:val="00F93BE2"/>
    <w:rsid w:val="00F949F2"/>
    <w:rsid w:val="00F959B1"/>
    <w:rsid w:val="00FA0739"/>
    <w:rsid w:val="00FA1426"/>
    <w:rsid w:val="00FA4C44"/>
    <w:rsid w:val="00FA4FD2"/>
    <w:rsid w:val="00FA5593"/>
    <w:rsid w:val="00FA569C"/>
    <w:rsid w:val="00FA72FC"/>
    <w:rsid w:val="00FB0360"/>
    <w:rsid w:val="00FB1792"/>
    <w:rsid w:val="00FB6812"/>
    <w:rsid w:val="00FB6D1A"/>
    <w:rsid w:val="00FC4CBE"/>
    <w:rsid w:val="00FC56E5"/>
    <w:rsid w:val="00FC5FE0"/>
    <w:rsid w:val="00FC69CE"/>
    <w:rsid w:val="00FD07FF"/>
    <w:rsid w:val="00FD0F26"/>
    <w:rsid w:val="00FD20BF"/>
    <w:rsid w:val="00FD38D7"/>
    <w:rsid w:val="00FD5911"/>
    <w:rsid w:val="00FF2D06"/>
    <w:rsid w:val="00FF43FB"/>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58C6C"/>
  <w14:defaultImageDpi w14:val="300"/>
  <w15:chartTrackingRefBased/>
  <w15:docId w15:val="{2F1D8FE5-9D29-4C61-8094-0A388C69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5D"/>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Medium Grid 2 - Accent 1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styleId="ListParagraph">
    <w:name w:val="List Paragraph"/>
    <w:basedOn w:val="Normal"/>
    <w:uiPriority w:val="34"/>
    <w:qFormat/>
    <w:rsid w:val="00005010"/>
    <w:pPr>
      <w:ind w:left="720"/>
      <w:contextualSpacing/>
    </w:pPr>
  </w:style>
  <w:style w:type="table" w:styleId="TableGrid">
    <w:name w:val="Table Grid"/>
    <w:basedOn w:val="TableNormal"/>
    <w:uiPriority w:val="59"/>
    <w:rsid w:val="009A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609095592">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661736350">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sites/dolgov/files/EBSA/laws-and-regulations/laws/mental-health-parity/self-compliance-too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370BE-4F0B-49B1-8896-6C7F7D54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06966-A1AB-4C10-9BBC-276A3B2C31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154CE9-66EC-CA49-9E41-1864371AAE71}">
  <ds:schemaRefs>
    <ds:schemaRef ds:uri="http://schemas.openxmlformats.org/officeDocument/2006/bibliography"/>
  </ds:schemaRefs>
</ds:datastoreItem>
</file>

<file path=customXml/itemProps4.xml><?xml version="1.0" encoding="utf-8"?>
<ds:datastoreItem xmlns:ds="http://schemas.openxmlformats.org/officeDocument/2006/customXml" ds:itemID="{AE915EF6-059D-4BC5-AA82-D583402B6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2015-06-14T11:42:00Z</cp:lastPrinted>
  <dcterms:created xsi:type="dcterms:W3CDTF">2021-02-02T18:20:00Z</dcterms:created>
  <dcterms:modified xsi:type="dcterms:W3CDTF">2021-02-02T18:20:00Z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