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011C" w14:textId="5C05F32E" w:rsidR="00102C3F" w:rsidRDefault="00956927" w:rsidP="00D20E25">
      <w:r>
        <w:rPr>
          <w:noProof/>
        </w:rPr>
        <mc:AlternateContent>
          <mc:Choice Requires="wps">
            <w:drawing>
              <wp:anchor distT="0" distB="0" distL="114300" distR="114300" simplePos="0" relativeHeight="251657216" behindDoc="0" locked="0" layoutInCell="1" allowOverlap="1" wp14:anchorId="1F050ED3" wp14:editId="33171B80">
                <wp:simplePos x="0" y="0"/>
                <wp:positionH relativeFrom="column">
                  <wp:posOffset>3504565</wp:posOffset>
                </wp:positionH>
                <wp:positionV relativeFrom="paragraph">
                  <wp:posOffset>-573517</wp:posOffset>
                </wp:positionV>
                <wp:extent cx="2895600" cy="3994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ext uri="{91240B29-F687-4f45-9708-019B960494DF}"/>
                        </a:extLst>
                      </wps:spPr>
                      <wps:txbx>
                        <w:txbxContent>
                          <w:p w14:paraId="5351BF0D" w14:textId="77777777" w:rsidR="005C07B5" w:rsidRPr="009B5ABE" w:rsidRDefault="005C07B5" w:rsidP="00D20E25">
                            <w:pPr>
                              <w:jc w:val="right"/>
                              <w:rPr>
                                <w:color w:val="FFFFFF"/>
                                <w:sz w:val="44"/>
                                <w:szCs w:val="44"/>
                              </w:rPr>
                            </w:pPr>
                            <w:r w:rsidRPr="009B5ABE">
                              <w:rPr>
                                <w:color w:val="FFFFFF"/>
                                <w:sz w:val="44"/>
                                <w:szCs w:val="44"/>
                              </w:rPr>
                              <w:t>Compliance Alert</w:t>
                            </w:r>
                          </w:p>
                          <w:p w14:paraId="021B4705"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050ED3" id="_x0000_t202" coordsize="21600,21600" o:spt="202" path="m,l,21600r21600,l21600,xe">
                <v:stroke joinstyle="miter"/>
                <v:path gradientshapeok="t" o:connecttype="rect"/>
              </v:shapetype>
              <v:shape id="Text Box 9" o:spid="_x0000_s1026" type="#_x0000_t202" style="position:absolute;margin-left:275.95pt;margin-top:-45.1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C4w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" filled="f" stroked="f">
                <v:textbox>
                  <w:txbxContent>
                    <w:p w14:paraId="5351BF0D" w14:textId="77777777" w:rsidR="005C07B5" w:rsidRPr="009B5ABE" w:rsidRDefault="005C07B5" w:rsidP="00D20E25">
                      <w:pPr>
                        <w:jc w:val="right"/>
                        <w:rPr>
                          <w:color w:val="FFFFFF"/>
                          <w:sz w:val="44"/>
                          <w:szCs w:val="44"/>
                        </w:rPr>
                      </w:pPr>
                      <w:r w:rsidRPr="009B5ABE">
                        <w:rPr>
                          <w:color w:val="FFFFFF"/>
                          <w:sz w:val="44"/>
                          <w:szCs w:val="44"/>
                        </w:rPr>
                        <w:t>Compliance Alert</w:t>
                      </w:r>
                    </w:p>
                    <w:p w14:paraId="021B4705" w14:textId="77777777" w:rsidR="005C07B5" w:rsidRPr="00D636DB" w:rsidRDefault="005C07B5" w:rsidP="00D20E25">
                      <w:pPr>
                        <w:jc w:val="right"/>
                      </w:pPr>
                    </w:p>
                  </w:txbxContent>
                </v:textbox>
              </v:shape>
            </w:pict>
          </mc:Fallback>
        </mc:AlternateContent>
      </w:r>
      <w:r>
        <w:rPr>
          <w:noProof/>
        </w:rPr>
        <w:drawing>
          <wp:anchor distT="0" distB="0" distL="114300" distR="114300" simplePos="0" relativeHeight="251658240" behindDoc="1" locked="0" layoutInCell="1" allowOverlap="1" wp14:anchorId="20167FA8" wp14:editId="6B4F1EF3">
            <wp:simplePos x="0" y="0"/>
            <wp:positionH relativeFrom="column">
              <wp:posOffset>-718185</wp:posOffset>
            </wp:positionH>
            <wp:positionV relativeFrom="paragraph">
              <wp:posOffset>-780527</wp:posOffset>
            </wp:positionV>
            <wp:extent cx="8684260" cy="868680"/>
            <wp:effectExtent l="0" t="0" r="254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B44BF" w14:textId="77777777" w:rsidR="00383956" w:rsidRDefault="00383956" w:rsidP="00D20E25">
      <w:pPr>
        <w:pStyle w:val="Heading1"/>
      </w:pPr>
    </w:p>
    <w:p w14:paraId="3639285B" w14:textId="38406C5D" w:rsidR="00AF0B9D" w:rsidRPr="00D20E25" w:rsidRDefault="003A65CE" w:rsidP="00D20E25">
      <w:pPr>
        <w:pStyle w:val="Heading1"/>
      </w:pPr>
      <w:r>
        <w:t xml:space="preserve">New DOL Outbreak Period and Extended Time Frames </w:t>
      </w:r>
      <w:r w:rsidR="00DC76EB">
        <w:t>Guidance</w:t>
      </w:r>
      <w:r w:rsidR="00777C72">
        <w:t xml:space="preserve"> </w:t>
      </w:r>
    </w:p>
    <w:p w14:paraId="7CF3A7DC" w14:textId="77777777" w:rsidR="00807B7A" w:rsidRDefault="00807B7A" w:rsidP="00D20E25"/>
    <w:p w14:paraId="49CE0426" w14:textId="7364FDF2" w:rsidR="000E03AB" w:rsidRPr="00D20E25" w:rsidRDefault="00DB46C3" w:rsidP="00D20E25">
      <w:r w:rsidRPr="00D20E25">
        <w:t>Issue</w:t>
      </w:r>
      <w:r w:rsidR="00AF0B9D" w:rsidRPr="00D20E25">
        <w:t xml:space="preserve"> Date: </w:t>
      </w:r>
      <w:r w:rsidR="00280E70">
        <w:t>February</w:t>
      </w:r>
      <w:r w:rsidR="00807B7A">
        <w:t xml:space="preserve"> 202</w:t>
      </w:r>
      <w:r w:rsidR="003A65CE">
        <w:t>1</w:t>
      </w:r>
    </w:p>
    <w:p w14:paraId="0E76EE4F" w14:textId="77777777" w:rsidR="0047037D" w:rsidRDefault="0047037D" w:rsidP="00D20E25">
      <w:pPr>
        <w:pStyle w:val="MediumGrid2-Accent11"/>
        <w:rPr>
          <w:lang w:val="en-US"/>
        </w:rPr>
      </w:pPr>
    </w:p>
    <w:p w14:paraId="7F73123A" w14:textId="0AE7EB36" w:rsidR="003A65CE" w:rsidRDefault="00DC76EB" w:rsidP="00D20E25">
      <w:pPr>
        <w:pStyle w:val="MediumGrid2-Accent11"/>
        <w:rPr>
          <w:lang w:val="en-US"/>
        </w:rPr>
      </w:pPr>
      <w:r>
        <w:rPr>
          <w:lang w:val="en-US"/>
        </w:rPr>
        <w:t>The Department of Labor (DOL)</w:t>
      </w:r>
      <w:r w:rsidR="00171AD4">
        <w:rPr>
          <w:lang w:val="en-US"/>
        </w:rPr>
        <w:t xml:space="preserve"> </w:t>
      </w:r>
      <w:r w:rsidR="003A65CE">
        <w:rPr>
          <w:lang w:val="en-US"/>
        </w:rPr>
        <w:t xml:space="preserve">has </w:t>
      </w:r>
      <w:r w:rsidR="008B3E02">
        <w:rPr>
          <w:lang w:val="en-US"/>
        </w:rPr>
        <w:t>issued</w:t>
      </w:r>
      <w:r w:rsidR="003A65CE">
        <w:rPr>
          <w:lang w:val="en-US"/>
        </w:rPr>
        <w:t xml:space="preserve"> new guidance regarding notice and disclosure timeframe r</w:t>
      </w:r>
      <w:r w:rsidR="003A65CE" w:rsidRPr="003A65CE">
        <w:rPr>
          <w:lang w:val="en-US"/>
        </w:rPr>
        <w:t xml:space="preserve">elief for </w:t>
      </w:r>
      <w:r w:rsidR="003A65CE">
        <w:rPr>
          <w:lang w:val="en-US"/>
        </w:rPr>
        <w:t>e</w:t>
      </w:r>
      <w:r w:rsidR="003A65CE" w:rsidRPr="003A65CE">
        <w:rPr>
          <w:lang w:val="en-US"/>
        </w:rPr>
        <w:t xml:space="preserve">mployee </w:t>
      </w:r>
      <w:r w:rsidR="003A65CE">
        <w:rPr>
          <w:lang w:val="en-US"/>
        </w:rPr>
        <w:t>b</w:t>
      </w:r>
      <w:r w:rsidR="003A65CE" w:rsidRPr="003A65CE">
        <w:rPr>
          <w:lang w:val="en-US"/>
        </w:rPr>
        <w:t xml:space="preserve">enefit </w:t>
      </w:r>
      <w:r w:rsidR="003A65CE">
        <w:rPr>
          <w:lang w:val="en-US"/>
        </w:rPr>
        <w:t>pl</w:t>
      </w:r>
      <w:r w:rsidR="003A65CE" w:rsidRPr="003A65CE">
        <w:rPr>
          <w:lang w:val="en-US"/>
        </w:rPr>
        <w:t xml:space="preserve">ans and </w:t>
      </w:r>
      <w:r w:rsidR="003A65CE">
        <w:rPr>
          <w:lang w:val="en-US"/>
        </w:rPr>
        <w:t>p</w:t>
      </w:r>
      <w:r w:rsidR="003A65CE" w:rsidRPr="003A65CE">
        <w:rPr>
          <w:lang w:val="en-US"/>
        </w:rPr>
        <w:t xml:space="preserve">lan </w:t>
      </w:r>
      <w:r w:rsidR="003A65CE">
        <w:rPr>
          <w:lang w:val="en-US"/>
        </w:rPr>
        <w:t>p</w:t>
      </w:r>
      <w:r w:rsidR="003A65CE" w:rsidRPr="003A65CE">
        <w:rPr>
          <w:lang w:val="en-US"/>
        </w:rPr>
        <w:t>articipants</w:t>
      </w:r>
      <w:r w:rsidR="003A65CE">
        <w:rPr>
          <w:lang w:val="en-US"/>
        </w:rPr>
        <w:t xml:space="preserve"> due to COVID-19</w:t>
      </w:r>
      <w:r w:rsidR="001626A4">
        <w:rPr>
          <w:lang w:val="en-US"/>
        </w:rPr>
        <w:t xml:space="preserve">. </w:t>
      </w:r>
      <w:r w:rsidR="003A65CE">
        <w:rPr>
          <w:lang w:val="en-US"/>
        </w:rPr>
        <w:t xml:space="preserve"> </w:t>
      </w:r>
      <w:r w:rsidR="003A65CE" w:rsidRPr="003A65CE">
        <w:rPr>
          <w:lang w:val="en-US"/>
        </w:rPr>
        <w:t>EBSA Disaster Relief Notice 2021-01</w:t>
      </w:r>
      <w:r w:rsidR="001626A4">
        <w:rPr>
          <w:lang w:val="en-US"/>
        </w:rPr>
        <w:t xml:space="preserve"> </w:t>
      </w:r>
      <w:r w:rsidR="005E0B74">
        <w:rPr>
          <w:lang w:val="en-US"/>
        </w:rPr>
        <w:t xml:space="preserve">(The Joint Notice) </w:t>
      </w:r>
      <w:r w:rsidR="001626A4">
        <w:rPr>
          <w:lang w:val="en-US"/>
        </w:rPr>
        <w:t xml:space="preserve">clarifies that </w:t>
      </w:r>
      <w:r w:rsidR="00672994">
        <w:rPr>
          <w:lang w:val="en-US"/>
        </w:rPr>
        <w:t xml:space="preserve">the deadline for </w:t>
      </w:r>
      <w:r w:rsidR="001626A4">
        <w:rPr>
          <w:lang w:val="en-US"/>
        </w:rPr>
        <w:t>extended timeframes</w:t>
      </w:r>
      <w:r w:rsidR="00672994">
        <w:rPr>
          <w:lang w:val="en-US"/>
        </w:rPr>
        <w:t>,</w:t>
      </w:r>
      <w:r w:rsidR="001626A4">
        <w:rPr>
          <w:lang w:val="en-US"/>
        </w:rPr>
        <w:t xml:space="preserve"> such as a COBRA election</w:t>
      </w:r>
      <w:r w:rsidR="00672994">
        <w:rPr>
          <w:lang w:val="en-US"/>
        </w:rPr>
        <w:t>,</w:t>
      </w:r>
      <w:r w:rsidR="001626A4">
        <w:rPr>
          <w:lang w:val="en-US"/>
        </w:rPr>
        <w:t xml:space="preserve"> </w:t>
      </w:r>
      <w:r w:rsidR="00672994">
        <w:rPr>
          <w:lang w:val="en-US"/>
        </w:rPr>
        <w:t xml:space="preserve">are </w:t>
      </w:r>
      <w:r w:rsidR="001626A4">
        <w:rPr>
          <w:lang w:val="en-US"/>
        </w:rPr>
        <w:t xml:space="preserve">based on each </w:t>
      </w:r>
      <w:r w:rsidR="008B3E02">
        <w:rPr>
          <w:lang w:val="en-US"/>
        </w:rPr>
        <w:t>participant</w:t>
      </w:r>
      <w:r w:rsidR="00672994">
        <w:rPr>
          <w:lang w:val="en-US"/>
        </w:rPr>
        <w:t>’</w:t>
      </w:r>
      <w:r w:rsidR="008B3E02">
        <w:rPr>
          <w:lang w:val="en-US"/>
        </w:rPr>
        <w:t>s</w:t>
      </w:r>
      <w:r w:rsidR="001626A4">
        <w:rPr>
          <w:lang w:val="en-US"/>
        </w:rPr>
        <w:t xml:space="preserve"> individual circumstances</w:t>
      </w:r>
      <w:r w:rsidR="00672994">
        <w:rPr>
          <w:lang w:val="en-US"/>
        </w:rPr>
        <w:t>,</w:t>
      </w:r>
      <w:r w:rsidR="001626A4">
        <w:rPr>
          <w:lang w:val="en-US"/>
        </w:rPr>
        <w:t xml:space="preserve"> rather than on a fixed period applicable to all notices and disclosures. This </w:t>
      </w:r>
      <w:r w:rsidR="008B3E02">
        <w:rPr>
          <w:lang w:val="en-US"/>
        </w:rPr>
        <w:t>interpretation</w:t>
      </w:r>
      <w:r w:rsidR="001626A4">
        <w:rPr>
          <w:lang w:val="en-US"/>
        </w:rPr>
        <w:t xml:space="preserve"> will </w:t>
      </w:r>
      <w:r w:rsidR="00672994">
        <w:rPr>
          <w:lang w:val="en-US"/>
        </w:rPr>
        <w:t>create</w:t>
      </w:r>
      <w:r w:rsidR="001626A4">
        <w:rPr>
          <w:lang w:val="en-US"/>
        </w:rPr>
        <w:t xml:space="preserve"> significant administrative </w:t>
      </w:r>
      <w:r w:rsidR="00280E70">
        <w:rPr>
          <w:lang w:val="en-US"/>
        </w:rPr>
        <w:t>challenges</w:t>
      </w:r>
      <w:r w:rsidR="001626A4">
        <w:rPr>
          <w:lang w:val="en-US"/>
        </w:rPr>
        <w:t xml:space="preserve"> for plan sponsors and </w:t>
      </w:r>
      <w:r w:rsidR="00280E70">
        <w:rPr>
          <w:lang w:val="en-US"/>
        </w:rPr>
        <w:t>administrators</w:t>
      </w:r>
      <w:r w:rsidR="001626A4">
        <w:rPr>
          <w:lang w:val="en-US"/>
        </w:rPr>
        <w:t>.</w:t>
      </w:r>
    </w:p>
    <w:p w14:paraId="6EF93FD3" w14:textId="6B12830D" w:rsidR="001626A4" w:rsidRDefault="001626A4" w:rsidP="00D20E25">
      <w:pPr>
        <w:pStyle w:val="MediumGrid2-Accent11"/>
        <w:rPr>
          <w:lang w:val="en-US"/>
        </w:rPr>
      </w:pPr>
    </w:p>
    <w:p w14:paraId="403A7E3D" w14:textId="08B98AE2" w:rsidR="001626A4" w:rsidRPr="00672994" w:rsidRDefault="008B3E02" w:rsidP="00D20E25">
      <w:pPr>
        <w:pStyle w:val="MediumGrid2-Accent11"/>
        <w:rPr>
          <w:b/>
          <w:bCs/>
          <w:lang w:val="en-US"/>
        </w:rPr>
      </w:pPr>
      <w:r w:rsidRPr="00672994">
        <w:rPr>
          <w:b/>
          <w:bCs/>
          <w:lang w:val="en-US"/>
        </w:rPr>
        <w:t>Background</w:t>
      </w:r>
    </w:p>
    <w:p w14:paraId="1CE7A95B" w14:textId="77777777" w:rsidR="003A65CE" w:rsidRDefault="003A65CE" w:rsidP="00D20E25">
      <w:pPr>
        <w:pStyle w:val="MediumGrid2-Accent11"/>
        <w:rPr>
          <w:lang w:val="en-US"/>
        </w:rPr>
      </w:pPr>
    </w:p>
    <w:p w14:paraId="35BC9615" w14:textId="6D6B0F2D" w:rsidR="009B3D09" w:rsidRDefault="00615D4E" w:rsidP="00D20E25">
      <w:pPr>
        <w:pStyle w:val="MediumGrid2-Accent11"/>
        <w:rPr>
          <w:lang w:val="en-US"/>
        </w:rPr>
      </w:pPr>
      <w:r>
        <w:rPr>
          <w:lang w:val="en-US"/>
        </w:rPr>
        <w:t>After a National Emergency was declared as of March 1, 2020</w:t>
      </w:r>
      <w:r w:rsidR="00CF15CE">
        <w:rPr>
          <w:lang w:val="en-US"/>
        </w:rPr>
        <w:t>,</w:t>
      </w:r>
      <w:r w:rsidR="00931521">
        <w:rPr>
          <w:lang w:val="en-US"/>
        </w:rPr>
        <w:t xml:space="preserve"> </w:t>
      </w:r>
      <w:r w:rsidR="00672994">
        <w:rPr>
          <w:lang w:val="en-US"/>
        </w:rPr>
        <w:t>regulatory</w:t>
      </w:r>
      <w:r w:rsidR="00931521">
        <w:rPr>
          <w:lang w:val="en-US"/>
        </w:rPr>
        <w:t xml:space="preserve"> agencies </w:t>
      </w:r>
      <w:r w:rsidR="00171AD4">
        <w:rPr>
          <w:lang w:val="en-US"/>
        </w:rPr>
        <w:t>jointly</w:t>
      </w:r>
      <w:r w:rsidR="00DC76EB">
        <w:rPr>
          <w:lang w:val="en-US"/>
        </w:rPr>
        <w:t xml:space="preserve"> issued a final rule</w:t>
      </w:r>
      <w:r w:rsidR="00073F99">
        <w:rPr>
          <w:lang w:val="en-US"/>
        </w:rPr>
        <w:t xml:space="preserve"> </w:t>
      </w:r>
      <w:r>
        <w:rPr>
          <w:lang w:val="en-US"/>
        </w:rPr>
        <w:t xml:space="preserve">in April </w:t>
      </w:r>
      <w:r w:rsidR="00073F99">
        <w:rPr>
          <w:lang w:val="en-US"/>
        </w:rPr>
        <w:t xml:space="preserve">extending </w:t>
      </w:r>
      <w:r w:rsidR="00C83A55">
        <w:rPr>
          <w:lang w:val="en-US"/>
        </w:rPr>
        <w:t xml:space="preserve">several </w:t>
      </w:r>
      <w:r w:rsidR="00584C07">
        <w:rPr>
          <w:lang w:val="en-US"/>
        </w:rPr>
        <w:t xml:space="preserve">specific </w:t>
      </w:r>
      <w:r w:rsidR="00073F99">
        <w:rPr>
          <w:lang w:val="en-US"/>
        </w:rPr>
        <w:t>notice</w:t>
      </w:r>
      <w:r w:rsidR="00672994">
        <w:rPr>
          <w:lang w:val="en-US"/>
        </w:rPr>
        <w:t xml:space="preserve"> and disclosure deadlines</w:t>
      </w:r>
      <w:r w:rsidR="00171AD4">
        <w:rPr>
          <w:lang w:val="en-US"/>
        </w:rPr>
        <w:t xml:space="preserve"> </w:t>
      </w:r>
      <w:r w:rsidR="00584C07">
        <w:rPr>
          <w:lang w:val="en-US"/>
        </w:rPr>
        <w:t>applicable under HIPAA, COBRA</w:t>
      </w:r>
      <w:r w:rsidR="00A20097">
        <w:rPr>
          <w:lang w:val="en-US"/>
        </w:rPr>
        <w:t>,</w:t>
      </w:r>
      <w:r w:rsidR="00584C07">
        <w:rPr>
          <w:lang w:val="en-US"/>
        </w:rPr>
        <w:t xml:space="preserve"> and ERISA. </w:t>
      </w:r>
      <w:r w:rsidR="009832FD">
        <w:rPr>
          <w:lang w:val="en-US"/>
        </w:rPr>
        <w:t xml:space="preserve">The rule </w:t>
      </w:r>
      <w:r>
        <w:rPr>
          <w:lang w:val="en-US"/>
        </w:rPr>
        <w:t>effective</w:t>
      </w:r>
      <w:r w:rsidR="00CF15CE">
        <w:rPr>
          <w:lang w:val="en-US"/>
        </w:rPr>
        <w:t>ly</w:t>
      </w:r>
      <w:r>
        <w:rPr>
          <w:lang w:val="en-US"/>
        </w:rPr>
        <w:t xml:space="preserve"> </w:t>
      </w:r>
      <w:r w:rsidR="009832FD">
        <w:rPr>
          <w:lang w:val="en-US"/>
        </w:rPr>
        <w:t>extend</w:t>
      </w:r>
      <w:r w:rsidR="00672994">
        <w:rPr>
          <w:lang w:val="en-US"/>
        </w:rPr>
        <w:t>ed</w:t>
      </w:r>
      <w:r w:rsidR="009832FD">
        <w:rPr>
          <w:lang w:val="en-US"/>
        </w:rPr>
        <w:t xml:space="preserve"> the time </w:t>
      </w:r>
      <w:r>
        <w:rPr>
          <w:lang w:val="en-US"/>
        </w:rPr>
        <w:t xml:space="preserve">participants were given for things like </w:t>
      </w:r>
      <w:r w:rsidR="009832FD">
        <w:rPr>
          <w:lang w:val="en-US"/>
        </w:rPr>
        <w:t>COBRA elections, COBRA payments, HIPAA special enrollments</w:t>
      </w:r>
      <w:r w:rsidR="00672994">
        <w:rPr>
          <w:lang w:val="en-US"/>
        </w:rPr>
        <w:t>, and ERISA claims filing and appeals</w:t>
      </w:r>
      <w:r w:rsidR="009832FD">
        <w:rPr>
          <w:lang w:val="en-US"/>
        </w:rPr>
        <w:t xml:space="preserve">. </w:t>
      </w:r>
      <w:r w:rsidR="00584C07">
        <w:rPr>
          <w:lang w:val="en-US"/>
        </w:rPr>
        <w:t>In addition</w:t>
      </w:r>
      <w:r w:rsidR="00FB3435">
        <w:rPr>
          <w:lang w:val="en-US"/>
        </w:rPr>
        <w:t xml:space="preserve"> to the final rule</w:t>
      </w:r>
      <w:r w:rsidR="00584C07">
        <w:rPr>
          <w:lang w:val="en-US"/>
        </w:rPr>
        <w:t xml:space="preserve">, the </w:t>
      </w:r>
      <w:r w:rsidR="001A7C6F">
        <w:rPr>
          <w:lang w:val="en-US"/>
        </w:rPr>
        <w:t xml:space="preserve">DOL issued </w:t>
      </w:r>
      <w:r w:rsidR="001E68E8">
        <w:rPr>
          <w:lang w:val="en-US"/>
        </w:rPr>
        <w:t xml:space="preserve">Disaster Relief </w:t>
      </w:r>
      <w:r w:rsidR="001A7C6F">
        <w:rPr>
          <w:lang w:val="en-US"/>
        </w:rPr>
        <w:t>Notice 2020-01</w:t>
      </w:r>
      <w:r w:rsidR="00FB3435">
        <w:rPr>
          <w:lang w:val="en-US"/>
        </w:rPr>
        <w:t>,</w:t>
      </w:r>
      <w:r w:rsidR="001E68E8">
        <w:rPr>
          <w:lang w:val="en-US"/>
        </w:rPr>
        <w:t xml:space="preserve"> </w:t>
      </w:r>
      <w:r w:rsidR="00672994">
        <w:rPr>
          <w:lang w:val="en-US"/>
        </w:rPr>
        <w:t xml:space="preserve">granting some </w:t>
      </w:r>
      <w:r w:rsidR="001E68E8">
        <w:rPr>
          <w:lang w:val="en-US"/>
        </w:rPr>
        <w:t xml:space="preserve">leniency </w:t>
      </w:r>
      <w:r w:rsidR="00A32D97">
        <w:rPr>
          <w:lang w:val="en-US"/>
        </w:rPr>
        <w:t>regarding</w:t>
      </w:r>
      <w:r w:rsidR="00C62CC2">
        <w:rPr>
          <w:lang w:val="en-US"/>
        </w:rPr>
        <w:t xml:space="preserve"> enforcement of</w:t>
      </w:r>
      <w:r w:rsidR="001E68E8">
        <w:rPr>
          <w:lang w:val="en-US"/>
        </w:rPr>
        <w:t xml:space="preserve"> </w:t>
      </w:r>
      <w:r w:rsidR="00A32D97">
        <w:rPr>
          <w:lang w:val="en-US"/>
        </w:rPr>
        <w:t>the</w:t>
      </w:r>
      <w:r w:rsidR="001E68E8">
        <w:rPr>
          <w:lang w:val="en-US"/>
        </w:rPr>
        <w:t xml:space="preserve"> timing</w:t>
      </w:r>
      <w:r w:rsidR="00A32D97">
        <w:rPr>
          <w:lang w:val="en-US"/>
        </w:rPr>
        <w:t xml:space="preserve"> and delivery method</w:t>
      </w:r>
      <w:r w:rsidR="00C83A55">
        <w:rPr>
          <w:lang w:val="en-US"/>
        </w:rPr>
        <w:t xml:space="preserve"> </w:t>
      </w:r>
      <w:r w:rsidR="00C62CC2">
        <w:rPr>
          <w:lang w:val="en-US"/>
        </w:rPr>
        <w:t>for</w:t>
      </w:r>
      <w:r w:rsidR="00A32D97">
        <w:rPr>
          <w:lang w:val="en-US"/>
        </w:rPr>
        <w:t xml:space="preserve"> </w:t>
      </w:r>
      <w:r>
        <w:rPr>
          <w:lang w:val="en-US"/>
        </w:rPr>
        <w:t xml:space="preserve">plan sponsor </w:t>
      </w:r>
      <w:r w:rsidR="00954AA6">
        <w:rPr>
          <w:lang w:val="en-US"/>
        </w:rPr>
        <w:t>disclosures required under ERISA</w:t>
      </w:r>
      <w:r w:rsidR="00CF15CE">
        <w:rPr>
          <w:lang w:val="en-US"/>
        </w:rPr>
        <w:t>.</w:t>
      </w:r>
      <w:r w:rsidR="0020748F">
        <w:rPr>
          <w:lang w:val="en-US"/>
        </w:rPr>
        <w:t xml:space="preserve"> The</w:t>
      </w:r>
      <w:r w:rsidR="00B76EE4">
        <w:rPr>
          <w:lang w:val="en-US"/>
        </w:rPr>
        <w:t xml:space="preserve"> rules apply</w:t>
      </w:r>
      <w:r w:rsidR="008928A9">
        <w:rPr>
          <w:lang w:val="en-US"/>
        </w:rPr>
        <w:t xml:space="preserve"> broadly</w:t>
      </w:r>
      <w:r w:rsidR="00B76EE4">
        <w:rPr>
          <w:lang w:val="en-US"/>
        </w:rPr>
        <w:t xml:space="preserve"> to all </w:t>
      </w:r>
      <w:r w:rsidR="001152AA">
        <w:rPr>
          <w:lang w:val="en-US"/>
        </w:rPr>
        <w:t xml:space="preserve">employer-sponsored benefits subject to ERISA and COBRA. The Department of Health &amp; Human Services (HHS) indicated that similar relief </w:t>
      </w:r>
      <w:r w:rsidR="00931521">
        <w:rPr>
          <w:lang w:val="en-US"/>
        </w:rPr>
        <w:t xml:space="preserve">was </w:t>
      </w:r>
      <w:r w:rsidR="001152AA">
        <w:rPr>
          <w:lang w:val="en-US"/>
        </w:rPr>
        <w:t>available to non-federal governmental plans as well.</w:t>
      </w:r>
    </w:p>
    <w:p w14:paraId="33A894E7" w14:textId="77777777" w:rsidR="00EC7661" w:rsidRDefault="00EC7661" w:rsidP="00D20E25">
      <w:pPr>
        <w:pStyle w:val="MediumGrid2-Accent11"/>
        <w:rPr>
          <w:lang w:val="en-US"/>
        </w:rPr>
      </w:pPr>
    </w:p>
    <w:p w14:paraId="785CBD54" w14:textId="4B18573F" w:rsidR="00931521" w:rsidRPr="00A72ADC" w:rsidRDefault="009B3D09" w:rsidP="00931521">
      <w:pPr>
        <w:pStyle w:val="MediumGrid2-Accent11"/>
        <w:rPr>
          <w:u w:val="single"/>
          <w:lang w:val="en-US"/>
        </w:rPr>
      </w:pPr>
      <w:r>
        <w:rPr>
          <w:lang w:val="en-US"/>
        </w:rPr>
        <w:t>For the period of time beginning March 1, 2020</w:t>
      </w:r>
      <w:r w:rsidR="006F6C41">
        <w:rPr>
          <w:lang w:val="en-US"/>
        </w:rPr>
        <w:t>,</w:t>
      </w:r>
      <w:r>
        <w:rPr>
          <w:lang w:val="en-US"/>
        </w:rPr>
        <w:t xml:space="preserve"> until </w:t>
      </w:r>
      <w:r w:rsidR="00EC224B">
        <w:rPr>
          <w:lang w:val="en-US"/>
        </w:rPr>
        <w:t>60 days after the National Emergency is over</w:t>
      </w:r>
      <w:r w:rsidR="00CF15CE">
        <w:rPr>
          <w:lang w:val="en-US"/>
        </w:rPr>
        <w:t>,</w:t>
      </w:r>
      <w:r w:rsidR="003C5B3D">
        <w:rPr>
          <w:lang w:val="en-US"/>
        </w:rPr>
        <w:t xml:space="preserve"> all group health plans, disability plans, other employee welfare benefit plans, and employee pension plans must </w:t>
      </w:r>
      <w:r w:rsidR="00C23BF9">
        <w:rPr>
          <w:lang w:val="en-US"/>
        </w:rPr>
        <w:t xml:space="preserve">disregard this </w:t>
      </w:r>
      <w:r w:rsidR="001E37F9">
        <w:rPr>
          <w:lang w:val="en-US"/>
        </w:rPr>
        <w:t xml:space="preserve">time period </w:t>
      </w:r>
      <w:r w:rsidR="003B2A42">
        <w:rPr>
          <w:lang w:val="en-US"/>
        </w:rPr>
        <w:t>(the “</w:t>
      </w:r>
      <w:r w:rsidR="0020023D">
        <w:rPr>
          <w:lang w:val="en-US"/>
        </w:rPr>
        <w:t>O</w:t>
      </w:r>
      <w:r w:rsidR="003B2A42">
        <w:rPr>
          <w:lang w:val="en-US"/>
        </w:rPr>
        <w:t xml:space="preserve">utbreak </w:t>
      </w:r>
      <w:r w:rsidR="0020023D">
        <w:rPr>
          <w:lang w:val="en-US"/>
        </w:rPr>
        <w:t>P</w:t>
      </w:r>
      <w:r w:rsidR="003B2A42">
        <w:rPr>
          <w:lang w:val="en-US"/>
        </w:rPr>
        <w:t xml:space="preserve">eriod”) </w:t>
      </w:r>
      <w:r w:rsidR="001E37F9">
        <w:rPr>
          <w:lang w:val="en-US"/>
        </w:rPr>
        <w:t xml:space="preserve">when </w:t>
      </w:r>
      <w:r w:rsidR="00D36388">
        <w:rPr>
          <w:lang w:val="en-US"/>
        </w:rPr>
        <w:t>administering plans</w:t>
      </w:r>
      <w:r w:rsidR="00615D4E">
        <w:rPr>
          <w:lang w:val="en-US"/>
        </w:rPr>
        <w:t xml:space="preserve"> with respect to notices, disclosures and other deadlines covered by the </w:t>
      </w:r>
      <w:r w:rsidR="00CF15CE">
        <w:rPr>
          <w:lang w:val="en-US"/>
        </w:rPr>
        <w:t>r</w:t>
      </w:r>
      <w:r w:rsidR="00615D4E">
        <w:rPr>
          <w:lang w:val="en-US"/>
        </w:rPr>
        <w:t>ule.</w:t>
      </w:r>
    </w:p>
    <w:p w14:paraId="6FD6B703" w14:textId="498B2516" w:rsidR="00931521" w:rsidRDefault="001E37F9" w:rsidP="00D20E25">
      <w:pPr>
        <w:pStyle w:val="MediumGrid2-Accent11"/>
        <w:rPr>
          <w:lang w:val="en-US"/>
        </w:rPr>
      </w:pPr>
      <w:r>
        <w:rPr>
          <w:lang w:val="en-US"/>
        </w:rPr>
        <w:t xml:space="preserve"> </w:t>
      </w:r>
    </w:p>
    <w:p w14:paraId="04503E3F" w14:textId="1D292976" w:rsidR="00931521" w:rsidRPr="00672994" w:rsidRDefault="00247585" w:rsidP="00D20E25">
      <w:pPr>
        <w:pStyle w:val="MediumGrid2-Accent11"/>
        <w:rPr>
          <w:b/>
          <w:bCs/>
          <w:lang w:val="en-US"/>
        </w:rPr>
      </w:pPr>
      <w:r w:rsidRPr="00672994">
        <w:rPr>
          <w:b/>
          <w:bCs/>
          <w:lang w:val="en-US"/>
        </w:rPr>
        <w:t>The Problem</w:t>
      </w:r>
    </w:p>
    <w:p w14:paraId="287B42A8" w14:textId="77777777" w:rsidR="00247585" w:rsidRDefault="00247585" w:rsidP="00D20E25">
      <w:pPr>
        <w:pStyle w:val="MediumGrid2-Accent11"/>
        <w:rPr>
          <w:lang w:val="en-US"/>
        </w:rPr>
      </w:pPr>
    </w:p>
    <w:p w14:paraId="4F285E32" w14:textId="0705D78D" w:rsidR="00247585" w:rsidRDefault="00247585" w:rsidP="00D20E25">
      <w:pPr>
        <w:pStyle w:val="MediumGrid2-Accent11"/>
        <w:rPr>
          <w:lang w:val="en-US"/>
        </w:rPr>
      </w:pPr>
      <w:r>
        <w:rPr>
          <w:lang w:val="en-US"/>
        </w:rPr>
        <w:t>In the case of a National Emergency</w:t>
      </w:r>
      <w:r w:rsidR="00CF15CE">
        <w:rPr>
          <w:lang w:val="en-US"/>
        </w:rPr>
        <w:t>,</w:t>
      </w:r>
      <w:r>
        <w:rPr>
          <w:lang w:val="en-US"/>
        </w:rPr>
        <w:t xml:space="preserve"> federal law allows regulatory agencies to suspend statutory requirements for up to 12 months. When the final rule was issued in April 2020</w:t>
      </w:r>
      <w:r w:rsidR="00CF15CE">
        <w:rPr>
          <w:lang w:val="en-US"/>
        </w:rPr>
        <w:t>,</w:t>
      </w:r>
      <w:r>
        <w:rPr>
          <w:lang w:val="en-US"/>
        </w:rPr>
        <w:t xml:space="preserve"> it was not </w:t>
      </w:r>
      <w:r w:rsidR="00CF15CE">
        <w:rPr>
          <w:lang w:val="en-US"/>
        </w:rPr>
        <w:t xml:space="preserve">expected </w:t>
      </w:r>
      <w:r>
        <w:rPr>
          <w:lang w:val="en-US"/>
        </w:rPr>
        <w:t>that the National Emergency would still be in place more than a year later. As we approached the end of the 12 months from the beginning of the relief period</w:t>
      </w:r>
      <w:r w:rsidR="00615D4E">
        <w:rPr>
          <w:lang w:val="en-US"/>
        </w:rPr>
        <w:t>,</w:t>
      </w:r>
      <w:r>
        <w:rPr>
          <w:lang w:val="en-US"/>
        </w:rPr>
        <w:t xml:space="preserve"> many questions have been raised about when statutory deadlines</w:t>
      </w:r>
      <w:r w:rsidR="00615D4E">
        <w:rPr>
          <w:lang w:val="en-US"/>
        </w:rPr>
        <w:t>,</w:t>
      </w:r>
      <w:r>
        <w:rPr>
          <w:lang w:val="en-US"/>
        </w:rPr>
        <w:t xml:space="preserve"> such as the COBRA election 60</w:t>
      </w:r>
      <w:r w:rsidR="00CF15CE">
        <w:rPr>
          <w:lang w:val="en-US"/>
        </w:rPr>
        <w:t>-</w:t>
      </w:r>
      <w:r>
        <w:rPr>
          <w:lang w:val="en-US"/>
        </w:rPr>
        <w:t>day election period</w:t>
      </w:r>
      <w:r w:rsidR="00CF15CE">
        <w:rPr>
          <w:lang w:val="en-US"/>
        </w:rPr>
        <w:t>,</w:t>
      </w:r>
      <w:r>
        <w:rPr>
          <w:lang w:val="en-US"/>
        </w:rPr>
        <w:t xml:space="preserve"> would revert to normal timeframes</w:t>
      </w:r>
      <w:r w:rsidR="00615D4E">
        <w:rPr>
          <w:lang w:val="en-US"/>
        </w:rPr>
        <w:t>.</w:t>
      </w:r>
    </w:p>
    <w:p w14:paraId="7BD735D4" w14:textId="0A3900FA" w:rsidR="00931521" w:rsidRDefault="00931521" w:rsidP="00D20E25">
      <w:pPr>
        <w:pStyle w:val="MediumGrid2-Accent11"/>
        <w:rPr>
          <w:lang w:val="en-US"/>
        </w:rPr>
      </w:pPr>
    </w:p>
    <w:p w14:paraId="47E72D25" w14:textId="592032C2" w:rsidR="00931521" w:rsidRPr="00672994" w:rsidRDefault="00247585" w:rsidP="00D20E25">
      <w:pPr>
        <w:pStyle w:val="MediumGrid2-Accent11"/>
        <w:rPr>
          <w:b/>
          <w:bCs/>
          <w:lang w:val="en-US"/>
        </w:rPr>
      </w:pPr>
      <w:r w:rsidRPr="00672994">
        <w:rPr>
          <w:b/>
          <w:bCs/>
          <w:lang w:val="en-US"/>
        </w:rPr>
        <w:t>The DOL</w:t>
      </w:r>
      <w:r w:rsidR="00615D4E">
        <w:rPr>
          <w:b/>
          <w:bCs/>
          <w:lang w:val="en-US"/>
        </w:rPr>
        <w:t>’</w:t>
      </w:r>
      <w:r w:rsidRPr="00672994">
        <w:rPr>
          <w:b/>
          <w:bCs/>
          <w:lang w:val="en-US"/>
        </w:rPr>
        <w:t>s Answer</w:t>
      </w:r>
    </w:p>
    <w:p w14:paraId="736DBCE4" w14:textId="53F477C7" w:rsidR="00247585" w:rsidRDefault="00247585" w:rsidP="00D20E25">
      <w:pPr>
        <w:pStyle w:val="MediumGrid2-Accent11"/>
        <w:rPr>
          <w:lang w:val="en-US"/>
        </w:rPr>
      </w:pPr>
    </w:p>
    <w:p w14:paraId="6C872F89" w14:textId="0050E641" w:rsidR="003B5650" w:rsidRDefault="00247585" w:rsidP="00D20E25">
      <w:pPr>
        <w:pStyle w:val="MediumGrid2-Accent11"/>
        <w:rPr>
          <w:lang w:val="en-US"/>
        </w:rPr>
      </w:pPr>
      <w:r>
        <w:rPr>
          <w:lang w:val="en-US"/>
        </w:rPr>
        <w:t>In Notice 2021-1</w:t>
      </w:r>
      <w:r w:rsidR="00CF15CE">
        <w:rPr>
          <w:lang w:val="en-US"/>
        </w:rPr>
        <w:t>,</w:t>
      </w:r>
      <w:r>
        <w:rPr>
          <w:lang w:val="en-US"/>
        </w:rPr>
        <w:t xml:space="preserve"> the DOL </w:t>
      </w:r>
      <w:r w:rsidR="00615D4E">
        <w:rPr>
          <w:lang w:val="en-US"/>
        </w:rPr>
        <w:t xml:space="preserve">states </w:t>
      </w:r>
      <w:r>
        <w:rPr>
          <w:lang w:val="en-US"/>
        </w:rPr>
        <w:t xml:space="preserve">that the 12-month limit </w:t>
      </w:r>
      <w:r w:rsidR="00615D4E">
        <w:rPr>
          <w:lang w:val="en-US"/>
        </w:rPr>
        <w:t xml:space="preserve">on the agencies’ ability to disregard a statutory requirement </w:t>
      </w:r>
      <w:r>
        <w:rPr>
          <w:lang w:val="en-US"/>
        </w:rPr>
        <w:t>applies on a participant by participant</w:t>
      </w:r>
      <w:r w:rsidR="004D2BC4">
        <w:rPr>
          <w:lang w:val="en-US"/>
        </w:rPr>
        <w:t xml:space="preserve">, </w:t>
      </w:r>
      <w:r>
        <w:rPr>
          <w:lang w:val="en-US"/>
        </w:rPr>
        <w:t>or event by event</w:t>
      </w:r>
      <w:r w:rsidR="00615D4E">
        <w:rPr>
          <w:lang w:val="en-US"/>
        </w:rPr>
        <w:t>,</w:t>
      </w:r>
      <w:r>
        <w:rPr>
          <w:lang w:val="en-US"/>
        </w:rPr>
        <w:t xml:space="preserve"> basis. In other words, if </w:t>
      </w:r>
      <w:r w:rsidR="004D2BC4">
        <w:rPr>
          <w:lang w:val="en-US"/>
        </w:rPr>
        <w:t xml:space="preserve">during the National Emergency </w:t>
      </w:r>
      <w:r>
        <w:rPr>
          <w:lang w:val="en-US"/>
        </w:rPr>
        <w:t xml:space="preserve">a participant or plan sponsor is subject to a </w:t>
      </w:r>
      <w:r w:rsidR="00615D4E">
        <w:rPr>
          <w:lang w:val="en-US"/>
        </w:rPr>
        <w:t xml:space="preserve">statutory </w:t>
      </w:r>
      <w:r>
        <w:rPr>
          <w:lang w:val="en-US"/>
        </w:rPr>
        <w:t>deadline for a notice or disclosure</w:t>
      </w:r>
      <w:r w:rsidR="004D2BC4">
        <w:rPr>
          <w:lang w:val="en-US"/>
        </w:rPr>
        <w:t xml:space="preserve"> subject to these rules</w:t>
      </w:r>
      <w:r>
        <w:rPr>
          <w:lang w:val="en-US"/>
        </w:rPr>
        <w:t xml:space="preserve">, that deadline is delayed for up to 12 months from the original deadline, or until the end of the </w:t>
      </w:r>
      <w:r w:rsidR="0020748F">
        <w:rPr>
          <w:lang w:val="en-US"/>
        </w:rPr>
        <w:t>Outbreak Period</w:t>
      </w:r>
      <w:r>
        <w:rPr>
          <w:lang w:val="en-US"/>
        </w:rPr>
        <w:t>, whichever is sooner.</w:t>
      </w:r>
      <w:r w:rsidR="004D2BC4">
        <w:rPr>
          <w:lang w:val="en-US"/>
        </w:rPr>
        <w:t xml:space="preserve"> </w:t>
      </w:r>
      <w:r w:rsidR="003B5650">
        <w:rPr>
          <w:lang w:val="en-US"/>
        </w:rPr>
        <w:t xml:space="preserve">This period is </w:t>
      </w:r>
      <w:r w:rsidR="00615D4E">
        <w:rPr>
          <w:lang w:val="en-US"/>
        </w:rPr>
        <w:t>referred</w:t>
      </w:r>
      <w:r w:rsidR="003B5650">
        <w:rPr>
          <w:lang w:val="en-US"/>
        </w:rPr>
        <w:t xml:space="preserve"> to as the “Disregarded Period</w:t>
      </w:r>
      <w:r w:rsidR="00CF15CE">
        <w:rPr>
          <w:lang w:val="en-US"/>
        </w:rPr>
        <w:t>.</w:t>
      </w:r>
      <w:r w:rsidR="003B5650">
        <w:rPr>
          <w:lang w:val="en-US"/>
        </w:rPr>
        <w:t>”</w:t>
      </w:r>
    </w:p>
    <w:p w14:paraId="6DB9BC3C" w14:textId="77777777" w:rsidR="00615D4E" w:rsidRDefault="00615D4E" w:rsidP="00D20E25">
      <w:pPr>
        <w:pStyle w:val="MediumGrid2-Accent11"/>
        <w:rPr>
          <w:lang w:val="en-US"/>
        </w:rPr>
      </w:pPr>
    </w:p>
    <w:p w14:paraId="0D24A1C0" w14:textId="39DAC190" w:rsidR="004D2BC4" w:rsidRDefault="004D2BC4" w:rsidP="00D20E25">
      <w:pPr>
        <w:pStyle w:val="MediumGrid2-Accent11"/>
        <w:rPr>
          <w:lang w:val="en-US"/>
        </w:rPr>
      </w:pPr>
      <w:r>
        <w:rPr>
          <w:lang w:val="en-US"/>
        </w:rPr>
        <w:t>This interpretation means that a participant</w:t>
      </w:r>
      <w:r w:rsidR="00615D4E">
        <w:rPr>
          <w:lang w:val="en-US"/>
        </w:rPr>
        <w:t>’</w:t>
      </w:r>
      <w:r>
        <w:rPr>
          <w:lang w:val="en-US"/>
        </w:rPr>
        <w:t>s deadline for something like a COBRA election, or a HIPAA special enrollment</w:t>
      </w:r>
      <w:r w:rsidR="00615D4E">
        <w:rPr>
          <w:lang w:val="en-US"/>
        </w:rPr>
        <w:t xml:space="preserve">, </w:t>
      </w:r>
      <w:r>
        <w:rPr>
          <w:lang w:val="en-US"/>
        </w:rPr>
        <w:t>is unique to that participant</w:t>
      </w:r>
      <w:r w:rsidR="00615D4E">
        <w:rPr>
          <w:lang w:val="en-US"/>
        </w:rPr>
        <w:t>, and is based on</w:t>
      </w:r>
      <w:r w:rsidR="00CF15CE">
        <w:rPr>
          <w:lang w:val="en-US"/>
        </w:rPr>
        <w:t xml:space="preserve"> the</w:t>
      </w:r>
      <w:r>
        <w:rPr>
          <w:lang w:val="en-US"/>
        </w:rPr>
        <w:t xml:space="preserve"> original deadline that would have applied absent the </w:t>
      </w:r>
      <w:r w:rsidR="00CF15CE">
        <w:rPr>
          <w:lang w:val="en-US"/>
        </w:rPr>
        <w:t>N</w:t>
      </w:r>
      <w:r>
        <w:rPr>
          <w:lang w:val="en-US"/>
        </w:rPr>
        <w:t xml:space="preserve">ational </w:t>
      </w:r>
      <w:r w:rsidR="00CF15CE">
        <w:rPr>
          <w:lang w:val="en-US"/>
        </w:rPr>
        <w:t>E</w:t>
      </w:r>
      <w:r>
        <w:rPr>
          <w:lang w:val="en-US"/>
        </w:rPr>
        <w:t xml:space="preserve">mergency. </w:t>
      </w:r>
      <w:r w:rsidR="00615D4E">
        <w:rPr>
          <w:lang w:val="en-US"/>
        </w:rPr>
        <w:t>In no case will a requirement be delayed for any individual by more than one year.</w:t>
      </w:r>
    </w:p>
    <w:p w14:paraId="7920ED25" w14:textId="7F36A371" w:rsidR="00247585" w:rsidRDefault="00247585" w:rsidP="00D20E25">
      <w:pPr>
        <w:pStyle w:val="MediumGrid2-Accent11"/>
        <w:rPr>
          <w:lang w:val="en-US"/>
        </w:rPr>
      </w:pPr>
    </w:p>
    <w:p w14:paraId="23B6F1E7" w14:textId="77777777" w:rsidR="004D2BC4" w:rsidRPr="00672994" w:rsidRDefault="004D2BC4" w:rsidP="00D20E25">
      <w:pPr>
        <w:pStyle w:val="MediumGrid2-Accent11"/>
        <w:rPr>
          <w:b/>
          <w:bCs/>
          <w:u w:val="single"/>
          <w:lang w:val="en-US"/>
        </w:rPr>
      </w:pPr>
      <w:r w:rsidRPr="00672994">
        <w:rPr>
          <w:b/>
          <w:bCs/>
          <w:u w:val="single"/>
          <w:lang w:val="en-US"/>
        </w:rPr>
        <w:t>Examples</w:t>
      </w:r>
    </w:p>
    <w:p w14:paraId="6EAB4EC7" w14:textId="23EFC540" w:rsidR="004D2BC4" w:rsidRDefault="004D2BC4" w:rsidP="00D20E25">
      <w:pPr>
        <w:pStyle w:val="MediumGrid2-Accent11"/>
        <w:rPr>
          <w:u w:val="single"/>
          <w:lang w:val="en-US"/>
        </w:rPr>
      </w:pPr>
    </w:p>
    <w:p w14:paraId="406EEBC3" w14:textId="6E73E312" w:rsidR="004D2BC4" w:rsidRDefault="00B23C10" w:rsidP="00D20E25">
      <w:pPr>
        <w:pStyle w:val="MediumGrid2-Accent11"/>
        <w:rPr>
          <w:lang w:val="en-US"/>
        </w:rPr>
      </w:pPr>
      <w:r>
        <w:rPr>
          <w:lang w:val="en-US"/>
        </w:rPr>
        <w:t>In Notice 2021-1</w:t>
      </w:r>
      <w:r w:rsidR="00CF15CE">
        <w:rPr>
          <w:lang w:val="en-US"/>
        </w:rPr>
        <w:t>,</w:t>
      </w:r>
      <w:r>
        <w:rPr>
          <w:lang w:val="en-US"/>
        </w:rPr>
        <w:t xml:space="preserve"> t</w:t>
      </w:r>
      <w:r w:rsidR="004D2BC4" w:rsidRPr="00B23C10">
        <w:rPr>
          <w:lang w:val="en-US"/>
        </w:rPr>
        <w:t>he DOL provides two examples of how this interpretation would apply to a COBRA election</w:t>
      </w:r>
      <w:r>
        <w:rPr>
          <w:lang w:val="en-US"/>
        </w:rPr>
        <w:t xml:space="preserve">, and one example for an employer required notice or disclosure. </w:t>
      </w:r>
      <w:r w:rsidR="004D2BC4" w:rsidRPr="00B23C10">
        <w:rPr>
          <w:lang w:val="en-US"/>
        </w:rPr>
        <w:t xml:space="preserve">We have provided some additional examples here to help employers sort out how this will affect various situations. </w:t>
      </w:r>
    </w:p>
    <w:p w14:paraId="6EDB27B7" w14:textId="77777777" w:rsidR="00CF15CE" w:rsidRPr="00B23C10" w:rsidRDefault="00CF15CE" w:rsidP="00D20E25">
      <w:pPr>
        <w:pStyle w:val="MediumGrid2-Accent11"/>
        <w:rPr>
          <w:lang w:val="en-US"/>
        </w:rPr>
      </w:pPr>
    </w:p>
    <w:p w14:paraId="27E77C55" w14:textId="769982F2" w:rsidR="004D2BC4" w:rsidRDefault="004D2BC4" w:rsidP="00D20E25">
      <w:pPr>
        <w:pStyle w:val="MediumGrid2-Accent11"/>
        <w:rPr>
          <w:u w:val="single"/>
          <w:lang w:val="en-US"/>
        </w:rPr>
      </w:pPr>
    </w:p>
    <w:p w14:paraId="7A417559" w14:textId="603B45CB" w:rsidR="004D2BC4" w:rsidRDefault="0045407C" w:rsidP="00D20E25">
      <w:pPr>
        <w:pStyle w:val="MediumGrid2-Accent11"/>
        <w:rPr>
          <w:u w:val="single"/>
          <w:lang w:val="en-US"/>
        </w:rPr>
      </w:pPr>
      <w:r>
        <w:rPr>
          <w:u w:val="single"/>
          <w:lang w:val="en-US"/>
        </w:rPr>
        <w:lastRenderedPageBreak/>
        <w:t>DOL</w:t>
      </w:r>
      <w:r w:rsidR="004D2BC4">
        <w:rPr>
          <w:u w:val="single"/>
          <w:lang w:val="en-US"/>
        </w:rPr>
        <w:t xml:space="preserve"> Examples</w:t>
      </w:r>
    </w:p>
    <w:p w14:paraId="61E5DF2D" w14:textId="4AAFBEED" w:rsidR="004D2BC4" w:rsidRDefault="004D2BC4" w:rsidP="00D20E25">
      <w:pPr>
        <w:pStyle w:val="MediumGrid2-Accent11"/>
        <w:rPr>
          <w:u w:val="single"/>
          <w:lang w:val="en-US"/>
        </w:rPr>
      </w:pPr>
    </w:p>
    <w:p w14:paraId="251BF07A" w14:textId="77777777" w:rsidR="00AE74D3" w:rsidRPr="00AE74D3" w:rsidRDefault="00AE74D3" w:rsidP="00A66F89">
      <w:pPr>
        <w:pStyle w:val="MediumGrid2-Accent11"/>
        <w:numPr>
          <w:ilvl w:val="0"/>
          <w:numId w:val="41"/>
        </w:numPr>
        <w:rPr>
          <w:u w:val="single"/>
          <w:lang w:val="en-US"/>
        </w:rPr>
      </w:pPr>
      <w:r>
        <w:t>If a qualified beneficiary</w:t>
      </w:r>
      <w:r>
        <w:rPr>
          <w:lang w:val="en-US"/>
        </w:rPr>
        <w:t xml:space="preserve"> </w:t>
      </w:r>
      <w:r>
        <w:t xml:space="preserve">would have been required to make a COBRA election by March 1, 2020, the Joint Notice delays that requirement until February 28, 2021, which is the earlier of 1 year from March 1, 2020 or the end of the Outbreak Period (which remains ongoing). </w:t>
      </w:r>
    </w:p>
    <w:p w14:paraId="3A48B173" w14:textId="77777777" w:rsidR="00AE74D3" w:rsidRDefault="00AE74D3" w:rsidP="00AE74D3">
      <w:pPr>
        <w:pStyle w:val="MediumGrid2-Accent11"/>
        <w:numPr>
          <w:ilvl w:val="0"/>
          <w:numId w:val="41"/>
        </w:numPr>
        <w:rPr>
          <w:u w:val="single"/>
          <w:lang w:val="en-US"/>
        </w:rPr>
      </w:pPr>
      <w:r>
        <w:rPr>
          <w:lang w:val="en-US"/>
        </w:rPr>
        <w:t>I</w:t>
      </w:r>
      <w:r>
        <w:t xml:space="preserve">f a qualified beneficiary would have been required to make a COBRA election by March 1, 2021, the Joint Notice delays that election requirement until the earlier of 1 year from that date (i.e., March 1, 2022) or the end of the Outbreak Period. </w:t>
      </w:r>
    </w:p>
    <w:p w14:paraId="533C746C" w14:textId="7519F18D" w:rsidR="004D2BC4" w:rsidRPr="00AE74D3" w:rsidRDefault="00AE74D3" w:rsidP="00AE74D3">
      <w:pPr>
        <w:pStyle w:val="MediumGrid2-Accent11"/>
        <w:numPr>
          <w:ilvl w:val="0"/>
          <w:numId w:val="41"/>
        </w:numPr>
        <w:rPr>
          <w:u w:val="single"/>
          <w:lang w:val="en-US"/>
        </w:rPr>
      </w:pPr>
      <w:r>
        <w:rPr>
          <w:lang w:val="en-US"/>
        </w:rPr>
        <w:t>I</w:t>
      </w:r>
      <w:r>
        <w:t xml:space="preserve">f a plan </w:t>
      </w:r>
      <w:r>
        <w:rPr>
          <w:lang w:val="en-US"/>
        </w:rPr>
        <w:t xml:space="preserve">(or employer/plan sponsor) </w:t>
      </w:r>
      <w:r>
        <w:t>would have been required to furnish a notice or disclosure by March 1, 2020, the relief under the Notices would end with respect to that notice or disclosure on February 28, 2021. The responsible plan fiduciary would be required to ensure that the notice or disclosure was furnished on or before March 1, 2021</w:t>
      </w:r>
    </w:p>
    <w:p w14:paraId="346229D5" w14:textId="34EBAF50" w:rsidR="0045407C" w:rsidRDefault="0045407C" w:rsidP="0045407C">
      <w:pPr>
        <w:pStyle w:val="MediumGrid2-Accent11"/>
      </w:pPr>
    </w:p>
    <w:p w14:paraId="50B16F39" w14:textId="0331D2D3" w:rsidR="0045407C" w:rsidRDefault="0045407C" w:rsidP="0045407C">
      <w:pPr>
        <w:pStyle w:val="MediumGrid2-Accent11"/>
        <w:rPr>
          <w:u w:val="single"/>
          <w:lang w:val="en-US"/>
        </w:rPr>
      </w:pPr>
      <w:r w:rsidRPr="005E0B74">
        <w:rPr>
          <w:u w:val="single"/>
          <w:lang w:val="en-US"/>
        </w:rPr>
        <w:t xml:space="preserve">Other </w:t>
      </w:r>
      <w:r w:rsidR="005E0B74" w:rsidRPr="005E0B74">
        <w:rPr>
          <w:u w:val="single"/>
          <w:lang w:val="en-US"/>
        </w:rPr>
        <w:t>E</w:t>
      </w:r>
      <w:r w:rsidRPr="005E0B74">
        <w:rPr>
          <w:u w:val="single"/>
          <w:lang w:val="en-US"/>
        </w:rPr>
        <w:t>xamples</w:t>
      </w:r>
      <w:r w:rsidR="00672994">
        <w:rPr>
          <w:u w:val="single"/>
          <w:lang w:val="en-US"/>
        </w:rPr>
        <w:t xml:space="preserve"> We Created to </w:t>
      </w:r>
      <w:r w:rsidR="00B23C10">
        <w:rPr>
          <w:u w:val="single"/>
          <w:lang w:val="en-US"/>
        </w:rPr>
        <w:t>Illustrate</w:t>
      </w:r>
      <w:r w:rsidR="00672994">
        <w:rPr>
          <w:u w:val="single"/>
          <w:lang w:val="en-US"/>
        </w:rPr>
        <w:t xml:space="preserve"> How </w:t>
      </w:r>
      <w:r w:rsidR="00B23C10">
        <w:rPr>
          <w:u w:val="single"/>
          <w:lang w:val="en-US"/>
        </w:rPr>
        <w:t>t</w:t>
      </w:r>
      <w:r w:rsidR="00672994">
        <w:rPr>
          <w:u w:val="single"/>
          <w:lang w:val="en-US"/>
        </w:rPr>
        <w:t>he Joint Notice Will Apply to Various Situations</w:t>
      </w:r>
    </w:p>
    <w:p w14:paraId="29C9ECDC" w14:textId="77777777" w:rsidR="00672994" w:rsidRPr="005E0B74" w:rsidRDefault="00672994" w:rsidP="0045407C">
      <w:pPr>
        <w:pStyle w:val="MediumGrid2-Accent11"/>
        <w:rPr>
          <w:u w:val="single"/>
          <w:lang w:val="en-US"/>
        </w:rPr>
      </w:pPr>
    </w:p>
    <w:p w14:paraId="0093C521" w14:textId="3C771110" w:rsidR="0045407C" w:rsidRPr="005E0B74" w:rsidRDefault="00AE74D3" w:rsidP="00672994">
      <w:pPr>
        <w:pStyle w:val="MediumGrid2-Accent11"/>
        <w:numPr>
          <w:ilvl w:val="0"/>
          <w:numId w:val="44"/>
        </w:numPr>
        <w:rPr>
          <w:lang w:val="en-US"/>
        </w:rPr>
      </w:pPr>
      <w:r w:rsidRPr="005E0B74">
        <w:rPr>
          <w:lang w:val="en-US"/>
        </w:rPr>
        <w:t>Assume a</w:t>
      </w:r>
      <w:r w:rsidR="0045407C" w:rsidRPr="005E0B74">
        <w:rPr>
          <w:lang w:val="en-US"/>
        </w:rPr>
        <w:t xml:space="preserve">n employee is married on </w:t>
      </w:r>
      <w:r w:rsidR="0019025E" w:rsidRPr="005E0B74">
        <w:rPr>
          <w:lang w:val="en-US"/>
        </w:rPr>
        <w:t>January 15</w:t>
      </w:r>
      <w:r w:rsidR="00CF15CE">
        <w:rPr>
          <w:vertAlign w:val="superscript"/>
          <w:lang w:val="en-US"/>
        </w:rPr>
        <w:t>,</w:t>
      </w:r>
      <w:r w:rsidR="0019025E" w:rsidRPr="005E0B74">
        <w:rPr>
          <w:lang w:val="en-US"/>
        </w:rPr>
        <w:t xml:space="preserve"> 2021. Consistent with the HIPAA special enrollment rules</w:t>
      </w:r>
      <w:r w:rsidR="00CF15CE">
        <w:rPr>
          <w:lang w:val="en-US"/>
        </w:rPr>
        <w:t>,</w:t>
      </w:r>
      <w:r w:rsidR="0019025E" w:rsidRPr="005E0B74">
        <w:rPr>
          <w:lang w:val="en-US"/>
        </w:rPr>
        <w:t xml:space="preserve"> the plan would normally require the employee to notify the employer of the marriage </w:t>
      </w:r>
      <w:r w:rsidR="00CF15CE">
        <w:rPr>
          <w:lang w:val="en-US"/>
        </w:rPr>
        <w:t>b</w:t>
      </w:r>
      <w:r w:rsidR="0019025E" w:rsidRPr="005E0B74">
        <w:rPr>
          <w:lang w:val="en-US"/>
        </w:rPr>
        <w:t xml:space="preserve">y February 14, 2021 (within 30 days) </w:t>
      </w:r>
      <w:r w:rsidR="005E0B74" w:rsidRPr="005E0B74">
        <w:rPr>
          <w:lang w:val="en-US"/>
        </w:rPr>
        <w:t xml:space="preserve">to </w:t>
      </w:r>
      <w:r w:rsidR="0019025E" w:rsidRPr="005E0B74">
        <w:rPr>
          <w:lang w:val="en-US"/>
        </w:rPr>
        <w:t xml:space="preserve">enroll the spouse mid plan year. The Joint Notice would permit the employee to notify the employer </w:t>
      </w:r>
      <w:r w:rsidR="005E0B74" w:rsidRPr="005E0B74">
        <w:rPr>
          <w:lang w:val="en-US"/>
        </w:rPr>
        <w:t xml:space="preserve">within one year of </w:t>
      </w:r>
      <w:r w:rsidR="00B23C10">
        <w:rPr>
          <w:lang w:val="en-US"/>
        </w:rPr>
        <w:t xml:space="preserve">the regular notice date of </w:t>
      </w:r>
      <w:r w:rsidR="005E0B74" w:rsidRPr="005E0B74">
        <w:rPr>
          <w:lang w:val="en-US"/>
        </w:rPr>
        <w:t>Fe</w:t>
      </w:r>
      <w:r w:rsidR="0019025E" w:rsidRPr="005E0B74">
        <w:rPr>
          <w:lang w:val="en-US"/>
        </w:rPr>
        <w:t>bruary 14</w:t>
      </w:r>
      <w:r w:rsidR="0019025E" w:rsidRPr="005E0B74">
        <w:rPr>
          <w:vertAlign w:val="superscript"/>
          <w:lang w:val="en-US"/>
        </w:rPr>
        <w:t>th</w:t>
      </w:r>
      <w:r w:rsidR="0019025E" w:rsidRPr="005E0B74">
        <w:rPr>
          <w:lang w:val="en-US"/>
        </w:rPr>
        <w:t>, 202</w:t>
      </w:r>
      <w:r w:rsidR="005E0B74" w:rsidRPr="005E0B74">
        <w:rPr>
          <w:lang w:val="en-US"/>
        </w:rPr>
        <w:t>1</w:t>
      </w:r>
      <w:r w:rsidR="0019025E" w:rsidRPr="005E0B74">
        <w:rPr>
          <w:lang w:val="en-US"/>
        </w:rPr>
        <w:t xml:space="preserve">, or the end of the </w:t>
      </w:r>
      <w:r w:rsidR="00CF15CE">
        <w:rPr>
          <w:lang w:val="en-US"/>
        </w:rPr>
        <w:t>O</w:t>
      </w:r>
      <w:r w:rsidR="0019025E" w:rsidRPr="005E0B74">
        <w:rPr>
          <w:lang w:val="en-US"/>
        </w:rPr>
        <w:t xml:space="preserve">utbreak </w:t>
      </w:r>
      <w:r w:rsidR="00CF15CE">
        <w:rPr>
          <w:lang w:val="en-US"/>
        </w:rPr>
        <w:t>P</w:t>
      </w:r>
      <w:r w:rsidR="0019025E" w:rsidRPr="005E0B74">
        <w:rPr>
          <w:lang w:val="en-US"/>
        </w:rPr>
        <w:t>eriod, whichever is earlier.</w:t>
      </w:r>
    </w:p>
    <w:p w14:paraId="0C934EA6" w14:textId="671138CB" w:rsidR="0019025E" w:rsidRDefault="005E0B74" w:rsidP="00672994">
      <w:pPr>
        <w:pStyle w:val="MediumGrid2-Accent11"/>
        <w:numPr>
          <w:ilvl w:val="0"/>
          <w:numId w:val="44"/>
        </w:numPr>
        <w:rPr>
          <w:lang w:val="en-US"/>
        </w:rPr>
      </w:pPr>
      <w:r w:rsidRPr="005E0B74">
        <w:rPr>
          <w:lang w:val="en-US"/>
        </w:rPr>
        <w:t xml:space="preserve">Assume a </w:t>
      </w:r>
      <w:r w:rsidR="0019025E" w:rsidRPr="005E0B74">
        <w:rPr>
          <w:lang w:val="en-US"/>
        </w:rPr>
        <w:t xml:space="preserve">COBRA </w:t>
      </w:r>
      <w:r w:rsidR="00CF15CE">
        <w:rPr>
          <w:lang w:val="en-US"/>
        </w:rPr>
        <w:t>qualified beneficiary (QB)</w:t>
      </w:r>
      <w:r w:rsidR="00CF15CE" w:rsidRPr="005E0B74">
        <w:rPr>
          <w:lang w:val="en-US"/>
        </w:rPr>
        <w:t xml:space="preserve"> </w:t>
      </w:r>
      <w:r w:rsidR="0019025E" w:rsidRPr="005E0B74">
        <w:rPr>
          <w:lang w:val="en-US"/>
        </w:rPr>
        <w:t>enrolls in COBRA coverage and makes payments for a number of months. However</w:t>
      </w:r>
      <w:r>
        <w:rPr>
          <w:lang w:val="en-US"/>
        </w:rPr>
        <w:t>,</w:t>
      </w:r>
      <w:r w:rsidR="0019025E" w:rsidRPr="005E0B74">
        <w:rPr>
          <w:lang w:val="en-US"/>
        </w:rPr>
        <w:t xml:space="preserve"> the QB fails to make the COBRA payment for January 2021 coverage by normal grace period of January 3</w:t>
      </w:r>
      <w:r w:rsidR="00CF15CE">
        <w:rPr>
          <w:lang w:val="en-US"/>
        </w:rPr>
        <w:t>1</w:t>
      </w:r>
      <w:r w:rsidR="0019025E" w:rsidRPr="005E0B74">
        <w:rPr>
          <w:lang w:val="en-US"/>
        </w:rPr>
        <w:t xml:space="preserve">, 2021. The Joint Notice allows the QB to make that payment </w:t>
      </w:r>
      <w:r>
        <w:rPr>
          <w:lang w:val="en-US"/>
        </w:rPr>
        <w:t xml:space="preserve">within one year of the normal </w:t>
      </w:r>
      <w:r w:rsidR="0019025E" w:rsidRPr="005E0B74">
        <w:rPr>
          <w:lang w:val="en-US"/>
        </w:rPr>
        <w:t>January 3</w:t>
      </w:r>
      <w:r w:rsidR="00CF15CE">
        <w:rPr>
          <w:vertAlign w:val="superscript"/>
          <w:lang w:val="en-US"/>
        </w:rPr>
        <w:t>1,</w:t>
      </w:r>
      <w:r w:rsidR="0019025E" w:rsidRPr="005E0B74">
        <w:rPr>
          <w:lang w:val="en-US"/>
        </w:rPr>
        <w:t xml:space="preserve"> 202</w:t>
      </w:r>
      <w:r>
        <w:rPr>
          <w:lang w:val="en-US"/>
        </w:rPr>
        <w:t xml:space="preserve">1 </w:t>
      </w:r>
      <w:r w:rsidR="00B23C10">
        <w:rPr>
          <w:lang w:val="en-US"/>
        </w:rPr>
        <w:t xml:space="preserve">grace period </w:t>
      </w:r>
      <w:r>
        <w:rPr>
          <w:lang w:val="en-US"/>
        </w:rPr>
        <w:t>deadline</w:t>
      </w:r>
      <w:r w:rsidR="0019025E" w:rsidRPr="005E0B74">
        <w:rPr>
          <w:lang w:val="en-US"/>
        </w:rPr>
        <w:t xml:space="preserve">, or </w:t>
      </w:r>
      <w:r>
        <w:rPr>
          <w:lang w:val="en-US"/>
        </w:rPr>
        <w:t xml:space="preserve">by </w:t>
      </w:r>
      <w:r w:rsidR="0019025E" w:rsidRPr="005E0B74">
        <w:rPr>
          <w:lang w:val="en-US"/>
        </w:rPr>
        <w:t xml:space="preserve">the end of the </w:t>
      </w:r>
      <w:r w:rsidR="00CF15CE">
        <w:rPr>
          <w:lang w:val="en-US"/>
        </w:rPr>
        <w:t>O</w:t>
      </w:r>
      <w:r w:rsidR="0019025E" w:rsidRPr="005E0B74">
        <w:rPr>
          <w:lang w:val="en-US"/>
        </w:rPr>
        <w:t xml:space="preserve">utbreak </w:t>
      </w:r>
      <w:r w:rsidR="00CF15CE">
        <w:rPr>
          <w:lang w:val="en-US"/>
        </w:rPr>
        <w:t>P</w:t>
      </w:r>
      <w:r w:rsidR="0019025E" w:rsidRPr="005E0B74">
        <w:rPr>
          <w:lang w:val="en-US"/>
        </w:rPr>
        <w:t>eriod, whichever is sooner</w:t>
      </w:r>
      <w:r>
        <w:rPr>
          <w:lang w:val="en-US"/>
        </w:rPr>
        <w:t>.</w:t>
      </w:r>
    </w:p>
    <w:p w14:paraId="52573EAE" w14:textId="77777777" w:rsidR="005E0B74" w:rsidRDefault="005E0B74" w:rsidP="005E0B74">
      <w:pPr>
        <w:pStyle w:val="MediumGrid2-Accent11"/>
        <w:rPr>
          <w:lang w:val="en-US"/>
        </w:rPr>
      </w:pPr>
    </w:p>
    <w:p w14:paraId="09697789" w14:textId="0C9F835C" w:rsidR="005E0B74" w:rsidRDefault="005E0B74" w:rsidP="005E0B74">
      <w:pPr>
        <w:pStyle w:val="MediumGrid2-Accent11"/>
        <w:rPr>
          <w:lang w:val="en-US"/>
        </w:rPr>
      </w:pPr>
      <w:r>
        <w:rPr>
          <w:lang w:val="en-US"/>
        </w:rPr>
        <w:t>In the above example</w:t>
      </w:r>
      <w:r w:rsidR="00CF15CE">
        <w:rPr>
          <w:lang w:val="en-US"/>
        </w:rPr>
        <w:t>s,</w:t>
      </w:r>
      <w:r>
        <w:rPr>
          <w:lang w:val="en-US"/>
        </w:rPr>
        <w:t xml:space="preserve"> we all hope that the </w:t>
      </w:r>
      <w:r w:rsidR="00CF15CE">
        <w:rPr>
          <w:lang w:val="en-US"/>
        </w:rPr>
        <w:t>O</w:t>
      </w:r>
      <w:r>
        <w:rPr>
          <w:lang w:val="en-US"/>
        </w:rPr>
        <w:t>utbreak</w:t>
      </w:r>
      <w:r w:rsidR="00EC5754">
        <w:rPr>
          <w:lang w:val="en-US"/>
        </w:rPr>
        <w:t xml:space="preserve"> </w:t>
      </w:r>
      <w:r w:rsidR="00CF15CE">
        <w:rPr>
          <w:lang w:val="en-US"/>
        </w:rPr>
        <w:t>P</w:t>
      </w:r>
      <w:r>
        <w:rPr>
          <w:lang w:val="en-US"/>
        </w:rPr>
        <w:t>eriod will be over before the one</w:t>
      </w:r>
      <w:r w:rsidR="00EC5754">
        <w:rPr>
          <w:lang w:val="en-US"/>
        </w:rPr>
        <w:t>-</w:t>
      </w:r>
      <w:r>
        <w:rPr>
          <w:lang w:val="en-US"/>
        </w:rPr>
        <w:t>year Joint Notice extension, but that is yet to be determined.</w:t>
      </w:r>
    </w:p>
    <w:p w14:paraId="11DCFD6E" w14:textId="65F3276C" w:rsidR="005E0B74" w:rsidRDefault="005E0B74" w:rsidP="005E0B74">
      <w:pPr>
        <w:pStyle w:val="MediumGrid2-Accent11"/>
        <w:rPr>
          <w:lang w:val="en-US"/>
        </w:rPr>
      </w:pPr>
    </w:p>
    <w:p w14:paraId="3C3C387F" w14:textId="2270E627" w:rsidR="005E0B74" w:rsidRDefault="005E0B74" w:rsidP="00672994">
      <w:pPr>
        <w:pStyle w:val="MediumGrid2-Accent11"/>
        <w:numPr>
          <w:ilvl w:val="0"/>
          <w:numId w:val="44"/>
        </w:numPr>
        <w:rPr>
          <w:lang w:val="en-US"/>
        </w:rPr>
      </w:pPr>
      <w:r>
        <w:rPr>
          <w:lang w:val="en-US"/>
        </w:rPr>
        <w:t xml:space="preserve">Assume an employee had a baby April 20, 2020. </w:t>
      </w:r>
      <w:r w:rsidRPr="005E0B74">
        <w:rPr>
          <w:lang w:val="en-US"/>
        </w:rPr>
        <w:t>Consistent with the HIPAA special enrollment rules the plan would normally require the employee to notify the employer of the</w:t>
      </w:r>
      <w:r>
        <w:rPr>
          <w:lang w:val="en-US"/>
        </w:rPr>
        <w:t xml:space="preserve"> birth b</w:t>
      </w:r>
      <w:r w:rsidRPr="005E0B74">
        <w:rPr>
          <w:lang w:val="en-US"/>
        </w:rPr>
        <w:t>y</w:t>
      </w:r>
      <w:r>
        <w:rPr>
          <w:lang w:val="en-US"/>
        </w:rPr>
        <w:t xml:space="preserve"> </w:t>
      </w:r>
      <w:r w:rsidR="006D76E7">
        <w:rPr>
          <w:lang w:val="en-US"/>
        </w:rPr>
        <w:t>May</w:t>
      </w:r>
      <w:r>
        <w:rPr>
          <w:lang w:val="en-US"/>
        </w:rPr>
        <w:t xml:space="preserve"> </w:t>
      </w:r>
      <w:r w:rsidR="006D76E7">
        <w:rPr>
          <w:lang w:val="en-US"/>
        </w:rPr>
        <w:t>20</w:t>
      </w:r>
      <w:r>
        <w:rPr>
          <w:lang w:val="en-US"/>
        </w:rPr>
        <w:t>, 2020 (</w:t>
      </w:r>
      <w:r w:rsidR="006D76E7">
        <w:rPr>
          <w:lang w:val="en-US"/>
        </w:rPr>
        <w:t>3</w:t>
      </w:r>
      <w:r>
        <w:rPr>
          <w:lang w:val="en-US"/>
        </w:rPr>
        <w:t xml:space="preserve">0 days from the birth). </w:t>
      </w:r>
      <w:r w:rsidRPr="005E0B74">
        <w:rPr>
          <w:lang w:val="en-US"/>
        </w:rPr>
        <w:t xml:space="preserve">The Joint Notice would permit the employee to notify the employer within one year of </w:t>
      </w:r>
      <w:r>
        <w:rPr>
          <w:lang w:val="en-US"/>
        </w:rPr>
        <w:t xml:space="preserve">the normal </w:t>
      </w:r>
      <w:r w:rsidR="006D76E7">
        <w:rPr>
          <w:lang w:val="en-US"/>
        </w:rPr>
        <w:t>May 20</w:t>
      </w:r>
      <w:r w:rsidR="00891980">
        <w:rPr>
          <w:lang w:val="en-US"/>
        </w:rPr>
        <w:t xml:space="preserve">, </w:t>
      </w:r>
      <w:r w:rsidRPr="005E0B74">
        <w:rPr>
          <w:lang w:val="en-US"/>
        </w:rPr>
        <w:t>202</w:t>
      </w:r>
      <w:r>
        <w:rPr>
          <w:lang w:val="en-US"/>
        </w:rPr>
        <w:t>0</w:t>
      </w:r>
      <w:r w:rsidR="006D76E7">
        <w:rPr>
          <w:lang w:val="en-US"/>
        </w:rPr>
        <w:t xml:space="preserve"> deadline</w:t>
      </w:r>
      <w:r w:rsidRPr="005E0B74">
        <w:rPr>
          <w:lang w:val="en-US"/>
        </w:rPr>
        <w:t xml:space="preserve">, or the end of the </w:t>
      </w:r>
      <w:r w:rsidR="00CF15CE">
        <w:rPr>
          <w:lang w:val="en-US"/>
        </w:rPr>
        <w:t>O</w:t>
      </w:r>
      <w:r w:rsidRPr="005E0B74">
        <w:rPr>
          <w:lang w:val="en-US"/>
        </w:rPr>
        <w:t xml:space="preserve">utbreak </w:t>
      </w:r>
      <w:r w:rsidR="00CF15CE">
        <w:rPr>
          <w:lang w:val="en-US"/>
        </w:rPr>
        <w:t>P</w:t>
      </w:r>
      <w:r w:rsidRPr="005E0B74">
        <w:rPr>
          <w:lang w:val="en-US"/>
        </w:rPr>
        <w:t>eriod, whichever is earlier.</w:t>
      </w:r>
      <w:r>
        <w:rPr>
          <w:lang w:val="en-US"/>
        </w:rPr>
        <w:t xml:space="preserve"> Note that in the case of the birth of a child</w:t>
      </w:r>
      <w:r w:rsidR="00CF15CE">
        <w:rPr>
          <w:lang w:val="en-US"/>
        </w:rPr>
        <w:t>,</w:t>
      </w:r>
      <w:r>
        <w:rPr>
          <w:lang w:val="en-US"/>
        </w:rPr>
        <w:t xml:space="preserve"> HIPAA special enrollment rules would require the employer to allow for coverage retroactive to the date of birth.</w:t>
      </w:r>
    </w:p>
    <w:p w14:paraId="1008BA1E" w14:textId="77777777" w:rsidR="00672994" w:rsidRDefault="00672994" w:rsidP="00672994">
      <w:pPr>
        <w:pStyle w:val="MediumGrid2-Accent11"/>
        <w:ind w:left="720"/>
        <w:rPr>
          <w:lang w:val="en-US"/>
        </w:rPr>
      </w:pPr>
    </w:p>
    <w:p w14:paraId="27B321C9" w14:textId="217DE7F2" w:rsidR="000830F2" w:rsidRDefault="00672994" w:rsidP="000830F2">
      <w:pPr>
        <w:pStyle w:val="MediumGrid2-Accent11"/>
        <w:rPr>
          <w:lang w:val="en-US"/>
        </w:rPr>
      </w:pPr>
      <w:r>
        <w:rPr>
          <w:lang w:val="en-US"/>
        </w:rPr>
        <w:t>E</w:t>
      </w:r>
      <w:r w:rsidR="000830F2">
        <w:rPr>
          <w:lang w:val="en-US"/>
        </w:rPr>
        <w:t>xample</w:t>
      </w:r>
      <w:r>
        <w:rPr>
          <w:lang w:val="en-US"/>
        </w:rPr>
        <w:t xml:space="preserve"> 3</w:t>
      </w:r>
      <w:r w:rsidR="000830F2">
        <w:rPr>
          <w:lang w:val="en-US"/>
        </w:rPr>
        <w:t xml:space="preserve"> illustrates that </w:t>
      </w:r>
      <w:r>
        <w:rPr>
          <w:lang w:val="en-US"/>
        </w:rPr>
        <w:t>individuals</w:t>
      </w:r>
      <w:r w:rsidR="000830F2">
        <w:rPr>
          <w:lang w:val="en-US"/>
        </w:rPr>
        <w:t xml:space="preserve"> who had normal deadlines back in early 2020 will likely need to make any required elections, payments, or notices soon (within the one-year deadline) because it is unlikely that the </w:t>
      </w:r>
      <w:r w:rsidR="00CF15CE">
        <w:rPr>
          <w:lang w:val="en-US"/>
        </w:rPr>
        <w:t>O</w:t>
      </w:r>
      <w:r w:rsidR="000830F2">
        <w:rPr>
          <w:lang w:val="en-US"/>
        </w:rPr>
        <w:t xml:space="preserve">utbreak </w:t>
      </w:r>
      <w:r w:rsidR="00CF15CE">
        <w:rPr>
          <w:lang w:val="en-US"/>
        </w:rPr>
        <w:t>P</w:t>
      </w:r>
      <w:r w:rsidR="000830F2">
        <w:rPr>
          <w:lang w:val="en-US"/>
        </w:rPr>
        <w:t xml:space="preserve">eriod is going to end very soon. </w:t>
      </w:r>
    </w:p>
    <w:p w14:paraId="72C6C408" w14:textId="77777777" w:rsidR="000830F2" w:rsidRDefault="000830F2" w:rsidP="000830F2">
      <w:pPr>
        <w:pStyle w:val="MediumGrid2-Accent11"/>
        <w:rPr>
          <w:lang w:val="en-US"/>
        </w:rPr>
      </w:pPr>
    </w:p>
    <w:p w14:paraId="598FF113" w14:textId="41AE708E" w:rsidR="005E0B74" w:rsidRPr="005E0B74" w:rsidRDefault="005E0B74" w:rsidP="00672994">
      <w:pPr>
        <w:pStyle w:val="MediumGrid2-Accent11"/>
        <w:numPr>
          <w:ilvl w:val="0"/>
          <w:numId w:val="44"/>
        </w:numPr>
        <w:rPr>
          <w:lang w:val="en-US"/>
        </w:rPr>
      </w:pPr>
      <w:r>
        <w:rPr>
          <w:lang w:val="en-US"/>
        </w:rPr>
        <w:t xml:space="preserve">Assume a health plan normally has a claim filing deadline that requires participants to </w:t>
      </w:r>
      <w:r w:rsidR="00B23C10">
        <w:rPr>
          <w:lang w:val="en-US"/>
        </w:rPr>
        <w:t xml:space="preserve">submit </w:t>
      </w:r>
      <w:r>
        <w:rPr>
          <w:lang w:val="en-US"/>
        </w:rPr>
        <w:t>all claim</w:t>
      </w:r>
      <w:r w:rsidR="00B23C10">
        <w:rPr>
          <w:lang w:val="en-US"/>
        </w:rPr>
        <w:t xml:space="preserve">s </w:t>
      </w:r>
      <w:r>
        <w:rPr>
          <w:lang w:val="en-US"/>
        </w:rPr>
        <w:t>incurre</w:t>
      </w:r>
      <w:r w:rsidR="000830F2">
        <w:rPr>
          <w:lang w:val="en-US"/>
        </w:rPr>
        <w:t xml:space="preserve">d during the plan year within </w:t>
      </w:r>
      <w:r>
        <w:rPr>
          <w:lang w:val="en-US"/>
        </w:rPr>
        <w:t xml:space="preserve">90 days after the end of the plan year. </w:t>
      </w:r>
      <w:r w:rsidR="000830F2">
        <w:rPr>
          <w:lang w:val="en-US"/>
        </w:rPr>
        <w:t xml:space="preserve">The Joint Notice would allow participants to submit claims that were incurred during the plan year for up to one year after the normal deadline, or by the end of the </w:t>
      </w:r>
      <w:r w:rsidR="00CF15CE">
        <w:rPr>
          <w:lang w:val="en-US"/>
        </w:rPr>
        <w:t>O</w:t>
      </w:r>
      <w:r w:rsidR="000830F2">
        <w:rPr>
          <w:lang w:val="en-US"/>
        </w:rPr>
        <w:t xml:space="preserve">utbreak </w:t>
      </w:r>
      <w:r w:rsidR="00CF15CE">
        <w:rPr>
          <w:lang w:val="en-US"/>
        </w:rPr>
        <w:t>P</w:t>
      </w:r>
      <w:r w:rsidR="000830F2">
        <w:rPr>
          <w:lang w:val="en-US"/>
        </w:rPr>
        <w:t>eriod, whichever is sooner.</w:t>
      </w:r>
    </w:p>
    <w:p w14:paraId="62B7100E" w14:textId="77777777" w:rsidR="004D2BC4" w:rsidRDefault="004D2BC4" w:rsidP="00D20E25">
      <w:pPr>
        <w:pStyle w:val="MediumGrid2-Accent11"/>
        <w:rPr>
          <w:u w:val="single"/>
          <w:lang w:val="en-US"/>
        </w:rPr>
      </w:pPr>
    </w:p>
    <w:p w14:paraId="261DAFBD" w14:textId="187DB43C" w:rsidR="00E30F4F" w:rsidRDefault="00E30F4F" w:rsidP="00D20E25">
      <w:pPr>
        <w:pStyle w:val="MediumGrid2-Accent11"/>
        <w:rPr>
          <w:b/>
          <w:bCs/>
          <w:lang w:val="en-US"/>
        </w:rPr>
      </w:pPr>
      <w:r>
        <w:rPr>
          <w:b/>
          <w:bCs/>
          <w:lang w:val="en-US"/>
        </w:rPr>
        <w:t>Summary</w:t>
      </w:r>
    </w:p>
    <w:p w14:paraId="64E7FE5C" w14:textId="33160702" w:rsidR="002F7E7A" w:rsidRDefault="002F7E7A" w:rsidP="00D20E25">
      <w:pPr>
        <w:pStyle w:val="MediumGrid2-Accent11"/>
        <w:rPr>
          <w:b/>
          <w:bCs/>
          <w:lang w:val="en-US"/>
        </w:rPr>
      </w:pPr>
    </w:p>
    <w:p w14:paraId="440A7B15" w14:textId="1116129E" w:rsidR="006D76E7" w:rsidRDefault="00672994" w:rsidP="006D76E7">
      <w:pPr>
        <w:spacing w:after="240"/>
        <w:rPr>
          <w:rFonts w:ascii="Calibri" w:eastAsia="Times New Roman" w:hAnsi="Calibri" w:cs="Calibri"/>
          <w:lang w:bidi="ar-SA"/>
        </w:rPr>
      </w:pPr>
      <w:r>
        <w:t xml:space="preserve">The decision to extend relief periods on a case-by-case basis may be beneficial to many </w:t>
      </w:r>
      <w:r w:rsidR="00B23C10">
        <w:t>participants but</w:t>
      </w:r>
      <w:r>
        <w:t xml:space="preserve"> will obviously create significant compliance and administrative challenges for employers. </w:t>
      </w:r>
      <w:r w:rsidR="006D76E7">
        <w:t>Also, w</w:t>
      </w:r>
      <w:r w:rsidR="006D76E7">
        <w:rPr>
          <w:rFonts w:eastAsia="Times New Roman"/>
        </w:rPr>
        <w:t>hile not clearly required, the guidance encourages employers to communicate revised deadlines for elections, payments, and losses of coverage when possible.</w:t>
      </w:r>
    </w:p>
    <w:p w14:paraId="4A0893AF" w14:textId="6D9DBEF8" w:rsidR="000830F2" w:rsidRDefault="00672994" w:rsidP="00D20E25">
      <w:pPr>
        <w:pStyle w:val="MediumGrid2-Accent11"/>
        <w:rPr>
          <w:lang w:val="en-US"/>
        </w:rPr>
      </w:pPr>
      <w:r>
        <w:rPr>
          <w:lang w:val="en-US"/>
        </w:rPr>
        <w:t xml:space="preserve">A copy of Notice 2021-1 can be found at </w:t>
      </w:r>
      <w:hyperlink r:id="rId12" w:history="1">
        <w:r w:rsidRPr="0013039F">
          <w:rPr>
            <w:rStyle w:val="Hyperlink"/>
            <w:lang w:val="en-US"/>
          </w:rPr>
          <w:t>https://www.dol.gov/agencies/ebsa/employers-and-advisers/plan-administration-and-compliance/disaster-relief/ebsa-disaster-relief-notice-2021-01</w:t>
        </w:r>
      </w:hyperlink>
    </w:p>
    <w:p w14:paraId="1E74B73D" w14:textId="0D919A2A" w:rsidR="00672994" w:rsidRDefault="00CF15CE" w:rsidP="00CF15CE">
      <w:pPr>
        <w:pStyle w:val="MediumGrid2-Accent11"/>
        <w:rPr>
          <w:lang w:val="en-US"/>
        </w:rPr>
      </w:pPr>
      <w:r>
        <w:rPr>
          <w:lang w:val="en-US"/>
        </w:rPr>
        <w:tab/>
      </w:r>
      <w:r>
        <w:rPr>
          <w:lang w:val="en-US"/>
        </w:rPr>
        <w:tab/>
      </w:r>
    </w:p>
    <w:p w14:paraId="47D3152A" w14:textId="77777777" w:rsidR="0047037D" w:rsidRDefault="0047037D" w:rsidP="00D20E25">
      <w:pPr>
        <w:pStyle w:val="MediumGrid2-Accent11"/>
        <w:rPr>
          <w:i/>
          <w:sz w:val="16"/>
          <w:szCs w:val="16"/>
        </w:rPr>
      </w:pPr>
    </w:p>
    <w:p w14:paraId="1E2F7E18" w14:textId="4853899D"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3"/>
      <w:footerReference w:type="first" r:id="rId14"/>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9D9B1" w14:textId="77777777" w:rsidR="009B2088" w:rsidRDefault="009B2088" w:rsidP="00D20E25">
      <w:r>
        <w:separator/>
      </w:r>
    </w:p>
  </w:endnote>
  <w:endnote w:type="continuationSeparator" w:id="0">
    <w:p w14:paraId="2503D400" w14:textId="77777777" w:rsidR="009B2088" w:rsidRDefault="009B2088"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CFBF5" w14:textId="77777777" w:rsidR="005C07B5" w:rsidRDefault="005C07B5" w:rsidP="00D20E25">
    <w:pPr>
      <w:pStyle w:val="Footer"/>
      <w:jc w:val="center"/>
    </w:pPr>
  </w:p>
  <w:p w14:paraId="4D8ACF81" w14:textId="569CC895" w:rsidR="005C07B5" w:rsidRDefault="005C07B5" w:rsidP="00D20E25">
    <w:pPr>
      <w:pStyle w:val="Footer"/>
      <w:jc w:val="center"/>
      <w:rPr>
        <w:lang w:val="en-US"/>
      </w:rPr>
    </w:pPr>
    <w:r w:rsidRPr="006C7EC1">
      <w:t>© 20</w:t>
    </w:r>
    <w:r w:rsidR="0047037D">
      <w:rPr>
        <w:lang w:val="en-US"/>
      </w:rPr>
      <w:t>2</w:t>
    </w:r>
    <w:r w:rsidR="00672994">
      <w:rPr>
        <w:lang w:val="en-US"/>
      </w:rPr>
      <w:t>1</w:t>
    </w:r>
    <w:r w:rsidRPr="006C7EC1">
      <w:t xml:space="preserve"> </w:t>
    </w:r>
    <w:r>
      <w:t>Benefit Comply, LLC</w:t>
    </w:r>
  </w:p>
  <w:p w14:paraId="6147581C"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A7E9" w14:textId="0D69B213" w:rsidR="00777C72" w:rsidRDefault="005C07B5" w:rsidP="00D20E25">
    <w:pPr>
      <w:pStyle w:val="Footer"/>
      <w:jc w:val="center"/>
      <w:rPr>
        <w:lang w:val="en-US"/>
      </w:rPr>
    </w:pPr>
    <w:r>
      <w:t>© 20</w:t>
    </w:r>
    <w:r w:rsidR="00777C72">
      <w:rPr>
        <w:lang w:val="en-US"/>
      </w:rPr>
      <w:t>2</w:t>
    </w:r>
    <w:r w:rsidR="00EC5754">
      <w:rPr>
        <w:lang w:val="en-US"/>
      </w:rPr>
      <w:t>1</w:t>
    </w:r>
  </w:p>
  <w:p w14:paraId="30193533" w14:textId="4E579728" w:rsidR="005C07B5" w:rsidRDefault="005C07B5" w:rsidP="00D20E25">
    <w:pPr>
      <w:pStyle w:val="Footer"/>
      <w:jc w:val="center"/>
      <w:rPr>
        <w:lang w:val="en-US"/>
      </w:rPr>
    </w:pPr>
    <w:r w:rsidRPr="006C7EC1">
      <w:t xml:space="preserve"> </w:t>
    </w:r>
    <w:r>
      <w:t>Benefit Comply, LLC</w:t>
    </w:r>
  </w:p>
  <w:p w14:paraId="521AAA29"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4A39D7">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05B8D" w14:textId="77777777" w:rsidR="009B2088" w:rsidRDefault="009B2088" w:rsidP="00D20E25">
      <w:r>
        <w:separator/>
      </w:r>
    </w:p>
  </w:footnote>
  <w:footnote w:type="continuationSeparator" w:id="0">
    <w:p w14:paraId="27E9A7C5" w14:textId="77777777" w:rsidR="009B2088" w:rsidRDefault="009B2088"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F0640"/>
    <w:multiLevelType w:val="hybridMultilevel"/>
    <w:tmpl w:val="E61C3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B369C"/>
    <w:multiLevelType w:val="hybridMultilevel"/>
    <w:tmpl w:val="644E8A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0BC8359E"/>
    <w:multiLevelType w:val="hybridMultilevel"/>
    <w:tmpl w:val="528AE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49E3D07"/>
    <w:multiLevelType w:val="hybridMultilevel"/>
    <w:tmpl w:val="1C02F8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D84EDA"/>
    <w:multiLevelType w:val="hybridMultilevel"/>
    <w:tmpl w:val="C88C3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7E41BB"/>
    <w:multiLevelType w:val="hybridMultilevel"/>
    <w:tmpl w:val="DE028B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1D2205"/>
    <w:multiLevelType w:val="hybridMultilevel"/>
    <w:tmpl w:val="9E66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7D96999"/>
    <w:multiLevelType w:val="hybridMultilevel"/>
    <w:tmpl w:val="D532A0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F36F2"/>
    <w:multiLevelType w:val="hybridMultilevel"/>
    <w:tmpl w:val="3C90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BF02AA"/>
    <w:multiLevelType w:val="hybridMultilevel"/>
    <w:tmpl w:val="A5B21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6"/>
  </w:num>
  <w:num w:numId="3">
    <w:abstractNumId w:val="25"/>
  </w:num>
  <w:num w:numId="4">
    <w:abstractNumId w:val="11"/>
  </w:num>
  <w:num w:numId="5">
    <w:abstractNumId w:val="30"/>
  </w:num>
  <w:num w:numId="6">
    <w:abstractNumId w:val="9"/>
  </w:num>
  <w:num w:numId="7">
    <w:abstractNumId w:val="15"/>
  </w:num>
  <w:num w:numId="8">
    <w:abstractNumId w:val="32"/>
  </w:num>
  <w:num w:numId="9">
    <w:abstractNumId w:val="18"/>
  </w:num>
  <w:num w:numId="10">
    <w:abstractNumId w:val="37"/>
  </w:num>
  <w:num w:numId="11">
    <w:abstractNumId w:val="2"/>
  </w:num>
  <w:num w:numId="12">
    <w:abstractNumId w:val="17"/>
  </w:num>
  <w:num w:numId="13">
    <w:abstractNumId w:val="24"/>
  </w:num>
  <w:num w:numId="14">
    <w:abstractNumId w:val="42"/>
  </w:num>
  <w:num w:numId="15">
    <w:abstractNumId w:val="28"/>
  </w:num>
  <w:num w:numId="16">
    <w:abstractNumId w:val="36"/>
  </w:num>
  <w:num w:numId="17">
    <w:abstractNumId w:val="12"/>
  </w:num>
  <w:num w:numId="18">
    <w:abstractNumId w:val="21"/>
  </w:num>
  <w:num w:numId="19">
    <w:abstractNumId w:val="29"/>
  </w:num>
  <w:num w:numId="20">
    <w:abstractNumId w:val="39"/>
  </w:num>
  <w:num w:numId="21">
    <w:abstractNumId w:val="19"/>
  </w:num>
  <w:num w:numId="22">
    <w:abstractNumId w:val="34"/>
  </w:num>
  <w:num w:numId="23">
    <w:abstractNumId w:val="43"/>
  </w:num>
  <w:num w:numId="24">
    <w:abstractNumId w:val="33"/>
  </w:num>
  <w:num w:numId="25">
    <w:abstractNumId w:val="16"/>
  </w:num>
  <w:num w:numId="26">
    <w:abstractNumId w:val="14"/>
  </w:num>
  <w:num w:numId="27">
    <w:abstractNumId w:val="41"/>
  </w:num>
  <w:num w:numId="28">
    <w:abstractNumId w:val="10"/>
  </w:num>
  <w:num w:numId="29">
    <w:abstractNumId w:val="3"/>
  </w:num>
  <w:num w:numId="30">
    <w:abstractNumId w:val="13"/>
  </w:num>
  <w:num w:numId="31">
    <w:abstractNumId w:val="0"/>
  </w:num>
  <w:num w:numId="32">
    <w:abstractNumId w:val="23"/>
  </w:num>
  <w:num w:numId="33">
    <w:abstractNumId w:val="7"/>
  </w:num>
  <w:num w:numId="34">
    <w:abstractNumId w:val="5"/>
  </w:num>
  <w:num w:numId="35">
    <w:abstractNumId w:val="6"/>
  </w:num>
  <w:num w:numId="36">
    <w:abstractNumId w:val="4"/>
  </w:num>
  <w:num w:numId="37">
    <w:abstractNumId w:val="31"/>
  </w:num>
  <w:num w:numId="38">
    <w:abstractNumId w:val="1"/>
  </w:num>
  <w:num w:numId="39">
    <w:abstractNumId w:val="35"/>
  </w:num>
  <w:num w:numId="40">
    <w:abstractNumId w:val="27"/>
  </w:num>
  <w:num w:numId="41">
    <w:abstractNumId w:val="40"/>
  </w:num>
  <w:num w:numId="42">
    <w:abstractNumId w:val="20"/>
  </w:num>
  <w:num w:numId="43">
    <w:abstractNumId w:val="38"/>
  </w:num>
  <w:num w:numId="4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07BBE"/>
    <w:rsid w:val="000166F5"/>
    <w:rsid w:val="00030CBF"/>
    <w:rsid w:val="000360C6"/>
    <w:rsid w:val="0003657F"/>
    <w:rsid w:val="00041D34"/>
    <w:rsid w:val="00042D2A"/>
    <w:rsid w:val="000506AC"/>
    <w:rsid w:val="00055D59"/>
    <w:rsid w:val="00056762"/>
    <w:rsid w:val="00056A2E"/>
    <w:rsid w:val="0006084A"/>
    <w:rsid w:val="0006208C"/>
    <w:rsid w:val="0006416F"/>
    <w:rsid w:val="00065F15"/>
    <w:rsid w:val="00071F3D"/>
    <w:rsid w:val="00073F99"/>
    <w:rsid w:val="00076EB8"/>
    <w:rsid w:val="000830F2"/>
    <w:rsid w:val="000867F5"/>
    <w:rsid w:val="00086BE4"/>
    <w:rsid w:val="00090F22"/>
    <w:rsid w:val="00093BE1"/>
    <w:rsid w:val="00096B1E"/>
    <w:rsid w:val="000A1DB6"/>
    <w:rsid w:val="000A697A"/>
    <w:rsid w:val="000A797E"/>
    <w:rsid w:val="000B207F"/>
    <w:rsid w:val="000C41B5"/>
    <w:rsid w:val="000C5473"/>
    <w:rsid w:val="000E03AB"/>
    <w:rsid w:val="000E668C"/>
    <w:rsid w:val="000F11E2"/>
    <w:rsid w:val="0010150B"/>
    <w:rsid w:val="00102B71"/>
    <w:rsid w:val="00102C3F"/>
    <w:rsid w:val="00103F85"/>
    <w:rsid w:val="00104680"/>
    <w:rsid w:val="001134F3"/>
    <w:rsid w:val="00113F23"/>
    <w:rsid w:val="001152AA"/>
    <w:rsid w:val="00136B3A"/>
    <w:rsid w:val="00137BDB"/>
    <w:rsid w:val="00140769"/>
    <w:rsid w:val="00142A3F"/>
    <w:rsid w:val="001432A3"/>
    <w:rsid w:val="00144A9C"/>
    <w:rsid w:val="00145D3B"/>
    <w:rsid w:val="00150473"/>
    <w:rsid w:val="00150684"/>
    <w:rsid w:val="00160335"/>
    <w:rsid w:val="001626A4"/>
    <w:rsid w:val="00171AD4"/>
    <w:rsid w:val="001824D9"/>
    <w:rsid w:val="00187547"/>
    <w:rsid w:val="0019025E"/>
    <w:rsid w:val="001912DE"/>
    <w:rsid w:val="0019308E"/>
    <w:rsid w:val="001A6AA9"/>
    <w:rsid w:val="001A7C6F"/>
    <w:rsid w:val="001B0158"/>
    <w:rsid w:val="001B1A88"/>
    <w:rsid w:val="001B212E"/>
    <w:rsid w:val="001C1FBC"/>
    <w:rsid w:val="001C256F"/>
    <w:rsid w:val="001C70AE"/>
    <w:rsid w:val="001D1306"/>
    <w:rsid w:val="001D2D6E"/>
    <w:rsid w:val="001D58D8"/>
    <w:rsid w:val="001D745D"/>
    <w:rsid w:val="001E1A83"/>
    <w:rsid w:val="001E2972"/>
    <w:rsid w:val="001E37F9"/>
    <w:rsid w:val="001E622E"/>
    <w:rsid w:val="001E68E8"/>
    <w:rsid w:val="001F0404"/>
    <w:rsid w:val="001F20E5"/>
    <w:rsid w:val="001F4334"/>
    <w:rsid w:val="0020023D"/>
    <w:rsid w:val="00200664"/>
    <w:rsid w:val="0020685D"/>
    <w:rsid w:val="0020748F"/>
    <w:rsid w:val="00211FC6"/>
    <w:rsid w:val="002168E8"/>
    <w:rsid w:val="00226E7A"/>
    <w:rsid w:val="00231306"/>
    <w:rsid w:val="00235819"/>
    <w:rsid w:val="00246370"/>
    <w:rsid w:val="00247077"/>
    <w:rsid w:val="00247585"/>
    <w:rsid w:val="00255A5D"/>
    <w:rsid w:val="00261EFA"/>
    <w:rsid w:val="00270D0F"/>
    <w:rsid w:val="00273D4E"/>
    <w:rsid w:val="002743FF"/>
    <w:rsid w:val="00277CAA"/>
    <w:rsid w:val="00280E70"/>
    <w:rsid w:val="0029167B"/>
    <w:rsid w:val="002A51D5"/>
    <w:rsid w:val="002B061B"/>
    <w:rsid w:val="002B12A4"/>
    <w:rsid w:val="002C078D"/>
    <w:rsid w:val="002C4ADB"/>
    <w:rsid w:val="002C7644"/>
    <w:rsid w:val="002D198D"/>
    <w:rsid w:val="002D2E6A"/>
    <w:rsid w:val="002D6E4B"/>
    <w:rsid w:val="002E3F16"/>
    <w:rsid w:val="002E41EF"/>
    <w:rsid w:val="002F1D78"/>
    <w:rsid w:val="002F2BFF"/>
    <w:rsid w:val="002F3FBC"/>
    <w:rsid w:val="002F5B6A"/>
    <w:rsid w:val="002F7CDF"/>
    <w:rsid w:val="002F7E7A"/>
    <w:rsid w:val="00305FF6"/>
    <w:rsid w:val="003105DC"/>
    <w:rsid w:val="00311883"/>
    <w:rsid w:val="00311D22"/>
    <w:rsid w:val="00314066"/>
    <w:rsid w:val="00317F9F"/>
    <w:rsid w:val="003231B2"/>
    <w:rsid w:val="00327CAE"/>
    <w:rsid w:val="00332855"/>
    <w:rsid w:val="003332F7"/>
    <w:rsid w:val="0033539F"/>
    <w:rsid w:val="00337651"/>
    <w:rsid w:val="00341F9B"/>
    <w:rsid w:val="00342727"/>
    <w:rsid w:val="0034691B"/>
    <w:rsid w:val="00351813"/>
    <w:rsid w:val="003536E9"/>
    <w:rsid w:val="00355C5F"/>
    <w:rsid w:val="0035725D"/>
    <w:rsid w:val="003606B3"/>
    <w:rsid w:val="00360D2B"/>
    <w:rsid w:val="00367D54"/>
    <w:rsid w:val="00373838"/>
    <w:rsid w:val="0037534B"/>
    <w:rsid w:val="00376CF8"/>
    <w:rsid w:val="00376E7C"/>
    <w:rsid w:val="00377A73"/>
    <w:rsid w:val="00383956"/>
    <w:rsid w:val="00386166"/>
    <w:rsid w:val="003902B6"/>
    <w:rsid w:val="003902B9"/>
    <w:rsid w:val="00391C98"/>
    <w:rsid w:val="0039272A"/>
    <w:rsid w:val="00397F1D"/>
    <w:rsid w:val="003A15A0"/>
    <w:rsid w:val="003A234A"/>
    <w:rsid w:val="003A4580"/>
    <w:rsid w:val="003A5845"/>
    <w:rsid w:val="003A5F0F"/>
    <w:rsid w:val="003A65CE"/>
    <w:rsid w:val="003B0730"/>
    <w:rsid w:val="003B180D"/>
    <w:rsid w:val="003B2A42"/>
    <w:rsid w:val="003B5650"/>
    <w:rsid w:val="003B7105"/>
    <w:rsid w:val="003C5B3D"/>
    <w:rsid w:val="003D2FCB"/>
    <w:rsid w:val="003D3ABE"/>
    <w:rsid w:val="003D5BB6"/>
    <w:rsid w:val="003E5815"/>
    <w:rsid w:val="003F1194"/>
    <w:rsid w:val="003F2783"/>
    <w:rsid w:val="0040100E"/>
    <w:rsid w:val="004019B7"/>
    <w:rsid w:val="00402CF5"/>
    <w:rsid w:val="00403DFE"/>
    <w:rsid w:val="004067B9"/>
    <w:rsid w:val="00410AFB"/>
    <w:rsid w:val="00411921"/>
    <w:rsid w:val="00413426"/>
    <w:rsid w:val="004164F1"/>
    <w:rsid w:val="00421453"/>
    <w:rsid w:val="00424799"/>
    <w:rsid w:val="00425A06"/>
    <w:rsid w:val="00442014"/>
    <w:rsid w:val="00442266"/>
    <w:rsid w:val="0045000F"/>
    <w:rsid w:val="00453012"/>
    <w:rsid w:val="00453816"/>
    <w:rsid w:val="004538DC"/>
    <w:rsid w:val="0045407C"/>
    <w:rsid w:val="0045477B"/>
    <w:rsid w:val="0046122B"/>
    <w:rsid w:val="00464CBE"/>
    <w:rsid w:val="00467218"/>
    <w:rsid w:val="00467FDA"/>
    <w:rsid w:val="0047037D"/>
    <w:rsid w:val="004827D1"/>
    <w:rsid w:val="0048519F"/>
    <w:rsid w:val="004870C3"/>
    <w:rsid w:val="00487B4C"/>
    <w:rsid w:val="004A39D7"/>
    <w:rsid w:val="004B2781"/>
    <w:rsid w:val="004B2E8E"/>
    <w:rsid w:val="004B3E30"/>
    <w:rsid w:val="004B4147"/>
    <w:rsid w:val="004B6441"/>
    <w:rsid w:val="004C685A"/>
    <w:rsid w:val="004D2BC4"/>
    <w:rsid w:val="004D6488"/>
    <w:rsid w:val="004D76A4"/>
    <w:rsid w:val="004E114C"/>
    <w:rsid w:val="004E22B0"/>
    <w:rsid w:val="004E4565"/>
    <w:rsid w:val="004F0122"/>
    <w:rsid w:val="004F2946"/>
    <w:rsid w:val="004F38E5"/>
    <w:rsid w:val="004F4484"/>
    <w:rsid w:val="00501E0D"/>
    <w:rsid w:val="0051372C"/>
    <w:rsid w:val="00515240"/>
    <w:rsid w:val="00515A9A"/>
    <w:rsid w:val="00515BE5"/>
    <w:rsid w:val="00521168"/>
    <w:rsid w:val="00521F45"/>
    <w:rsid w:val="0052609C"/>
    <w:rsid w:val="00532F84"/>
    <w:rsid w:val="005378A2"/>
    <w:rsid w:val="00540CCF"/>
    <w:rsid w:val="00554B62"/>
    <w:rsid w:val="00554D66"/>
    <w:rsid w:val="0055601F"/>
    <w:rsid w:val="0055764A"/>
    <w:rsid w:val="00564D20"/>
    <w:rsid w:val="005660E9"/>
    <w:rsid w:val="0056690A"/>
    <w:rsid w:val="005718C3"/>
    <w:rsid w:val="00581F18"/>
    <w:rsid w:val="00584C07"/>
    <w:rsid w:val="00584F1A"/>
    <w:rsid w:val="005851D4"/>
    <w:rsid w:val="00586571"/>
    <w:rsid w:val="0058733A"/>
    <w:rsid w:val="005926DA"/>
    <w:rsid w:val="00595A34"/>
    <w:rsid w:val="005B0103"/>
    <w:rsid w:val="005B2609"/>
    <w:rsid w:val="005C07B5"/>
    <w:rsid w:val="005C2382"/>
    <w:rsid w:val="005D1DEB"/>
    <w:rsid w:val="005D2525"/>
    <w:rsid w:val="005E0615"/>
    <w:rsid w:val="005E0B74"/>
    <w:rsid w:val="005E4301"/>
    <w:rsid w:val="005E74DC"/>
    <w:rsid w:val="005F0D4C"/>
    <w:rsid w:val="005F1993"/>
    <w:rsid w:val="005F2269"/>
    <w:rsid w:val="005F3780"/>
    <w:rsid w:val="005F4D3F"/>
    <w:rsid w:val="005F6038"/>
    <w:rsid w:val="005F683F"/>
    <w:rsid w:val="00600FC4"/>
    <w:rsid w:val="006034D7"/>
    <w:rsid w:val="00605355"/>
    <w:rsid w:val="006102F4"/>
    <w:rsid w:val="00613D28"/>
    <w:rsid w:val="006149F2"/>
    <w:rsid w:val="006158BC"/>
    <w:rsid w:val="00615D4E"/>
    <w:rsid w:val="00615DB3"/>
    <w:rsid w:val="00616FD0"/>
    <w:rsid w:val="006267B7"/>
    <w:rsid w:val="00633D0E"/>
    <w:rsid w:val="006466D7"/>
    <w:rsid w:val="00652E75"/>
    <w:rsid w:val="006577E9"/>
    <w:rsid w:val="00667C3C"/>
    <w:rsid w:val="006717AA"/>
    <w:rsid w:val="00672994"/>
    <w:rsid w:val="00675439"/>
    <w:rsid w:val="00683EE3"/>
    <w:rsid w:val="00685C8D"/>
    <w:rsid w:val="00686AFD"/>
    <w:rsid w:val="006924DC"/>
    <w:rsid w:val="00696ABA"/>
    <w:rsid w:val="006A062C"/>
    <w:rsid w:val="006A167F"/>
    <w:rsid w:val="006A61F3"/>
    <w:rsid w:val="006B1545"/>
    <w:rsid w:val="006B1E0F"/>
    <w:rsid w:val="006B23FC"/>
    <w:rsid w:val="006B28BC"/>
    <w:rsid w:val="006B35C9"/>
    <w:rsid w:val="006C3EE1"/>
    <w:rsid w:val="006C7B72"/>
    <w:rsid w:val="006C7EC1"/>
    <w:rsid w:val="006D14FE"/>
    <w:rsid w:val="006D5631"/>
    <w:rsid w:val="006D76E7"/>
    <w:rsid w:val="006E0D2A"/>
    <w:rsid w:val="006E1247"/>
    <w:rsid w:val="006E42C0"/>
    <w:rsid w:val="006E7E55"/>
    <w:rsid w:val="006F6C41"/>
    <w:rsid w:val="0070115B"/>
    <w:rsid w:val="00701E9A"/>
    <w:rsid w:val="00702E6B"/>
    <w:rsid w:val="00704336"/>
    <w:rsid w:val="00705AFD"/>
    <w:rsid w:val="00713909"/>
    <w:rsid w:val="00736A9B"/>
    <w:rsid w:val="007508F7"/>
    <w:rsid w:val="0075284B"/>
    <w:rsid w:val="007571ED"/>
    <w:rsid w:val="00764D79"/>
    <w:rsid w:val="007705AC"/>
    <w:rsid w:val="007709F7"/>
    <w:rsid w:val="00771E34"/>
    <w:rsid w:val="00776816"/>
    <w:rsid w:val="007773AA"/>
    <w:rsid w:val="00777C72"/>
    <w:rsid w:val="00781D99"/>
    <w:rsid w:val="007821CE"/>
    <w:rsid w:val="0078577D"/>
    <w:rsid w:val="007908B7"/>
    <w:rsid w:val="00793F43"/>
    <w:rsid w:val="007A5C28"/>
    <w:rsid w:val="007A5F8B"/>
    <w:rsid w:val="007B1E18"/>
    <w:rsid w:val="007B4885"/>
    <w:rsid w:val="007B5719"/>
    <w:rsid w:val="007B7B05"/>
    <w:rsid w:val="007C3D13"/>
    <w:rsid w:val="007C4419"/>
    <w:rsid w:val="007C7637"/>
    <w:rsid w:val="007C77AA"/>
    <w:rsid w:val="007C7C7C"/>
    <w:rsid w:val="007D3E4D"/>
    <w:rsid w:val="007E18DE"/>
    <w:rsid w:val="007E193A"/>
    <w:rsid w:val="007E2565"/>
    <w:rsid w:val="007E377B"/>
    <w:rsid w:val="007E4665"/>
    <w:rsid w:val="007E53F1"/>
    <w:rsid w:val="007E6C1D"/>
    <w:rsid w:val="007F33CC"/>
    <w:rsid w:val="007F34B4"/>
    <w:rsid w:val="007F5AD3"/>
    <w:rsid w:val="007F74EB"/>
    <w:rsid w:val="008020F4"/>
    <w:rsid w:val="0080349F"/>
    <w:rsid w:val="00804237"/>
    <w:rsid w:val="008052A3"/>
    <w:rsid w:val="00807AED"/>
    <w:rsid w:val="00807B7A"/>
    <w:rsid w:val="008100A8"/>
    <w:rsid w:val="00820177"/>
    <w:rsid w:val="0082082D"/>
    <w:rsid w:val="0083063B"/>
    <w:rsid w:val="00830ADC"/>
    <w:rsid w:val="008351DA"/>
    <w:rsid w:val="008362F4"/>
    <w:rsid w:val="00840509"/>
    <w:rsid w:val="008477BE"/>
    <w:rsid w:val="00853CBD"/>
    <w:rsid w:val="0085510B"/>
    <w:rsid w:val="00855527"/>
    <w:rsid w:val="008557A4"/>
    <w:rsid w:val="00861448"/>
    <w:rsid w:val="008615C4"/>
    <w:rsid w:val="0086304F"/>
    <w:rsid w:val="008655E0"/>
    <w:rsid w:val="00866B99"/>
    <w:rsid w:val="0087409B"/>
    <w:rsid w:val="00891980"/>
    <w:rsid w:val="008928A9"/>
    <w:rsid w:val="008932B8"/>
    <w:rsid w:val="00897617"/>
    <w:rsid w:val="008A2216"/>
    <w:rsid w:val="008A5DF8"/>
    <w:rsid w:val="008A65DA"/>
    <w:rsid w:val="008B3E02"/>
    <w:rsid w:val="008B44EF"/>
    <w:rsid w:val="008B7373"/>
    <w:rsid w:val="008C5B9D"/>
    <w:rsid w:val="008C712B"/>
    <w:rsid w:val="008D0598"/>
    <w:rsid w:val="008D3E7A"/>
    <w:rsid w:val="008D5BAD"/>
    <w:rsid w:val="008E2AFE"/>
    <w:rsid w:val="008E2D74"/>
    <w:rsid w:val="008E4117"/>
    <w:rsid w:val="008E7454"/>
    <w:rsid w:val="008F0F5D"/>
    <w:rsid w:val="008F6B65"/>
    <w:rsid w:val="00920883"/>
    <w:rsid w:val="00922438"/>
    <w:rsid w:val="009312C4"/>
    <w:rsid w:val="00931521"/>
    <w:rsid w:val="00935D00"/>
    <w:rsid w:val="009411AC"/>
    <w:rsid w:val="00941C8D"/>
    <w:rsid w:val="00951D03"/>
    <w:rsid w:val="009536DD"/>
    <w:rsid w:val="00953E85"/>
    <w:rsid w:val="00954AA6"/>
    <w:rsid w:val="00956927"/>
    <w:rsid w:val="00965432"/>
    <w:rsid w:val="00977366"/>
    <w:rsid w:val="009832FD"/>
    <w:rsid w:val="0099275F"/>
    <w:rsid w:val="009A4AD6"/>
    <w:rsid w:val="009B0614"/>
    <w:rsid w:val="009B2088"/>
    <w:rsid w:val="009B3D09"/>
    <w:rsid w:val="009B4ECC"/>
    <w:rsid w:val="009B580E"/>
    <w:rsid w:val="009B5ABE"/>
    <w:rsid w:val="009C3F26"/>
    <w:rsid w:val="009C5E1D"/>
    <w:rsid w:val="009C6F68"/>
    <w:rsid w:val="009D2536"/>
    <w:rsid w:val="009D30FA"/>
    <w:rsid w:val="009D3637"/>
    <w:rsid w:val="009D6B8F"/>
    <w:rsid w:val="009D73B3"/>
    <w:rsid w:val="009E2006"/>
    <w:rsid w:val="009E21BA"/>
    <w:rsid w:val="009E2F97"/>
    <w:rsid w:val="009E43E3"/>
    <w:rsid w:val="009E7E96"/>
    <w:rsid w:val="009F0EFE"/>
    <w:rsid w:val="009F1035"/>
    <w:rsid w:val="009F112E"/>
    <w:rsid w:val="009F1736"/>
    <w:rsid w:val="009F664E"/>
    <w:rsid w:val="00A04BF4"/>
    <w:rsid w:val="00A065E4"/>
    <w:rsid w:val="00A06657"/>
    <w:rsid w:val="00A10143"/>
    <w:rsid w:val="00A10ACE"/>
    <w:rsid w:val="00A139C1"/>
    <w:rsid w:val="00A20097"/>
    <w:rsid w:val="00A21DC4"/>
    <w:rsid w:val="00A32D97"/>
    <w:rsid w:val="00A35CFA"/>
    <w:rsid w:val="00A45E46"/>
    <w:rsid w:val="00A50245"/>
    <w:rsid w:val="00A51D54"/>
    <w:rsid w:val="00A54B1E"/>
    <w:rsid w:val="00A62B5A"/>
    <w:rsid w:val="00A65FD1"/>
    <w:rsid w:val="00A671B6"/>
    <w:rsid w:val="00A72ADC"/>
    <w:rsid w:val="00A92AE3"/>
    <w:rsid w:val="00A94DC8"/>
    <w:rsid w:val="00A9585D"/>
    <w:rsid w:val="00A960B0"/>
    <w:rsid w:val="00AA285A"/>
    <w:rsid w:val="00AA3E90"/>
    <w:rsid w:val="00AA6A57"/>
    <w:rsid w:val="00AB08D4"/>
    <w:rsid w:val="00AB0F84"/>
    <w:rsid w:val="00AB1C85"/>
    <w:rsid w:val="00AB2DCF"/>
    <w:rsid w:val="00AB4080"/>
    <w:rsid w:val="00AC60D1"/>
    <w:rsid w:val="00AD14A0"/>
    <w:rsid w:val="00AD5E20"/>
    <w:rsid w:val="00AE1425"/>
    <w:rsid w:val="00AE2B47"/>
    <w:rsid w:val="00AE33B8"/>
    <w:rsid w:val="00AE74D3"/>
    <w:rsid w:val="00AF0B9D"/>
    <w:rsid w:val="00AF16AA"/>
    <w:rsid w:val="00AF2D80"/>
    <w:rsid w:val="00AF61C3"/>
    <w:rsid w:val="00B03D53"/>
    <w:rsid w:val="00B044DF"/>
    <w:rsid w:val="00B13068"/>
    <w:rsid w:val="00B14799"/>
    <w:rsid w:val="00B15106"/>
    <w:rsid w:val="00B16218"/>
    <w:rsid w:val="00B23092"/>
    <w:rsid w:val="00B23C10"/>
    <w:rsid w:val="00B3020C"/>
    <w:rsid w:val="00B32724"/>
    <w:rsid w:val="00B347E4"/>
    <w:rsid w:val="00B37088"/>
    <w:rsid w:val="00B470C4"/>
    <w:rsid w:val="00B51719"/>
    <w:rsid w:val="00B53A94"/>
    <w:rsid w:val="00B554D2"/>
    <w:rsid w:val="00B55BBA"/>
    <w:rsid w:val="00B57B5E"/>
    <w:rsid w:val="00B6090B"/>
    <w:rsid w:val="00B61220"/>
    <w:rsid w:val="00B63C1D"/>
    <w:rsid w:val="00B66B60"/>
    <w:rsid w:val="00B75CBA"/>
    <w:rsid w:val="00B76EE4"/>
    <w:rsid w:val="00B77E7B"/>
    <w:rsid w:val="00B803FC"/>
    <w:rsid w:val="00B8463D"/>
    <w:rsid w:val="00B85CE3"/>
    <w:rsid w:val="00B90848"/>
    <w:rsid w:val="00B9310B"/>
    <w:rsid w:val="00B9448D"/>
    <w:rsid w:val="00B96BF7"/>
    <w:rsid w:val="00BA0FD3"/>
    <w:rsid w:val="00BA6FBA"/>
    <w:rsid w:val="00BB01DD"/>
    <w:rsid w:val="00BC1E4F"/>
    <w:rsid w:val="00BC5BB5"/>
    <w:rsid w:val="00BC6C2A"/>
    <w:rsid w:val="00BD04F4"/>
    <w:rsid w:val="00BD2EC1"/>
    <w:rsid w:val="00BE0984"/>
    <w:rsid w:val="00BE1037"/>
    <w:rsid w:val="00BE24DE"/>
    <w:rsid w:val="00BE5FA7"/>
    <w:rsid w:val="00BF49EF"/>
    <w:rsid w:val="00BF4E48"/>
    <w:rsid w:val="00C0500E"/>
    <w:rsid w:val="00C14297"/>
    <w:rsid w:val="00C23BF9"/>
    <w:rsid w:val="00C24151"/>
    <w:rsid w:val="00C24CC8"/>
    <w:rsid w:val="00C37884"/>
    <w:rsid w:val="00C43186"/>
    <w:rsid w:val="00C60F20"/>
    <w:rsid w:val="00C61CCE"/>
    <w:rsid w:val="00C62CC2"/>
    <w:rsid w:val="00C70F5A"/>
    <w:rsid w:val="00C83A55"/>
    <w:rsid w:val="00C85BF0"/>
    <w:rsid w:val="00C87D79"/>
    <w:rsid w:val="00CA6438"/>
    <w:rsid w:val="00CB0C4C"/>
    <w:rsid w:val="00CB2087"/>
    <w:rsid w:val="00CB7F8B"/>
    <w:rsid w:val="00CC5C69"/>
    <w:rsid w:val="00CD3AB1"/>
    <w:rsid w:val="00CD6579"/>
    <w:rsid w:val="00CD6C4A"/>
    <w:rsid w:val="00CE15AE"/>
    <w:rsid w:val="00CE2D96"/>
    <w:rsid w:val="00CE6B1B"/>
    <w:rsid w:val="00CF15CE"/>
    <w:rsid w:val="00CF6E62"/>
    <w:rsid w:val="00D00064"/>
    <w:rsid w:val="00D0013D"/>
    <w:rsid w:val="00D04A21"/>
    <w:rsid w:val="00D05C20"/>
    <w:rsid w:val="00D10175"/>
    <w:rsid w:val="00D11913"/>
    <w:rsid w:val="00D12D97"/>
    <w:rsid w:val="00D12E64"/>
    <w:rsid w:val="00D20023"/>
    <w:rsid w:val="00D209A7"/>
    <w:rsid w:val="00D20E25"/>
    <w:rsid w:val="00D2204C"/>
    <w:rsid w:val="00D31672"/>
    <w:rsid w:val="00D32DF1"/>
    <w:rsid w:val="00D36388"/>
    <w:rsid w:val="00D44E36"/>
    <w:rsid w:val="00D513B0"/>
    <w:rsid w:val="00D51832"/>
    <w:rsid w:val="00D53AA5"/>
    <w:rsid w:val="00D636DB"/>
    <w:rsid w:val="00D67829"/>
    <w:rsid w:val="00D73543"/>
    <w:rsid w:val="00D75540"/>
    <w:rsid w:val="00D76D80"/>
    <w:rsid w:val="00D82A96"/>
    <w:rsid w:val="00D84DDC"/>
    <w:rsid w:val="00D87ED1"/>
    <w:rsid w:val="00D93AFE"/>
    <w:rsid w:val="00D951AF"/>
    <w:rsid w:val="00D95C74"/>
    <w:rsid w:val="00D967F0"/>
    <w:rsid w:val="00D975E7"/>
    <w:rsid w:val="00DA0175"/>
    <w:rsid w:val="00DA1860"/>
    <w:rsid w:val="00DA5084"/>
    <w:rsid w:val="00DA5878"/>
    <w:rsid w:val="00DA6314"/>
    <w:rsid w:val="00DB1126"/>
    <w:rsid w:val="00DB1B08"/>
    <w:rsid w:val="00DB46C3"/>
    <w:rsid w:val="00DB553D"/>
    <w:rsid w:val="00DC5B8F"/>
    <w:rsid w:val="00DC715C"/>
    <w:rsid w:val="00DC76EB"/>
    <w:rsid w:val="00DD1020"/>
    <w:rsid w:val="00DD1F73"/>
    <w:rsid w:val="00DD3692"/>
    <w:rsid w:val="00DE2CB3"/>
    <w:rsid w:val="00DE2CEC"/>
    <w:rsid w:val="00DE2E6F"/>
    <w:rsid w:val="00DE3D73"/>
    <w:rsid w:val="00DE428B"/>
    <w:rsid w:val="00DF24C0"/>
    <w:rsid w:val="00DF5014"/>
    <w:rsid w:val="00DF5D23"/>
    <w:rsid w:val="00E0273B"/>
    <w:rsid w:val="00E03088"/>
    <w:rsid w:val="00E10762"/>
    <w:rsid w:val="00E15EAE"/>
    <w:rsid w:val="00E17B5E"/>
    <w:rsid w:val="00E269D4"/>
    <w:rsid w:val="00E27423"/>
    <w:rsid w:val="00E30F4F"/>
    <w:rsid w:val="00E34058"/>
    <w:rsid w:val="00E37B09"/>
    <w:rsid w:val="00E44F0B"/>
    <w:rsid w:val="00E46E1B"/>
    <w:rsid w:val="00E46F87"/>
    <w:rsid w:val="00E53468"/>
    <w:rsid w:val="00E53CBA"/>
    <w:rsid w:val="00E60066"/>
    <w:rsid w:val="00E76581"/>
    <w:rsid w:val="00E773C4"/>
    <w:rsid w:val="00E85813"/>
    <w:rsid w:val="00E85FF7"/>
    <w:rsid w:val="00E91F6D"/>
    <w:rsid w:val="00EA7801"/>
    <w:rsid w:val="00EB2B80"/>
    <w:rsid w:val="00EB51B4"/>
    <w:rsid w:val="00EB6293"/>
    <w:rsid w:val="00EB76AE"/>
    <w:rsid w:val="00EC224B"/>
    <w:rsid w:val="00EC5754"/>
    <w:rsid w:val="00EC7661"/>
    <w:rsid w:val="00ED0E7A"/>
    <w:rsid w:val="00ED3020"/>
    <w:rsid w:val="00EE0D2F"/>
    <w:rsid w:val="00EE57CF"/>
    <w:rsid w:val="00EF1C04"/>
    <w:rsid w:val="00EF7919"/>
    <w:rsid w:val="00F03C4B"/>
    <w:rsid w:val="00F04145"/>
    <w:rsid w:val="00F05E10"/>
    <w:rsid w:val="00F06079"/>
    <w:rsid w:val="00F33F3C"/>
    <w:rsid w:val="00F34814"/>
    <w:rsid w:val="00F3534D"/>
    <w:rsid w:val="00F40D38"/>
    <w:rsid w:val="00F4702D"/>
    <w:rsid w:val="00F50A82"/>
    <w:rsid w:val="00F51BB5"/>
    <w:rsid w:val="00F51DF1"/>
    <w:rsid w:val="00F535E7"/>
    <w:rsid w:val="00F55CEF"/>
    <w:rsid w:val="00F562CC"/>
    <w:rsid w:val="00F617E4"/>
    <w:rsid w:val="00F63D69"/>
    <w:rsid w:val="00F75275"/>
    <w:rsid w:val="00F80D9C"/>
    <w:rsid w:val="00F83367"/>
    <w:rsid w:val="00F877B8"/>
    <w:rsid w:val="00F91499"/>
    <w:rsid w:val="00F91756"/>
    <w:rsid w:val="00F942A1"/>
    <w:rsid w:val="00F949F2"/>
    <w:rsid w:val="00F96382"/>
    <w:rsid w:val="00F96597"/>
    <w:rsid w:val="00F96859"/>
    <w:rsid w:val="00FA0739"/>
    <w:rsid w:val="00FA2F25"/>
    <w:rsid w:val="00FA4C44"/>
    <w:rsid w:val="00FA7D1E"/>
    <w:rsid w:val="00FB0360"/>
    <w:rsid w:val="00FB1408"/>
    <w:rsid w:val="00FB3435"/>
    <w:rsid w:val="00FB6812"/>
    <w:rsid w:val="00FD0F26"/>
    <w:rsid w:val="00FD20BF"/>
    <w:rsid w:val="00FD74A4"/>
    <w:rsid w:val="00FE5F9B"/>
    <w:rsid w:val="00FE7E7C"/>
    <w:rsid w:val="00FF1F6A"/>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5BDED"/>
  <w15:chartTrackingRefBased/>
  <w15:docId w15:val="{C6DA1BA3-FA5F-427C-8F70-382B7F88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styleId="UnresolvedMention">
    <w:name w:val="Unresolved Mention"/>
    <w:uiPriority w:val="47"/>
    <w:rsid w:val="00D87ED1"/>
    <w:rPr>
      <w:color w:val="808080"/>
      <w:shd w:val="clear" w:color="auto" w:fill="E6E6E6"/>
    </w:rPr>
  </w:style>
  <w:style w:type="paragraph" w:styleId="ListParagraph">
    <w:name w:val="List Paragraph"/>
    <w:basedOn w:val="Normal"/>
    <w:uiPriority w:val="34"/>
    <w:qFormat/>
    <w:rsid w:val="00ED3020"/>
    <w:pPr>
      <w:ind w:left="720"/>
    </w:pPr>
  </w:style>
  <w:style w:type="character" w:styleId="FollowedHyperlink">
    <w:name w:val="FollowedHyperlink"/>
    <w:basedOn w:val="DefaultParagraphFont"/>
    <w:uiPriority w:val="99"/>
    <w:semiHidden/>
    <w:unhideWhenUsed/>
    <w:rsid w:val="00983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897085948">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 w:id="21176701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agencies/ebsa/employers-and-advisers/plan-administration-and-compliance/disaster-relief/ebsa-disaster-relief-notice-2021-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F34EE-6ED5-4532-AE9B-AA762477A4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4.xml><?xml version="1.0" encoding="utf-8"?>
<ds:datastoreItem xmlns:ds="http://schemas.openxmlformats.org/officeDocument/2006/customXml" ds:itemID="{E761C6CF-9FB8-BA4A-BE5E-AF7D392B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2018-01-08T16:59:00Z</cp:lastPrinted>
  <dcterms:created xsi:type="dcterms:W3CDTF">2021-03-01T00:26:00Z</dcterms:created>
  <dcterms:modified xsi:type="dcterms:W3CDTF">2021-03-01T00:26:00Z</dcterms:modified>
</cp:coreProperties>
</file>