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F9E60" w14:textId="757AAFAE" w:rsidR="00102C3F" w:rsidRDefault="00903160" w:rsidP="00D20E25">
      <w:r>
        <w:rPr>
          <w:noProof/>
        </w:rPr>
        <mc:AlternateContent>
          <mc:Choice Requires="wps">
            <w:drawing>
              <wp:anchor distT="0" distB="0" distL="114300" distR="114300" simplePos="0" relativeHeight="251657216" behindDoc="0" locked="0" layoutInCell="1" allowOverlap="1" wp14:anchorId="60E21F08" wp14:editId="330C2F2D">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3FFBCFBA" w14:textId="77777777" w:rsidR="005C07B5" w:rsidRPr="009B5ABE" w:rsidRDefault="006B087E" w:rsidP="00D20E25">
                            <w:pPr>
                              <w:jc w:val="right"/>
                              <w:rPr>
                                <w:color w:val="FFFFFF"/>
                                <w:sz w:val="44"/>
                                <w:szCs w:val="44"/>
                              </w:rPr>
                            </w:pPr>
                            <w:r>
                              <w:rPr>
                                <w:color w:val="FFFFFF"/>
                                <w:sz w:val="44"/>
                                <w:szCs w:val="44"/>
                              </w:rPr>
                              <w:t>Issue Brief</w:t>
                            </w:r>
                          </w:p>
                          <w:p w14:paraId="3A5CF819"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21F08"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3FFBCFBA" w14:textId="77777777" w:rsidR="005C07B5" w:rsidRPr="009B5ABE" w:rsidRDefault="006B087E" w:rsidP="00D20E25">
                      <w:pPr>
                        <w:jc w:val="right"/>
                        <w:rPr>
                          <w:color w:val="FFFFFF"/>
                          <w:sz w:val="44"/>
                          <w:szCs w:val="44"/>
                        </w:rPr>
                      </w:pPr>
                      <w:r>
                        <w:rPr>
                          <w:color w:val="FFFFFF"/>
                          <w:sz w:val="44"/>
                          <w:szCs w:val="44"/>
                        </w:rPr>
                        <w:t>Issue Brief</w:t>
                      </w:r>
                    </w:p>
                    <w:p w14:paraId="3A5CF819"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5DCD4F4B" wp14:editId="24E6644D">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B8F15" w14:textId="77777777" w:rsidR="00102C3F" w:rsidRPr="00D20E25" w:rsidRDefault="00102C3F" w:rsidP="00D20E25"/>
    <w:p w14:paraId="4FBCFA09" w14:textId="77777777" w:rsidR="006B087E" w:rsidRPr="001441AA" w:rsidRDefault="006B087E" w:rsidP="006B087E">
      <w:pPr>
        <w:pStyle w:val="Heading1"/>
      </w:pPr>
      <w:r w:rsidRPr="001441AA">
        <w:t>§4980H Offer Requirements and Associated Penalties</w:t>
      </w:r>
    </w:p>
    <w:p w14:paraId="1FD10A35" w14:textId="7857F412" w:rsidR="006B087E" w:rsidRPr="001441AA" w:rsidRDefault="006B087E" w:rsidP="006B087E">
      <w:pPr>
        <w:rPr>
          <w:rFonts w:ascii="Calibri" w:hAnsi="Calibri" w:cs="Calibri"/>
          <w:sz w:val="22"/>
          <w:szCs w:val="22"/>
        </w:rPr>
      </w:pPr>
      <w:r w:rsidRPr="001441AA">
        <w:rPr>
          <w:rFonts w:ascii="Calibri" w:hAnsi="Calibri" w:cs="Calibri"/>
          <w:sz w:val="22"/>
          <w:szCs w:val="22"/>
        </w:rPr>
        <w:t xml:space="preserve">Issue Date: </w:t>
      </w:r>
      <w:r w:rsidR="00742FD1">
        <w:rPr>
          <w:rFonts w:ascii="Calibri" w:hAnsi="Calibri" w:cs="Calibri"/>
          <w:sz w:val="22"/>
          <w:szCs w:val="22"/>
        </w:rPr>
        <w:t>March 2021</w:t>
      </w:r>
    </w:p>
    <w:p w14:paraId="31814C0D" w14:textId="77777777" w:rsidR="006B087E" w:rsidRPr="001441AA" w:rsidRDefault="006B087E" w:rsidP="006B087E">
      <w:pPr>
        <w:rPr>
          <w:rFonts w:ascii="Calibri" w:hAnsi="Calibri" w:cs="Calibri"/>
          <w:sz w:val="22"/>
          <w:szCs w:val="22"/>
        </w:rPr>
      </w:pPr>
    </w:p>
    <w:p w14:paraId="73DF63C4" w14:textId="77777777" w:rsidR="004F3891" w:rsidRDefault="004F3891" w:rsidP="006B087E">
      <w:pPr>
        <w:pStyle w:val="xmsonormal"/>
        <w:rPr>
          <w:rFonts w:ascii="Calibri" w:hAnsi="Calibri" w:cs="Calibri"/>
          <w:sz w:val="22"/>
          <w:szCs w:val="22"/>
        </w:rPr>
      </w:pPr>
      <w:bookmarkStart w:id="0" w:name="HCRFRMq3954z1"/>
      <w:bookmarkStart w:id="1" w:name="cade1d0c15d56417b0acf4d5c34e0612"/>
      <w:bookmarkStart w:id="2" w:name="HCRFRMq3955z1"/>
      <w:bookmarkStart w:id="3" w:name="9d57e226c5f9617ecddae46a52220818"/>
      <w:bookmarkEnd w:id="0"/>
      <w:bookmarkEnd w:id="1"/>
      <w:bookmarkEnd w:id="2"/>
      <w:bookmarkEnd w:id="3"/>
    </w:p>
    <w:p w14:paraId="484F5C6C" w14:textId="47DF7D1C" w:rsidR="006B087E" w:rsidRDefault="00E30C37" w:rsidP="006B087E">
      <w:pPr>
        <w:pStyle w:val="xmsonormal"/>
        <w:rPr>
          <w:rFonts w:ascii="Calibri" w:hAnsi="Calibri" w:cs="Calibri"/>
          <w:sz w:val="22"/>
          <w:szCs w:val="22"/>
        </w:rPr>
      </w:pPr>
      <w:r>
        <w:rPr>
          <w:rFonts w:ascii="Calibri" w:hAnsi="Calibri" w:cs="Calibri"/>
          <w:sz w:val="22"/>
          <w:szCs w:val="22"/>
        </w:rPr>
        <w:t>As the</w:t>
      </w:r>
      <w:r w:rsidR="006B087E">
        <w:rPr>
          <w:rFonts w:ascii="Calibri" w:hAnsi="Calibri" w:cs="Calibri"/>
          <w:sz w:val="22"/>
          <w:szCs w:val="22"/>
        </w:rPr>
        <w:t xml:space="preserve"> IRS </w:t>
      </w:r>
      <w:r>
        <w:rPr>
          <w:rFonts w:ascii="Calibri" w:hAnsi="Calibri" w:cs="Calibri"/>
          <w:sz w:val="22"/>
          <w:szCs w:val="22"/>
        </w:rPr>
        <w:t>continues to actively enforce the</w:t>
      </w:r>
      <w:r w:rsidR="006B087E">
        <w:rPr>
          <w:rFonts w:ascii="Calibri" w:hAnsi="Calibri" w:cs="Calibri"/>
          <w:sz w:val="22"/>
          <w:szCs w:val="22"/>
        </w:rPr>
        <w:t xml:space="preserve"> employer shared responsibility payments </w:t>
      </w:r>
      <w:r>
        <w:rPr>
          <w:rFonts w:ascii="Calibri" w:hAnsi="Calibri" w:cs="Calibri"/>
          <w:sz w:val="22"/>
          <w:szCs w:val="22"/>
        </w:rPr>
        <w:t xml:space="preserve">and associated employer reporting requirements, we are reminded </w:t>
      </w:r>
      <w:r w:rsidR="006B087E">
        <w:rPr>
          <w:rFonts w:ascii="Calibri" w:hAnsi="Calibri" w:cs="Calibri"/>
          <w:sz w:val="22"/>
          <w:szCs w:val="22"/>
        </w:rPr>
        <w:t xml:space="preserve">that the employer mandate under §4980H of the ACA remains in effect and requires compliance to avoid potential penalties. All applicable large employers (ALEs) are subject to §4980H offer of coverage requirements and </w:t>
      </w:r>
      <w:r w:rsidR="006B087E">
        <w:rPr>
          <w:rFonts w:ascii="Arial" w:hAnsi="Arial" w:cs="Arial"/>
          <w:sz w:val="22"/>
          <w:szCs w:val="22"/>
        </w:rPr>
        <w:t>§</w:t>
      </w:r>
      <w:r w:rsidR="006B087E">
        <w:rPr>
          <w:rFonts w:ascii="Calibri" w:hAnsi="Calibri" w:cs="Calibri"/>
          <w:sz w:val="22"/>
          <w:szCs w:val="22"/>
        </w:rPr>
        <w:t>6056 employer reporting requirements. ALEs who fail to comply with §4980H offer of coverage requirements and report accordingly to the IRS via Forms 1094-C and 1095-C may find themselves subject to penalties (</w:t>
      </w:r>
      <w:r w:rsidR="00760901">
        <w:rPr>
          <w:rFonts w:ascii="Calibri" w:hAnsi="Calibri" w:cs="Calibri"/>
          <w:sz w:val="22"/>
          <w:szCs w:val="22"/>
        </w:rPr>
        <w:t xml:space="preserve">i.e., </w:t>
      </w:r>
      <w:r w:rsidR="006B087E">
        <w:rPr>
          <w:rFonts w:ascii="Calibri" w:hAnsi="Calibri" w:cs="Calibri"/>
          <w:sz w:val="22"/>
          <w:szCs w:val="22"/>
        </w:rPr>
        <w:t xml:space="preserve">employer shared responsibility payments). Following is a </w:t>
      </w:r>
      <w:r>
        <w:rPr>
          <w:rFonts w:ascii="Calibri" w:hAnsi="Calibri" w:cs="Calibri"/>
          <w:sz w:val="22"/>
          <w:szCs w:val="22"/>
        </w:rPr>
        <w:t>summary</w:t>
      </w:r>
      <w:r w:rsidR="006B087E">
        <w:rPr>
          <w:rFonts w:ascii="Calibri" w:hAnsi="Calibri" w:cs="Calibri"/>
          <w:sz w:val="22"/>
          <w:szCs w:val="22"/>
        </w:rPr>
        <w:t xml:space="preserve"> of the offer of coverage requirements</w:t>
      </w:r>
      <w:r>
        <w:rPr>
          <w:rFonts w:ascii="Calibri" w:hAnsi="Calibri" w:cs="Calibri"/>
          <w:sz w:val="22"/>
          <w:szCs w:val="22"/>
        </w:rPr>
        <w:t xml:space="preserve"> under §4980H</w:t>
      </w:r>
      <w:r w:rsidR="006B087E">
        <w:rPr>
          <w:rFonts w:ascii="Calibri" w:hAnsi="Calibri" w:cs="Calibri"/>
          <w:sz w:val="22"/>
          <w:szCs w:val="22"/>
        </w:rPr>
        <w:t xml:space="preserve"> and the associated penalties for employers who fail to comply. </w:t>
      </w:r>
    </w:p>
    <w:p w14:paraId="03ACCCD9" w14:textId="77777777" w:rsidR="004F3891" w:rsidRDefault="004F3891" w:rsidP="006B087E">
      <w:pPr>
        <w:pStyle w:val="xmsonormal"/>
        <w:rPr>
          <w:rFonts w:ascii="Calibri" w:hAnsi="Calibri" w:cs="Calibri"/>
          <w:b/>
          <w:sz w:val="22"/>
          <w:szCs w:val="22"/>
        </w:rPr>
      </w:pPr>
    </w:p>
    <w:p w14:paraId="4740F3A6" w14:textId="5C033FA0" w:rsidR="006B087E" w:rsidRPr="00DB123A" w:rsidRDefault="006B087E" w:rsidP="006B087E">
      <w:pPr>
        <w:pStyle w:val="xmsonormal"/>
        <w:rPr>
          <w:rFonts w:ascii="Calibri" w:hAnsi="Calibri" w:cs="Calibri"/>
          <w:b/>
          <w:sz w:val="22"/>
          <w:szCs w:val="22"/>
        </w:rPr>
      </w:pPr>
      <w:r>
        <w:rPr>
          <w:rFonts w:ascii="Calibri" w:hAnsi="Calibri" w:cs="Calibri"/>
          <w:b/>
          <w:sz w:val="22"/>
          <w:szCs w:val="22"/>
        </w:rPr>
        <w:t>Determining Applicable Large Employer Status</w:t>
      </w:r>
      <w:r w:rsidR="00742FD1">
        <w:rPr>
          <w:rFonts w:ascii="Calibri" w:hAnsi="Calibri" w:cs="Calibri"/>
          <w:b/>
          <w:sz w:val="22"/>
          <w:szCs w:val="22"/>
        </w:rPr>
        <w:t xml:space="preserve"> (50 or more full-time equivalents (FTEs))</w:t>
      </w:r>
    </w:p>
    <w:p w14:paraId="21D00591" w14:textId="77777777" w:rsidR="006B087E" w:rsidRDefault="006B087E" w:rsidP="006B087E">
      <w:pPr>
        <w:pStyle w:val="xmsonormal"/>
        <w:rPr>
          <w:rFonts w:ascii="Calibri" w:hAnsi="Calibri" w:cs="Calibri"/>
          <w:color w:val="212121"/>
          <w:sz w:val="22"/>
          <w:szCs w:val="22"/>
          <w:shd w:val="clear" w:color="auto" w:fill="FFFFFF"/>
        </w:rPr>
      </w:pPr>
      <w:r>
        <w:rPr>
          <w:rFonts w:ascii="Calibri" w:hAnsi="Calibri" w:cs="Calibri"/>
          <w:sz w:val="22"/>
          <w:szCs w:val="22"/>
        </w:rPr>
        <w:t xml:space="preserve">Status as an ALE is determined based on data </w:t>
      </w:r>
      <w:r>
        <w:rPr>
          <w:rFonts w:ascii="Calibri" w:hAnsi="Calibri" w:cs="Calibri"/>
          <w:sz w:val="22"/>
          <w:szCs w:val="22"/>
          <w:u w:val="single"/>
        </w:rPr>
        <w:t>from the previous calendar year</w:t>
      </w:r>
      <w:r>
        <w:rPr>
          <w:rFonts w:ascii="Calibri" w:hAnsi="Calibri" w:cs="Calibri"/>
          <w:sz w:val="22"/>
          <w:szCs w:val="22"/>
        </w:rPr>
        <w:t xml:space="preserve">, regardless of plan year.  </w:t>
      </w:r>
      <w:r>
        <w:rPr>
          <w:rFonts w:ascii="Calibri" w:hAnsi="Calibri" w:cs="Calibri"/>
          <w:color w:val="212121"/>
          <w:sz w:val="22"/>
          <w:szCs w:val="22"/>
        </w:rPr>
        <w:t>It doesn’t matter whether the employer exceeded 50 FTEs in any given month, but rather whether the employer </w:t>
      </w:r>
      <w:r>
        <w:rPr>
          <w:rFonts w:ascii="Calibri" w:hAnsi="Calibri" w:cs="Calibri"/>
          <w:i/>
          <w:iCs/>
          <w:color w:val="212121"/>
          <w:sz w:val="22"/>
          <w:szCs w:val="22"/>
        </w:rPr>
        <w:t>averaged</w:t>
      </w:r>
      <w:r>
        <w:rPr>
          <w:rFonts w:ascii="Calibri" w:hAnsi="Calibri" w:cs="Calibri"/>
          <w:color w:val="212121"/>
          <w:sz w:val="22"/>
          <w:szCs w:val="22"/>
        </w:rPr>
        <w:t xml:space="preserve"> 50 or more FTEs over all 12 months </w:t>
      </w:r>
      <w:r>
        <w:rPr>
          <w:rFonts w:ascii="Calibri" w:hAnsi="Calibri" w:cs="Calibri"/>
          <w:i/>
          <w:iCs/>
          <w:color w:val="212121"/>
          <w:sz w:val="22"/>
          <w:szCs w:val="22"/>
        </w:rPr>
        <w:t>of the previous calendar year</w:t>
      </w:r>
      <w:r>
        <w:rPr>
          <w:rFonts w:ascii="Calibri" w:hAnsi="Calibri" w:cs="Calibri"/>
          <w:color w:val="212121"/>
          <w:sz w:val="22"/>
          <w:szCs w:val="22"/>
        </w:rPr>
        <w:t>. H</w:t>
      </w:r>
      <w:r>
        <w:rPr>
          <w:rFonts w:ascii="Calibri" w:hAnsi="Calibri" w:cs="Calibri"/>
          <w:color w:val="212121"/>
          <w:sz w:val="22"/>
          <w:szCs w:val="22"/>
          <w:shd w:val="clear" w:color="auto" w:fill="FFFFFF"/>
        </w:rPr>
        <w:t>ere are the general calculation </w:t>
      </w:r>
      <w:r>
        <w:rPr>
          <w:rStyle w:val="highlight"/>
          <w:rFonts w:ascii="Calibri" w:hAnsi="Calibri" w:cs="Calibri"/>
          <w:color w:val="212121"/>
          <w:sz w:val="22"/>
          <w:szCs w:val="22"/>
          <w:shd w:val="clear" w:color="auto" w:fill="FFFFFF"/>
        </w:rPr>
        <w:t>step</w:t>
      </w:r>
      <w:r>
        <w:rPr>
          <w:rFonts w:ascii="Calibri" w:hAnsi="Calibri" w:cs="Calibri"/>
          <w:color w:val="212121"/>
          <w:sz w:val="22"/>
          <w:szCs w:val="22"/>
          <w:shd w:val="clear" w:color="auto" w:fill="FFFFFF"/>
        </w:rPr>
        <w:t>s for determining ALE status:</w:t>
      </w:r>
    </w:p>
    <w:p w14:paraId="4472527C" w14:textId="77777777" w:rsidR="006B087E" w:rsidRDefault="006B087E" w:rsidP="006B087E">
      <w:pPr>
        <w:pStyle w:val="xmsonormal"/>
        <w:ind w:left="720"/>
        <w:rPr>
          <w:rFonts w:ascii="Calibri" w:hAnsi="Calibri" w:cs="Calibri"/>
          <w:color w:val="212121"/>
          <w:sz w:val="22"/>
          <w:szCs w:val="22"/>
          <w:shd w:val="clear" w:color="auto" w:fill="FFFFFF"/>
        </w:rPr>
      </w:pPr>
      <w:r>
        <w:rPr>
          <w:rStyle w:val="highlight"/>
          <w:rFonts w:ascii="Calibri" w:hAnsi="Calibri" w:cs="Calibri"/>
          <w:b/>
          <w:bCs/>
          <w:color w:val="212121"/>
          <w:sz w:val="22"/>
          <w:szCs w:val="22"/>
          <w:shd w:val="clear" w:color="auto" w:fill="FFFFFF"/>
        </w:rPr>
        <w:t>Step</w:t>
      </w:r>
      <w:r>
        <w:rPr>
          <w:rFonts w:ascii="Calibri" w:hAnsi="Calibri" w:cs="Calibri"/>
          <w:b/>
          <w:bCs/>
          <w:color w:val="212121"/>
          <w:sz w:val="22"/>
          <w:szCs w:val="22"/>
          <w:shd w:val="clear" w:color="auto" w:fill="FFFFFF"/>
        </w:rPr>
        <w:t> </w:t>
      </w:r>
      <w:r>
        <w:rPr>
          <w:rStyle w:val="highlight"/>
          <w:rFonts w:ascii="Calibri" w:hAnsi="Calibri" w:cs="Calibri"/>
          <w:b/>
          <w:bCs/>
          <w:color w:val="212121"/>
          <w:sz w:val="22"/>
          <w:szCs w:val="22"/>
          <w:shd w:val="clear" w:color="auto" w:fill="FFFFFF"/>
        </w:rPr>
        <w:t>1</w:t>
      </w:r>
      <w:r>
        <w:rPr>
          <w:rFonts w:ascii="Calibri" w:hAnsi="Calibri" w:cs="Calibri"/>
          <w:b/>
          <w:bCs/>
          <w:color w:val="212121"/>
          <w:sz w:val="22"/>
          <w:szCs w:val="22"/>
          <w:shd w:val="clear" w:color="auto" w:fill="FFFFFF"/>
        </w:rPr>
        <w:t>:</w:t>
      </w:r>
      <w:r>
        <w:rPr>
          <w:rFonts w:ascii="Calibri" w:hAnsi="Calibri" w:cs="Calibri"/>
          <w:color w:val="212121"/>
          <w:sz w:val="22"/>
          <w:szCs w:val="22"/>
          <w:shd w:val="clear" w:color="auto" w:fill="FFFFFF"/>
        </w:rPr>
        <w:t> Calculate the number of employees with </w:t>
      </w:r>
      <w:r>
        <w:rPr>
          <w:rStyle w:val="highlight"/>
          <w:rFonts w:ascii="Calibri" w:hAnsi="Calibri" w:cs="Calibri"/>
          <w:color w:val="212121"/>
          <w:sz w:val="22"/>
          <w:szCs w:val="22"/>
          <w:shd w:val="clear" w:color="auto" w:fill="FFFFFF"/>
        </w:rPr>
        <w:t>1</w:t>
      </w:r>
      <w:r>
        <w:rPr>
          <w:rFonts w:ascii="Calibri" w:hAnsi="Calibri" w:cs="Calibri"/>
          <w:color w:val="212121"/>
          <w:sz w:val="22"/>
          <w:szCs w:val="22"/>
          <w:shd w:val="clear" w:color="auto" w:fill="FFFFFF"/>
        </w:rPr>
        <w:t>20 or more hours of service for each calendar month.</w:t>
      </w:r>
    </w:p>
    <w:p w14:paraId="70D32B79" w14:textId="77777777" w:rsidR="006B087E" w:rsidRDefault="006B087E" w:rsidP="006B087E">
      <w:pPr>
        <w:pStyle w:val="xmsonormal"/>
        <w:ind w:left="720"/>
        <w:rPr>
          <w:rFonts w:ascii="Calibri" w:hAnsi="Calibri" w:cs="Calibri"/>
          <w:color w:val="212121"/>
          <w:sz w:val="22"/>
          <w:szCs w:val="22"/>
          <w:shd w:val="clear" w:color="auto" w:fill="FFFFFF"/>
        </w:rPr>
      </w:pPr>
      <w:r>
        <w:rPr>
          <w:rStyle w:val="highlight"/>
          <w:rFonts w:ascii="Calibri" w:hAnsi="Calibri" w:cs="Calibri"/>
          <w:b/>
          <w:bCs/>
          <w:color w:val="212121"/>
          <w:sz w:val="22"/>
          <w:szCs w:val="22"/>
          <w:shd w:val="clear" w:color="auto" w:fill="FFFFFF"/>
        </w:rPr>
        <w:t>Step</w:t>
      </w:r>
      <w:r>
        <w:rPr>
          <w:rFonts w:ascii="Calibri" w:hAnsi="Calibri" w:cs="Calibri"/>
          <w:b/>
          <w:bCs/>
          <w:color w:val="212121"/>
          <w:sz w:val="22"/>
          <w:szCs w:val="22"/>
          <w:shd w:val="clear" w:color="auto" w:fill="FFFFFF"/>
        </w:rPr>
        <w:t> 2</w:t>
      </w:r>
      <w:r>
        <w:rPr>
          <w:rFonts w:ascii="Calibri" w:hAnsi="Calibri" w:cs="Calibri"/>
          <w:color w:val="212121"/>
          <w:sz w:val="22"/>
          <w:szCs w:val="22"/>
          <w:shd w:val="clear" w:color="auto" w:fill="FFFFFF"/>
        </w:rPr>
        <w:t>: Aggregate hours of service for each month for any other employees and divide the total by </w:t>
      </w:r>
      <w:r>
        <w:rPr>
          <w:rStyle w:val="highlight"/>
          <w:rFonts w:ascii="Calibri" w:hAnsi="Calibri" w:cs="Calibri"/>
          <w:color w:val="212121"/>
          <w:sz w:val="22"/>
          <w:szCs w:val="22"/>
          <w:shd w:val="clear" w:color="auto" w:fill="FFFFFF"/>
        </w:rPr>
        <w:t>1</w:t>
      </w:r>
      <w:r>
        <w:rPr>
          <w:rFonts w:ascii="Calibri" w:hAnsi="Calibri" w:cs="Calibri"/>
          <w:color w:val="212121"/>
          <w:sz w:val="22"/>
          <w:szCs w:val="22"/>
          <w:shd w:val="clear" w:color="auto" w:fill="FFFFFF"/>
        </w:rPr>
        <w:t>20.</w:t>
      </w:r>
    </w:p>
    <w:p w14:paraId="7037A549" w14:textId="77777777" w:rsidR="006B087E" w:rsidRDefault="006B087E" w:rsidP="006B087E">
      <w:pPr>
        <w:pStyle w:val="xmsonormal"/>
        <w:ind w:left="720"/>
        <w:rPr>
          <w:rFonts w:ascii="Calibri" w:hAnsi="Calibri" w:cs="Calibri"/>
          <w:color w:val="212121"/>
          <w:sz w:val="22"/>
          <w:szCs w:val="22"/>
          <w:shd w:val="clear" w:color="auto" w:fill="FFFFFF"/>
        </w:rPr>
      </w:pPr>
      <w:r>
        <w:rPr>
          <w:rStyle w:val="highlight"/>
          <w:rFonts w:ascii="Calibri" w:hAnsi="Calibri" w:cs="Calibri"/>
          <w:b/>
          <w:bCs/>
          <w:color w:val="212121"/>
          <w:sz w:val="22"/>
          <w:szCs w:val="22"/>
          <w:shd w:val="clear" w:color="auto" w:fill="FFFFFF"/>
        </w:rPr>
        <w:t>Step</w:t>
      </w:r>
      <w:r>
        <w:rPr>
          <w:rFonts w:ascii="Calibri" w:hAnsi="Calibri" w:cs="Calibri"/>
          <w:b/>
          <w:bCs/>
          <w:color w:val="212121"/>
          <w:sz w:val="22"/>
          <w:szCs w:val="22"/>
          <w:shd w:val="clear" w:color="auto" w:fill="FFFFFF"/>
        </w:rPr>
        <w:t> 3</w:t>
      </w:r>
      <w:r>
        <w:rPr>
          <w:rFonts w:ascii="Calibri" w:hAnsi="Calibri" w:cs="Calibri"/>
          <w:color w:val="212121"/>
          <w:sz w:val="22"/>
          <w:szCs w:val="22"/>
          <w:shd w:val="clear" w:color="auto" w:fill="FFFFFF"/>
        </w:rPr>
        <w:t>: Add the numbers obtained in </w:t>
      </w:r>
      <w:r>
        <w:rPr>
          <w:rStyle w:val="highlight"/>
          <w:rFonts w:ascii="Calibri" w:hAnsi="Calibri" w:cs="Calibri"/>
          <w:color w:val="212121"/>
          <w:sz w:val="22"/>
          <w:szCs w:val="22"/>
          <w:shd w:val="clear" w:color="auto" w:fill="FFFFFF"/>
        </w:rPr>
        <w:t>Step</w:t>
      </w:r>
      <w:r>
        <w:rPr>
          <w:rFonts w:ascii="Calibri" w:hAnsi="Calibri" w:cs="Calibri"/>
          <w:color w:val="212121"/>
          <w:sz w:val="22"/>
          <w:szCs w:val="22"/>
          <w:shd w:val="clear" w:color="auto" w:fill="FFFFFF"/>
        </w:rPr>
        <w:t>s </w:t>
      </w:r>
      <w:r>
        <w:rPr>
          <w:rStyle w:val="highlight"/>
          <w:rFonts w:ascii="Calibri" w:hAnsi="Calibri" w:cs="Calibri"/>
          <w:color w:val="212121"/>
          <w:sz w:val="22"/>
          <w:szCs w:val="22"/>
          <w:shd w:val="clear" w:color="auto" w:fill="FFFFFF"/>
        </w:rPr>
        <w:t>1</w:t>
      </w:r>
      <w:r>
        <w:rPr>
          <w:rFonts w:ascii="Calibri" w:hAnsi="Calibri" w:cs="Calibri"/>
          <w:color w:val="212121"/>
          <w:sz w:val="22"/>
          <w:szCs w:val="22"/>
          <w:shd w:val="clear" w:color="auto" w:fill="FFFFFF"/>
        </w:rPr>
        <w:t> and 2 for each month.</w:t>
      </w:r>
    </w:p>
    <w:p w14:paraId="21CCC3C1" w14:textId="77777777" w:rsidR="006B087E" w:rsidRDefault="006B087E" w:rsidP="006B087E">
      <w:pPr>
        <w:pStyle w:val="xmsonormal"/>
        <w:ind w:left="720"/>
        <w:rPr>
          <w:sz w:val="22"/>
          <w:szCs w:val="22"/>
        </w:rPr>
      </w:pPr>
      <w:r>
        <w:rPr>
          <w:rStyle w:val="highlight"/>
          <w:rFonts w:ascii="Calibri" w:hAnsi="Calibri" w:cs="Calibri"/>
          <w:b/>
          <w:bCs/>
          <w:color w:val="212121"/>
          <w:sz w:val="22"/>
          <w:szCs w:val="22"/>
          <w:shd w:val="clear" w:color="auto" w:fill="FFFFFF"/>
        </w:rPr>
        <w:t>Step</w:t>
      </w:r>
      <w:r>
        <w:rPr>
          <w:rFonts w:ascii="Calibri" w:hAnsi="Calibri" w:cs="Calibri"/>
          <w:b/>
          <w:bCs/>
          <w:color w:val="212121"/>
          <w:sz w:val="22"/>
          <w:szCs w:val="22"/>
          <w:shd w:val="clear" w:color="auto" w:fill="FFFFFF"/>
        </w:rPr>
        <w:t> 4</w:t>
      </w:r>
      <w:r>
        <w:rPr>
          <w:rFonts w:ascii="Calibri" w:hAnsi="Calibri" w:cs="Calibri"/>
          <w:color w:val="212121"/>
          <w:sz w:val="22"/>
          <w:szCs w:val="22"/>
          <w:shd w:val="clear" w:color="auto" w:fill="FFFFFF"/>
        </w:rPr>
        <w:t>: Add up the totals from each month from </w:t>
      </w:r>
      <w:r>
        <w:rPr>
          <w:rStyle w:val="highlight"/>
          <w:rFonts w:ascii="Calibri" w:hAnsi="Calibri" w:cs="Calibri"/>
          <w:color w:val="212121"/>
          <w:sz w:val="22"/>
          <w:szCs w:val="22"/>
          <w:shd w:val="clear" w:color="auto" w:fill="FFFFFF"/>
        </w:rPr>
        <w:t>Step</w:t>
      </w:r>
      <w:r>
        <w:rPr>
          <w:rFonts w:ascii="Calibri" w:hAnsi="Calibri" w:cs="Calibri"/>
          <w:color w:val="212121"/>
          <w:sz w:val="22"/>
          <w:szCs w:val="22"/>
          <w:shd w:val="clear" w:color="auto" w:fill="FFFFFF"/>
        </w:rPr>
        <w:t> 3 and divide the sum by </w:t>
      </w:r>
      <w:r>
        <w:rPr>
          <w:rStyle w:val="highlight"/>
          <w:rFonts w:ascii="Calibri" w:hAnsi="Calibri" w:cs="Calibri"/>
          <w:color w:val="212121"/>
          <w:sz w:val="22"/>
          <w:szCs w:val="22"/>
          <w:shd w:val="clear" w:color="auto" w:fill="FFFFFF"/>
        </w:rPr>
        <w:t>1</w:t>
      </w:r>
      <w:r>
        <w:rPr>
          <w:rFonts w:ascii="Calibri" w:hAnsi="Calibri" w:cs="Calibri"/>
          <w:color w:val="212121"/>
          <w:sz w:val="22"/>
          <w:szCs w:val="22"/>
          <w:shd w:val="clear" w:color="auto" w:fill="FFFFFF"/>
        </w:rPr>
        <w:t>2.</w:t>
      </w:r>
    </w:p>
    <w:p w14:paraId="477E7BAF" w14:textId="77777777" w:rsidR="006B087E" w:rsidRDefault="006B087E" w:rsidP="006B087E">
      <w:pPr>
        <w:rPr>
          <w:sz w:val="22"/>
          <w:szCs w:val="22"/>
        </w:rPr>
      </w:pPr>
    </w:p>
    <w:p w14:paraId="6BD3CDD4" w14:textId="46359820" w:rsidR="004F3891" w:rsidRPr="00A32933" w:rsidRDefault="006B087E" w:rsidP="006B087E">
      <w:pPr>
        <w:rPr>
          <w:rFonts w:ascii="Calibri" w:hAnsi="Calibri" w:cs="Calibri"/>
          <w:sz w:val="22"/>
          <w:szCs w:val="22"/>
        </w:rPr>
      </w:pPr>
      <w:r w:rsidRPr="00A32933">
        <w:rPr>
          <w:rFonts w:ascii="Calibri" w:hAnsi="Calibri" w:cs="Calibri"/>
          <w:sz w:val="22"/>
          <w:szCs w:val="22"/>
        </w:rPr>
        <w:t>For each month, count all hours of service for any employee employed for at least one day during the month.</w:t>
      </w:r>
      <w:r w:rsidR="004F3891">
        <w:rPr>
          <w:rFonts w:ascii="Calibri" w:hAnsi="Calibri" w:cs="Calibri"/>
          <w:sz w:val="22"/>
          <w:szCs w:val="22"/>
        </w:rPr>
        <w:t xml:space="preserve"> A spreadsheet to assist with this calculation can be found here - </w:t>
      </w:r>
      <w:hyperlink r:id="rId9" w:history="1">
        <w:r w:rsidR="004F3891" w:rsidRPr="0073284E">
          <w:rPr>
            <w:rStyle w:val="Hyperlink"/>
            <w:rFonts w:ascii="Calibri" w:hAnsi="Calibri" w:cs="Calibri"/>
            <w:sz w:val="22"/>
            <w:szCs w:val="22"/>
          </w:rPr>
          <w:t>https://www.benefitcomply.com/resources/wp-content/uploads/2018/10/ALEStatusTesting.xlsx</w:t>
        </w:r>
      </w:hyperlink>
    </w:p>
    <w:p w14:paraId="0E0A4500" w14:textId="77777777" w:rsidR="006B087E" w:rsidRPr="00A32933" w:rsidRDefault="006B087E" w:rsidP="006B087E">
      <w:pPr>
        <w:rPr>
          <w:rFonts w:ascii="Calibri" w:hAnsi="Calibri" w:cs="Calibri"/>
          <w:sz w:val="22"/>
          <w:szCs w:val="22"/>
        </w:rPr>
      </w:pPr>
    </w:p>
    <w:p w14:paraId="3B05D257" w14:textId="558B586B" w:rsidR="006B087E" w:rsidRPr="00A32933" w:rsidRDefault="006B087E" w:rsidP="006B087E">
      <w:pPr>
        <w:rPr>
          <w:rFonts w:ascii="Calibri" w:hAnsi="Calibri" w:cs="Calibri"/>
          <w:color w:val="212121"/>
          <w:sz w:val="22"/>
          <w:szCs w:val="22"/>
        </w:rPr>
      </w:pPr>
      <w:r w:rsidRPr="00A32933">
        <w:rPr>
          <w:rFonts w:ascii="Calibri" w:hAnsi="Calibri" w:cs="Calibri"/>
          <w:color w:val="212121"/>
          <w:sz w:val="22"/>
          <w:szCs w:val="22"/>
          <w:shd w:val="clear" w:color="auto" w:fill="FFFFFF"/>
        </w:rPr>
        <w:t xml:space="preserve">When more than one entity </w:t>
      </w:r>
      <w:r>
        <w:rPr>
          <w:rFonts w:ascii="Calibri" w:hAnsi="Calibri" w:cs="Calibri"/>
          <w:color w:val="212121"/>
          <w:sz w:val="22"/>
          <w:szCs w:val="22"/>
          <w:shd w:val="clear" w:color="auto" w:fill="FFFFFF"/>
        </w:rPr>
        <w:t xml:space="preserve">is </w:t>
      </w:r>
      <w:r w:rsidRPr="00A32933">
        <w:rPr>
          <w:rFonts w:ascii="Calibri" w:hAnsi="Calibri" w:cs="Calibri"/>
          <w:color w:val="212121"/>
          <w:sz w:val="22"/>
          <w:szCs w:val="22"/>
          <w:shd w:val="clear" w:color="auto" w:fill="FFFFFF"/>
        </w:rPr>
        <w:t>involved due to common</w:t>
      </w:r>
      <w:r>
        <w:rPr>
          <w:rFonts w:ascii="Calibri" w:hAnsi="Calibri" w:cs="Calibri"/>
          <w:color w:val="212121"/>
          <w:sz w:val="22"/>
          <w:szCs w:val="22"/>
          <w:shd w:val="clear" w:color="auto" w:fill="FFFFFF"/>
        </w:rPr>
        <w:t xml:space="preserve"> ownership or shared services (e.g</w:t>
      </w:r>
      <w:r w:rsidRPr="00A32933">
        <w:rPr>
          <w:rFonts w:ascii="Calibri" w:hAnsi="Calibri" w:cs="Calibri"/>
          <w:color w:val="212121"/>
          <w:sz w:val="22"/>
          <w:szCs w:val="22"/>
          <w:shd w:val="clear" w:color="auto" w:fill="FFFFFF"/>
        </w:rPr>
        <w:t>.</w:t>
      </w:r>
      <w:r w:rsidR="00742FD1">
        <w:rPr>
          <w:rFonts w:ascii="Calibri" w:hAnsi="Calibri" w:cs="Calibri"/>
          <w:color w:val="212121"/>
          <w:sz w:val="22"/>
          <w:szCs w:val="22"/>
          <w:shd w:val="clear" w:color="auto" w:fill="FFFFFF"/>
        </w:rPr>
        <w:t>,</w:t>
      </w:r>
      <w:r w:rsidRPr="00A32933">
        <w:rPr>
          <w:rFonts w:ascii="Calibri" w:hAnsi="Calibri" w:cs="Calibri"/>
          <w:color w:val="212121"/>
          <w:sz w:val="22"/>
          <w:szCs w:val="22"/>
          <w:shd w:val="clear" w:color="auto" w:fill="FFFFFF"/>
        </w:rPr>
        <w:t xml:space="preserve"> a controlled group or affiliated service group under §414 rules), the entities must aggregate FTEs to determine the average for the previous calendar year. If </w:t>
      </w:r>
      <w:r>
        <w:rPr>
          <w:rFonts w:ascii="Calibri" w:hAnsi="Calibri" w:cs="Calibri"/>
          <w:color w:val="212121"/>
          <w:sz w:val="22"/>
          <w:szCs w:val="22"/>
          <w:shd w:val="clear" w:color="auto" w:fill="FFFFFF"/>
        </w:rPr>
        <w:t>when combined</w:t>
      </w:r>
      <w:r w:rsidRPr="00A32933">
        <w:rPr>
          <w:rFonts w:ascii="Calibri" w:hAnsi="Calibri" w:cs="Calibri"/>
          <w:color w:val="212121"/>
          <w:sz w:val="22"/>
          <w:szCs w:val="22"/>
          <w:shd w:val="clear" w:color="auto" w:fill="FFFFFF"/>
        </w:rPr>
        <w:t xml:space="preserve"> the entities average 50 or more FTEs, then e</w:t>
      </w:r>
      <w:r w:rsidRPr="00A32933">
        <w:rPr>
          <w:rFonts w:ascii="Calibri" w:hAnsi="Calibri" w:cs="Calibri"/>
          <w:color w:val="212121"/>
          <w:sz w:val="22"/>
          <w:szCs w:val="22"/>
        </w:rPr>
        <w:t xml:space="preserve">ach entity is an ALE, subject to </w:t>
      </w:r>
      <w:r w:rsidRPr="00A32933">
        <w:rPr>
          <w:rFonts w:ascii="Calibri" w:hAnsi="Calibri" w:cs="Calibri"/>
          <w:sz w:val="22"/>
          <w:szCs w:val="22"/>
        </w:rPr>
        <w:t xml:space="preserve">§4980H offer of coverage requirements </w:t>
      </w:r>
      <w:r>
        <w:rPr>
          <w:rFonts w:ascii="Calibri" w:hAnsi="Calibri" w:cs="Calibri"/>
          <w:sz w:val="22"/>
          <w:szCs w:val="22"/>
        </w:rPr>
        <w:t xml:space="preserve">and </w:t>
      </w:r>
      <w:r w:rsidRPr="00A32933">
        <w:rPr>
          <w:rFonts w:ascii="Calibri" w:hAnsi="Calibri" w:cs="Calibri"/>
          <w:sz w:val="22"/>
          <w:szCs w:val="22"/>
        </w:rPr>
        <w:t>§6056 employer reporting requirements</w:t>
      </w:r>
      <w:r>
        <w:rPr>
          <w:rFonts w:ascii="Calibri" w:hAnsi="Calibri" w:cs="Calibri"/>
          <w:sz w:val="22"/>
          <w:szCs w:val="22"/>
        </w:rPr>
        <w:t xml:space="preserve"> for the following calendar year</w:t>
      </w:r>
      <w:r w:rsidRPr="00A32933">
        <w:rPr>
          <w:rFonts w:ascii="Calibri" w:hAnsi="Calibri" w:cs="Calibri"/>
          <w:color w:val="212121"/>
          <w:sz w:val="22"/>
          <w:szCs w:val="22"/>
        </w:rPr>
        <w:t xml:space="preserve">.  </w:t>
      </w:r>
    </w:p>
    <w:p w14:paraId="591E57E1" w14:textId="46B0CEBE" w:rsidR="004F3891" w:rsidRDefault="004F3891" w:rsidP="006B087E">
      <w:pPr>
        <w:rPr>
          <w:rFonts w:ascii="Calibri" w:hAnsi="Calibri" w:cs="Calibri"/>
          <w:sz w:val="22"/>
          <w:szCs w:val="22"/>
        </w:rPr>
      </w:pPr>
    </w:p>
    <w:p w14:paraId="07F83AED" w14:textId="77777777" w:rsidR="00760901" w:rsidRPr="00A32933" w:rsidRDefault="00760901" w:rsidP="006B087E">
      <w:pPr>
        <w:rPr>
          <w:rFonts w:ascii="Calibri" w:hAnsi="Calibri" w:cs="Calibri"/>
          <w:sz w:val="22"/>
          <w:szCs w:val="22"/>
        </w:rPr>
      </w:pPr>
    </w:p>
    <w:p w14:paraId="19526870" w14:textId="77777777" w:rsidR="006B087E" w:rsidRPr="00A32933" w:rsidRDefault="006B087E" w:rsidP="006B087E">
      <w:pPr>
        <w:rPr>
          <w:rFonts w:ascii="Calibri" w:hAnsi="Calibri" w:cs="Calibri"/>
          <w:b/>
          <w:sz w:val="22"/>
          <w:szCs w:val="22"/>
        </w:rPr>
      </w:pPr>
      <w:r w:rsidRPr="00A32933">
        <w:rPr>
          <w:rFonts w:ascii="Calibri" w:hAnsi="Calibri" w:cs="Calibri"/>
          <w:b/>
          <w:sz w:val="22"/>
          <w:szCs w:val="22"/>
        </w:rPr>
        <w:t>§4980H Offer of Coverage Requirements</w:t>
      </w:r>
    </w:p>
    <w:p w14:paraId="097D5780" w14:textId="3B32BAA2" w:rsidR="006B087E" w:rsidRPr="00A32933" w:rsidRDefault="006B087E" w:rsidP="006B087E">
      <w:pPr>
        <w:rPr>
          <w:rFonts w:ascii="Calibri" w:hAnsi="Calibri" w:cs="Calibri"/>
          <w:sz w:val="22"/>
          <w:szCs w:val="22"/>
        </w:rPr>
      </w:pPr>
      <w:r w:rsidRPr="00A32933">
        <w:rPr>
          <w:rFonts w:ascii="Calibri" w:hAnsi="Calibri" w:cs="Calibri"/>
          <w:sz w:val="22"/>
          <w:szCs w:val="22"/>
        </w:rPr>
        <w:t xml:space="preserve">The offer of coverage requirements </w:t>
      </w:r>
      <w:r>
        <w:rPr>
          <w:rFonts w:ascii="Calibri" w:hAnsi="Calibri" w:cs="Calibri"/>
          <w:sz w:val="22"/>
          <w:szCs w:val="22"/>
        </w:rPr>
        <w:t xml:space="preserve">for ALEs </w:t>
      </w:r>
      <w:r w:rsidRPr="00A32933">
        <w:rPr>
          <w:rFonts w:ascii="Calibri" w:hAnsi="Calibri" w:cs="Calibri"/>
          <w:sz w:val="22"/>
          <w:szCs w:val="22"/>
        </w:rPr>
        <w:t xml:space="preserve">under §4980H </w:t>
      </w:r>
      <w:r w:rsidR="00742FD1">
        <w:rPr>
          <w:rFonts w:ascii="Calibri" w:hAnsi="Calibri" w:cs="Calibri"/>
          <w:sz w:val="22"/>
          <w:szCs w:val="22"/>
        </w:rPr>
        <w:t>are</w:t>
      </w:r>
      <w:r w:rsidRPr="00A32933">
        <w:rPr>
          <w:rFonts w:ascii="Calibri" w:hAnsi="Calibri" w:cs="Calibri"/>
          <w:sz w:val="22"/>
          <w:szCs w:val="22"/>
        </w:rPr>
        <w:t xml:space="preserve"> as follows:</w:t>
      </w:r>
    </w:p>
    <w:p w14:paraId="28926F91" w14:textId="77777777" w:rsidR="006B087E" w:rsidRPr="004F3891" w:rsidRDefault="006B087E" w:rsidP="006B087E">
      <w:pPr>
        <w:rPr>
          <w:rFonts w:ascii="Calibri" w:hAnsi="Calibri" w:cs="Calibri"/>
          <w:sz w:val="8"/>
          <w:szCs w:val="8"/>
        </w:rPr>
      </w:pPr>
    </w:p>
    <w:p w14:paraId="14CECBA5" w14:textId="61E275B3" w:rsidR="006B087E" w:rsidRPr="00A32933" w:rsidRDefault="006B087E" w:rsidP="006B087E">
      <w:pPr>
        <w:numPr>
          <w:ilvl w:val="0"/>
          <w:numId w:val="35"/>
        </w:numPr>
        <w:rPr>
          <w:rFonts w:ascii="Calibri" w:eastAsia="Times New Roman" w:hAnsi="Calibri" w:cs="Calibri"/>
          <w:sz w:val="22"/>
          <w:szCs w:val="22"/>
        </w:rPr>
      </w:pPr>
      <w:r w:rsidRPr="00A32933">
        <w:rPr>
          <w:rFonts w:ascii="Calibri" w:eastAsia="Times New Roman" w:hAnsi="Calibri" w:cs="Calibri"/>
          <w:b/>
          <w:bCs/>
          <w:sz w:val="22"/>
          <w:szCs w:val="22"/>
        </w:rPr>
        <w:t>§4980H(a)</w:t>
      </w:r>
      <w:r w:rsidRPr="00A32933">
        <w:rPr>
          <w:rFonts w:ascii="Calibri" w:eastAsia="Times New Roman" w:hAnsi="Calibri" w:cs="Calibri"/>
          <w:sz w:val="22"/>
          <w:szCs w:val="22"/>
        </w:rPr>
        <w:t xml:space="preserve"> – ALEs must offer minimum essential coverage (MEC) to at least 95% (or all but 5, if greater) </w:t>
      </w:r>
      <w:r w:rsidR="00742FD1">
        <w:rPr>
          <w:rFonts w:ascii="Calibri" w:eastAsia="Times New Roman" w:hAnsi="Calibri" w:cs="Calibri"/>
          <w:sz w:val="22"/>
          <w:szCs w:val="22"/>
        </w:rPr>
        <w:t xml:space="preserve">of </w:t>
      </w:r>
      <w:r w:rsidRPr="00A32933">
        <w:rPr>
          <w:rFonts w:ascii="Calibri" w:eastAsia="Times New Roman" w:hAnsi="Calibri" w:cs="Calibri"/>
          <w:sz w:val="22"/>
          <w:szCs w:val="22"/>
        </w:rPr>
        <w:t>full-time employees and their dependent children each month.</w:t>
      </w:r>
    </w:p>
    <w:p w14:paraId="5C6734BC" w14:textId="77777777" w:rsidR="006B087E" w:rsidRPr="004F3891" w:rsidRDefault="006B087E" w:rsidP="006B087E">
      <w:pPr>
        <w:ind w:left="720"/>
        <w:rPr>
          <w:rFonts w:ascii="Calibri" w:eastAsia="Times New Roman" w:hAnsi="Calibri" w:cs="Calibri"/>
          <w:sz w:val="8"/>
          <w:szCs w:val="8"/>
        </w:rPr>
      </w:pPr>
    </w:p>
    <w:p w14:paraId="7E5EE82F" w14:textId="77777777" w:rsidR="006B087E" w:rsidRPr="00A32933" w:rsidRDefault="006B087E" w:rsidP="006B087E">
      <w:pPr>
        <w:numPr>
          <w:ilvl w:val="0"/>
          <w:numId w:val="35"/>
        </w:numPr>
        <w:rPr>
          <w:rFonts w:ascii="Calibri" w:eastAsia="Times New Roman" w:hAnsi="Calibri" w:cs="Calibri"/>
          <w:sz w:val="22"/>
          <w:szCs w:val="22"/>
        </w:rPr>
      </w:pPr>
      <w:r w:rsidRPr="00A32933">
        <w:rPr>
          <w:rFonts w:ascii="Calibri" w:eastAsia="Times New Roman" w:hAnsi="Calibri" w:cs="Calibri"/>
          <w:b/>
          <w:bCs/>
          <w:sz w:val="22"/>
          <w:szCs w:val="22"/>
        </w:rPr>
        <w:t>§4980H(b)</w:t>
      </w:r>
      <w:r w:rsidRPr="00A32933">
        <w:rPr>
          <w:rFonts w:ascii="Calibri" w:eastAsia="Times New Roman" w:hAnsi="Calibri" w:cs="Calibri"/>
          <w:sz w:val="22"/>
          <w:szCs w:val="22"/>
        </w:rPr>
        <w:t xml:space="preserve"> – ALEs must offer coverage that provides minimum value AND is affordable to all full-time employees each month.</w:t>
      </w:r>
    </w:p>
    <w:p w14:paraId="19FE55C0" w14:textId="77777777" w:rsidR="006B087E" w:rsidRDefault="006B087E" w:rsidP="006B087E">
      <w:pPr>
        <w:rPr>
          <w:rFonts w:ascii="Calibri" w:hAnsi="Calibri" w:cs="Calibri"/>
          <w:bCs/>
          <w:sz w:val="22"/>
          <w:szCs w:val="22"/>
          <w:u w:val="single"/>
        </w:rPr>
      </w:pPr>
    </w:p>
    <w:p w14:paraId="4D2C7832" w14:textId="77777777" w:rsidR="006B087E" w:rsidRPr="00A32933" w:rsidRDefault="006B087E" w:rsidP="006B087E">
      <w:pPr>
        <w:rPr>
          <w:rFonts w:ascii="Calibri" w:hAnsi="Calibri" w:cs="Calibri"/>
          <w:bCs/>
          <w:sz w:val="22"/>
          <w:szCs w:val="22"/>
          <w:u w:val="single"/>
          <w:lang w:bidi="ar-SA"/>
        </w:rPr>
      </w:pPr>
      <w:r w:rsidRPr="00A32933">
        <w:rPr>
          <w:rFonts w:ascii="Calibri" w:hAnsi="Calibri" w:cs="Calibri"/>
          <w:bCs/>
          <w:sz w:val="22"/>
          <w:szCs w:val="22"/>
          <w:u w:val="single"/>
        </w:rPr>
        <w:t>Minimum Essential Coverage (MEC)</w:t>
      </w:r>
    </w:p>
    <w:p w14:paraId="3E0C0103" w14:textId="47CA4B8A" w:rsidR="006B087E" w:rsidRPr="00A32933" w:rsidRDefault="006B087E" w:rsidP="006B087E">
      <w:pPr>
        <w:rPr>
          <w:rFonts w:ascii="Calibri" w:hAnsi="Calibri" w:cs="Calibri"/>
          <w:sz w:val="22"/>
          <w:szCs w:val="22"/>
          <w:lang w:eastAsia="zh-CN"/>
        </w:rPr>
      </w:pPr>
      <w:r w:rsidRPr="00A32933">
        <w:rPr>
          <w:rFonts w:ascii="Calibri" w:hAnsi="Calibri" w:cs="Calibri"/>
          <w:sz w:val="22"/>
          <w:szCs w:val="22"/>
        </w:rPr>
        <w:t xml:space="preserve">Most employer-sponsored group health plans will be considered minimum essential coverage (MEC) plans </w:t>
      </w:r>
      <w:r>
        <w:rPr>
          <w:rFonts w:ascii="Calibri" w:hAnsi="Calibri" w:cs="Calibri"/>
          <w:sz w:val="22"/>
          <w:szCs w:val="22"/>
        </w:rPr>
        <w:t>because</w:t>
      </w:r>
      <w:r w:rsidRPr="00A32933">
        <w:rPr>
          <w:rFonts w:ascii="Calibri" w:hAnsi="Calibri" w:cs="Calibri"/>
          <w:sz w:val="22"/>
          <w:szCs w:val="22"/>
        </w:rPr>
        <w:t xml:space="preserve"> </w:t>
      </w:r>
      <w:r>
        <w:rPr>
          <w:rFonts w:ascii="Calibri" w:hAnsi="Calibri" w:cs="Calibri"/>
          <w:sz w:val="22"/>
          <w:szCs w:val="22"/>
        </w:rPr>
        <w:t>very few specific requirements and little guidance are offered</w:t>
      </w:r>
      <w:r w:rsidRPr="00A32933">
        <w:rPr>
          <w:rFonts w:ascii="Calibri" w:hAnsi="Calibri" w:cs="Calibri"/>
          <w:sz w:val="22"/>
          <w:szCs w:val="22"/>
        </w:rPr>
        <w:t>. </w:t>
      </w:r>
      <w:r>
        <w:rPr>
          <w:rFonts w:ascii="Calibri" w:hAnsi="Calibri" w:cs="Calibri"/>
          <w:sz w:val="22"/>
          <w:szCs w:val="22"/>
        </w:rPr>
        <w:t>E</w:t>
      </w:r>
      <w:r w:rsidRPr="00A32933">
        <w:rPr>
          <w:rFonts w:ascii="Calibri" w:hAnsi="Calibri" w:cs="Calibri"/>
          <w:sz w:val="22"/>
          <w:szCs w:val="22"/>
        </w:rPr>
        <w:t xml:space="preserve">ven plans referred to as “limited medical” or preventive-only will meet this requirement. The definition includes any coverage under an “eligible </w:t>
      </w:r>
      <w:r w:rsidRPr="00A32933">
        <w:rPr>
          <w:rFonts w:ascii="Calibri" w:hAnsi="Calibri" w:cs="Calibri"/>
          <w:sz w:val="22"/>
          <w:szCs w:val="22"/>
        </w:rPr>
        <w:lastRenderedPageBreak/>
        <w:t>employer-sponsored plan”—a term that means a group health plan or group health insurance coverage offered by an employer to an employee that is</w:t>
      </w:r>
      <w:r w:rsidR="00742FD1">
        <w:rPr>
          <w:rFonts w:ascii="Calibri" w:hAnsi="Calibri" w:cs="Calibri"/>
          <w:sz w:val="22"/>
          <w:szCs w:val="22"/>
        </w:rPr>
        <w:t>:</w:t>
      </w:r>
      <w:r w:rsidRPr="00A32933">
        <w:rPr>
          <w:rFonts w:ascii="Calibri" w:hAnsi="Calibri" w:cs="Calibri"/>
          <w:sz w:val="22"/>
          <w:szCs w:val="22"/>
        </w:rPr>
        <w:t xml:space="preserve"> (a) a governmental plan,</w:t>
      </w:r>
      <w:r w:rsidRPr="00A32933">
        <w:rPr>
          <w:rStyle w:val="apple-converted-space"/>
          <w:rFonts w:ascii="Calibri" w:hAnsi="Calibri" w:cs="Calibri"/>
          <w:sz w:val="22"/>
          <w:szCs w:val="22"/>
        </w:rPr>
        <w:t> </w:t>
      </w:r>
      <w:r w:rsidRPr="00A32933">
        <w:rPr>
          <w:rFonts w:ascii="Calibri" w:hAnsi="Calibri" w:cs="Calibri"/>
          <w:sz w:val="22"/>
          <w:szCs w:val="22"/>
        </w:rPr>
        <w:t>or (b) any other plan or coverage offered in a state’s small or large group market. In addition, IRS regulations clarify that self-funded employer coverage qualifies as an eligible employer-sponsored plan.</w:t>
      </w:r>
    </w:p>
    <w:p w14:paraId="6D8FAAAD" w14:textId="77777777" w:rsidR="006B087E" w:rsidRPr="00A32933" w:rsidRDefault="006B087E" w:rsidP="006B087E">
      <w:pPr>
        <w:rPr>
          <w:rFonts w:ascii="Calibri" w:hAnsi="Calibri" w:cs="Calibri"/>
          <w:sz w:val="22"/>
          <w:szCs w:val="22"/>
        </w:rPr>
      </w:pPr>
    </w:p>
    <w:p w14:paraId="3B939FD7" w14:textId="77777777" w:rsidR="006B087E" w:rsidRPr="00A32933" w:rsidRDefault="006B087E" w:rsidP="006B087E">
      <w:pPr>
        <w:rPr>
          <w:rFonts w:ascii="Calibri" w:hAnsi="Calibri" w:cs="Calibri"/>
          <w:bCs/>
          <w:sz w:val="22"/>
          <w:szCs w:val="22"/>
          <w:u w:val="single"/>
        </w:rPr>
      </w:pPr>
      <w:r w:rsidRPr="00A32933">
        <w:rPr>
          <w:rFonts w:ascii="Calibri" w:hAnsi="Calibri" w:cs="Calibri"/>
          <w:bCs/>
          <w:sz w:val="22"/>
          <w:szCs w:val="22"/>
          <w:u w:val="single"/>
        </w:rPr>
        <w:t>Minimum Value</w:t>
      </w:r>
    </w:p>
    <w:p w14:paraId="2967D1A6" w14:textId="77777777" w:rsidR="006B087E" w:rsidRPr="00A32933" w:rsidRDefault="006B087E" w:rsidP="006B087E">
      <w:pPr>
        <w:ind w:right="120"/>
        <w:rPr>
          <w:rFonts w:ascii="Calibri" w:hAnsi="Calibri" w:cs="Calibri"/>
          <w:sz w:val="22"/>
          <w:szCs w:val="22"/>
        </w:rPr>
      </w:pPr>
      <w:r w:rsidRPr="00A32933">
        <w:rPr>
          <w:rFonts w:ascii="Calibri" w:hAnsi="Calibri" w:cs="Calibri"/>
          <w:sz w:val="22"/>
          <w:szCs w:val="22"/>
        </w:rPr>
        <w:t>The requirement to provide “minimum value” is a higher standard</w:t>
      </w:r>
      <w:r>
        <w:rPr>
          <w:rFonts w:ascii="Calibri" w:hAnsi="Calibri" w:cs="Calibri"/>
          <w:sz w:val="22"/>
          <w:szCs w:val="22"/>
        </w:rPr>
        <w:t xml:space="preserve"> than the requirement to offer a MEC plan</w:t>
      </w:r>
      <w:r w:rsidRPr="00A32933">
        <w:rPr>
          <w:rFonts w:ascii="Calibri" w:hAnsi="Calibri" w:cs="Calibri"/>
          <w:sz w:val="22"/>
          <w:szCs w:val="22"/>
        </w:rPr>
        <w:t xml:space="preserve">. A plan provides minimum value if the plan’s share of the total allowed cost of benefits provided to an employee is at least 60% (actuarial value of 60% or better). Whether a plan provides minimum value is required </w:t>
      </w:r>
      <w:r>
        <w:rPr>
          <w:rFonts w:ascii="Calibri" w:hAnsi="Calibri" w:cs="Calibri"/>
          <w:sz w:val="22"/>
          <w:szCs w:val="22"/>
        </w:rPr>
        <w:t>content</w:t>
      </w:r>
      <w:r w:rsidRPr="00A32933">
        <w:rPr>
          <w:rFonts w:ascii="Calibri" w:hAnsi="Calibri" w:cs="Calibri"/>
          <w:sz w:val="22"/>
          <w:szCs w:val="22"/>
        </w:rPr>
        <w:t xml:space="preserve"> in the summary of benefits and coverage (SBC).  </w:t>
      </w:r>
    </w:p>
    <w:p w14:paraId="0EE29F48" w14:textId="77777777" w:rsidR="006B087E" w:rsidRPr="00A32933" w:rsidRDefault="006B087E" w:rsidP="006B087E">
      <w:pPr>
        <w:rPr>
          <w:rFonts w:ascii="Calibri" w:hAnsi="Calibri" w:cs="Calibri"/>
          <w:sz w:val="22"/>
          <w:szCs w:val="22"/>
        </w:rPr>
      </w:pPr>
    </w:p>
    <w:p w14:paraId="270535B2" w14:textId="77777777" w:rsidR="006B087E" w:rsidRPr="00A32933" w:rsidRDefault="006B087E" w:rsidP="006B087E">
      <w:pPr>
        <w:rPr>
          <w:rFonts w:ascii="Calibri" w:hAnsi="Calibri" w:cs="Calibri"/>
          <w:bCs/>
          <w:sz w:val="22"/>
          <w:szCs w:val="22"/>
          <w:u w:val="single"/>
        </w:rPr>
      </w:pPr>
      <w:r w:rsidRPr="00A32933">
        <w:rPr>
          <w:rFonts w:ascii="Calibri" w:hAnsi="Calibri" w:cs="Calibri"/>
          <w:bCs/>
          <w:sz w:val="22"/>
          <w:szCs w:val="22"/>
          <w:u w:val="single"/>
        </w:rPr>
        <w:t>Affordability</w:t>
      </w:r>
    </w:p>
    <w:p w14:paraId="0DE9AB69" w14:textId="1F3F6AB5" w:rsidR="006B087E" w:rsidRPr="000B641A" w:rsidRDefault="006B087E" w:rsidP="006B087E">
      <w:pPr>
        <w:rPr>
          <w:rFonts w:ascii="Calibri" w:eastAsia="Times New Roman" w:hAnsi="Calibri" w:cs="Calibri"/>
          <w:sz w:val="22"/>
          <w:szCs w:val="22"/>
          <w:lang w:bidi="ar-SA"/>
        </w:rPr>
      </w:pPr>
      <w:r w:rsidRPr="000B641A">
        <w:rPr>
          <w:rFonts w:ascii="Calibri" w:eastAsia="Times New Roman" w:hAnsi="Calibri" w:cs="Calibri"/>
          <w:sz w:val="22"/>
          <w:szCs w:val="22"/>
        </w:rPr>
        <w:t xml:space="preserve">Affordability is generally determined by applying the </w:t>
      </w:r>
      <w:r w:rsidR="00742FD1">
        <w:rPr>
          <w:rFonts w:ascii="Calibri" w:eastAsia="Times New Roman" w:hAnsi="Calibri" w:cs="Calibri"/>
          <w:sz w:val="22"/>
          <w:szCs w:val="22"/>
        </w:rPr>
        <w:t>applicable</w:t>
      </w:r>
      <w:r w:rsidRPr="000B641A">
        <w:rPr>
          <w:rFonts w:ascii="Calibri" w:eastAsia="Times New Roman" w:hAnsi="Calibri" w:cs="Calibri"/>
          <w:sz w:val="22"/>
          <w:szCs w:val="22"/>
        </w:rPr>
        <w:t xml:space="preserve"> affordability percentage (see below) to an individual</w:t>
      </w:r>
      <w:r>
        <w:rPr>
          <w:rFonts w:ascii="Calibri" w:eastAsia="Times New Roman" w:hAnsi="Calibri" w:cs="Calibri"/>
          <w:sz w:val="22"/>
          <w:szCs w:val="22"/>
        </w:rPr>
        <w:t>’</w:t>
      </w:r>
      <w:r w:rsidRPr="000B641A">
        <w:rPr>
          <w:rFonts w:ascii="Calibri" w:eastAsia="Times New Roman" w:hAnsi="Calibri" w:cs="Calibri"/>
          <w:sz w:val="22"/>
          <w:szCs w:val="22"/>
        </w:rPr>
        <w:t xml:space="preserve">s household income. However, because an employer will not typically know household income, the employer is protected from any potential penalties under §4980H(b) so long as the coverage is affordable under </w:t>
      </w:r>
      <w:r>
        <w:rPr>
          <w:rFonts w:ascii="Calibri" w:eastAsia="Times New Roman" w:hAnsi="Calibri" w:cs="Calibri"/>
          <w:sz w:val="22"/>
          <w:szCs w:val="22"/>
        </w:rPr>
        <w:t>one</w:t>
      </w:r>
      <w:r w:rsidRPr="000B641A">
        <w:rPr>
          <w:rFonts w:ascii="Calibri" w:eastAsia="Times New Roman" w:hAnsi="Calibri" w:cs="Calibri"/>
          <w:sz w:val="22"/>
          <w:szCs w:val="22"/>
        </w:rPr>
        <w:t xml:space="preserve"> of </w:t>
      </w:r>
      <w:r>
        <w:rPr>
          <w:rFonts w:ascii="Calibri" w:eastAsia="Times New Roman" w:hAnsi="Calibri" w:cs="Calibri"/>
          <w:sz w:val="22"/>
          <w:szCs w:val="22"/>
        </w:rPr>
        <w:t>three</w:t>
      </w:r>
      <w:r w:rsidRPr="000B641A">
        <w:rPr>
          <w:rFonts w:ascii="Calibri" w:eastAsia="Times New Roman" w:hAnsi="Calibri" w:cs="Calibri"/>
          <w:sz w:val="22"/>
          <w:szCs w:val="22"/>
        </w:rPr>
        <w:t xml:space="preserve"> safe harbors:</w:t>
      </w:r>
    </w:p>
    <w:p w14:paraId="58618208" w14:textId="77777777" w:rsidR="006B087E" w:rsidRPr="000B641A" w:rsidRDefault="006B087E" w:rsidP="006B087E">
      <w:pPr>
        <w:numPr>
          <w:ilvl w:val="0"/>
          <w:numId w:val="36"/>
        </w:numPr>
        <w:rPr>
          <w:rFonts w:ascii="Calibri" w:eastAsia="Times New Roman" w:hAnsi="Calibri" w:cs="Calibri"/>
          <w:sz w:val="22"/>
          <w:szCs w:val="22"/>
        </w:rPr>
      </w:pPr>
      <w:r w:rsidRPr="000B641A">
        <w:rPr>
          <w:rFonts w:ascii="Calibri" w:eastAsia="Times New Roman" w:hAnsi="Calibri" w:cs="Calibri"/>
          <w:sz w:val="22"/>
          <w:szCs w:val="22"/>
        </w:rPr>
        <w:t xml:space="preserve">Federal poverty level (FPL) safe harbor; </w:t>
      </w:r>
    </w:p>
    <w:p w14:paraId="2FC65129" w14:textId="77777777" w:rsidR="006B087E" w:rsidRPr="000B641A" w:rsidRDefault="006B087E" w:rsidP="006B087E">
      <w:pPr>
        <w:numPr>
          <w:ilvl w:val="0"/>
          <w:numId w:val="36"/>
        </w:numPr>
        <w:rPr>
          <w:rFonts w:ascii="Calibri" w:eastAsia="Times New Roman" w:hAnsi="Calibri" w:cs="Calibri"/>
          <w:sz w:val="22"/>
          <w:szCs w:val="22"/>
        </w:rPr>
      </w:pPr>
      <w:r w:rsidRPr="000B641A">
        <w:rPr>
          <w:rFonts w:ascii="Calibri" w:eastAsia="Times New Roman" w:hAnsi="Calibri" w:cs="Calibri"/>
          <w:sz w:val="22"/>
          <w:szCs w:val="22"/>
        </w:rPr>
        <w:t xml:space="preserve">Rate of pay safe harbor; or </w:t>
      </w:r>
    </w:p>
    <w:p w14:paraId="66246D15" w14:textId="77777777" w:rsidR="006B087E" w:rsidRPr="000B641A" w:rsidRDefault="006B087E" w:rsidP="006B087E">
      <w:pPr>
        <w:numPr>
          <w:ilvl w:val="0"/>
          <w:numId w:val="36"/>
        </w:numPr>
        <w:rPr>
          <w:rFonts w:ascii="Calibri" w:eastAsia="Times New Roman" w:hAnsi="Calibri" w:cs="Calibri"/>
          <w:sz w:val="22"/>
          <w:szCs w:val="22"/>
        </w:rPr>
      </w:pPr>
      <w:r w:rsidRPr="000B641A">
        <w:rPr>
          <w:rFonts w:ascii="Calibri" w:eastAsia="Times New Roman" w:hAnsi="Calibri" w:cs="Calibri"/>
          <w:sz w:val="22"/>
          <w:szCs w:val="22"/>
        </w:rPr>
        <w:t>Form W-2 safe harbor.</w:t>
      </w:r>
    </w:p>
    <w:p w14:paraId="1E799AA5" w14:textId="77777777" w:rsidR="006B087E" w:rsidRPr="000B641A" w:rsidRDefault="006B087E" w:rsidP="006B087E">
      <w:pPr>
        <w:ind w:left="720"/>
        <w:rPr>
          <w:rFonts w:ascii="Calibri" w:eastAsia="Times New Roman" w:hAnsi="Calibri" w:cs="Calibri"/>
          <w:sz w:val="22"/>
          <w:szCs w:val="22"/>
        </w:rPr>
      </w:pPr>
    </w:p>
    <w:p w14:paraId="3A2E6184" w14:textId="20CA5534" w:rsidR="006B087E" w:rsidRPr="000B641A" w:rsidRDefault="006B087E" w:rsidP="006B087E">
      <w:pPr>
        <w:rPr>
          <w:rFonts w:ascii="Calibri" w:hAnsi="Calibri" w:cs="Calibri"/>
          <w:color w:val="212121"/>
          <w:sz w:val="22"/>
          <w:szCs w:val="22"/>
        </w:rPr>
      </w:pPr>
      <w:r w:rsidRPr="000B641A">
        <w:rPr>
          <w:rFonts w:ascii="Calibri" w:hAnsi="Calibri" w:cs="Calibri"/>
          <w:sz w:val="22"/>
          <w:szCs w:val="22"/>
        </w:rPr>
        <w:t>For more detail</w:t>
      </w:r>
      <w:r>
        <w:rPr>
          <w:rFonts w:ascii="Calibri" w:hAnsi="Calibri" w:cs="Calibri"/>
          <w:sz w:val="22"/>
          <w:szCs w:val="22"/>
        </w:rPr>
        <w:t>s</w:t>
      </w:r>
      <w:r w:rsidRPr="000B641A">
        <w:rPr>
          <w:rFonts w:ascii="Calibri" w:hAnsi="Calibri" w:cs="Calibri"/>
          <w:sz w:val="22"/>
          <w:szCs w:val="22"/>
        </w:rPr>
        <w:t xml:space="preserve"> </w:t>
      </w:r>
      <w:r>
        <w:rPr>
          <w:rFonts w:ascii="Calibri" w:hAnsi="Calibri" w:cs="Calibri"/>
          <w:sz w:val="22"/>
          <w:szCs w:val="22"/>
        </w:rPr>
        <w:t>about</w:t>
      </w:r>
      <w:r w:rsidRPr="000B641A">
        <w:rPr>
          <w:rFonts w:ascii="Calibri" w:hAnsi="Calibri" w:cs="Calibri"/>
          <w:sz w:val="22"/>
          <w:szCs w:val="22"/>
        </w:rPr>
        <w:t xml:space="preserve"> affordability requirements and use of an affordability safe harbor, see </w:t>
      </w:r>
      <w:r w:rsidRPr="000B641A">
        <w:rPr>
          <w:rFonts w:ascii="Calibri" w:hAnsi="Calibri" w:cs="Calibri"/>
          <w:color w:val="212121"/>
          <w:sz w:val="22"/>
          <w:szCs w:val="22"/>
        </w:rPr>
        <w:t>our issue brief on affordability found at</w:t>
      </w:r>
      <w:r w:rsidR="00324FF8" w:rsidRPr="00324FF8">
        <w:t xml:space="preserve"> </w:t>
      </w:r>
      <w:hyperlink r:id="rId10" w:history="1">
        <w:r w:rsidR="00324FF8" w:rsidRPr="00FF6115">
          <w:rPr>
            <w:rStyle w:val="Hyperlink"/>
            <w:rFonts w:ascii="Calibri" w:hAnsi="Calibri" w:cs="Calibri"/>
            <w:sz w:val="22"/>
            <w:szCs w:val="22"/>
          </w:rPr>
          <w:t>https://benefitcomply.com/affordability-considerations/</w:t>
        </w:r>
      </w:hyperlink>
      <w:r w:rsidRPr="000B641A">
        <w:rPr>
          <w:rFonts w:ascii="Calibri" w:hAnsi="Calibri" w:cs="Calibri"/>
          <w:color w:val="212121"/>
          <w:sz w:val="22"/>
          <w:szCs w:val="22"/>
        </w:rPr>
        <w:t>.</w:t>
      </w:r>
    </w:p>
    <w:p w14:paraId="4961C844" w14:textId="77777777" w:rsidR="004F3891" w:rsidRPr="000B641A" w:rsidRDefault="004F3891" w:rsidP="006B087E">
      <w:pPr>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64"/>
        <w:gridCol w:w="990"/>
        <w:gridCol w:w="990"/>
        <w:gridCol w:w="990"/>
        <w:gridCol w:w="990"/>
        <w:gridCol w:w="990"/>
        <w:gridCol w:w="990"/>
      </w:tblGrid>
      <w:tr w:rsidR="00742FD1" w:rsidRPr="003C3CF9" w14:paraId="084DD150" w14:textId="70702B36" w:rsidTr="00F7749D">
        <w:tc>
          <w:tcPr>
            <w:tcW w:w="2808" w:type="dxa"/>
            <w:shd w:val="clear" w:color="auto" w:fill="000000"/>
          </w:tcPr>
          <w:p w14:paraId="18380BD4" w14:textId="77777777" w:rsidR="00742FD1" w:rsidRPr="00F568C1" w:rsidRDefault="00742FD1" w:rsidP="008C343C">
            <w:pPr>
              <w:rPr>
                <w:rFonts w:ascii="Calibri" w:eastAsia="Times New Roman" w:hAnsi="Calibri" w:cs="Calibri"/>
                <w:sz w:val="22"/>
                <w:szCs w:val="22"/>
              </w:rPr>
            </w:pPr>
          </w:p>
        </w:tc>
        <w:tc>
          <w:tcPr>
            <w:tcW w:w="764" w:type="dxa"/>
            <w:shd w:val="clear" w:color="auto" w:fill="D9E2F3"/>
          </w:tcPr>
          <w:p w14:paraId="392A765E"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2015</w:t>
            </w:r>
          </w:p>
        </w:tc>
        <w:tc>
          <w:tcPr>
            <w:tcW w:w="990" w:type="dxa"/>
            <w:shd w:val="clear" w:color="auto" w:fill="D9E2F3"/>
          </w:tcPr>
          <w:p w14:paraId="2D0BD063"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2016</w:t>
            </w:r>
          </w:p>
        </w:tc>
        <w:tc>
          <w:tcPr>
            <w:tcW w:w="990" w:type="dxa"/>
            <w:shd w:val="clear" w:color="auto" w:fill="D9E2F3"/>
          </w:tcPr>
          <w:p w14:paraId="39463072"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2017</w:t>
            </w:r>
          </w:p>
        </w:tc>
        <w:tc>
          <w:tcPr>
            <w:tcW w:w="990" w:type="dxa"/>
            <w:shd w:val="clear" w:color="auto" w:fill="D9E2F3"/>
          </w:tcPr>
          <w:p w14:paraId="54BD4E05"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2018</w:t>
            </w:r>
          </w:p>
        </w:tc>
        <w:tc>
          <w:tcPr>
            <w:tcW w:w="990" w:type="dxa"/>
            <w:shd w:val="clear" w:color="auto" w:fill="D9E2F3"/>
          </w:tcPr>
          <w:p w14:paraId="7D66F007"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2019</w:t>
            </w:r>
          </w:p>
        </w:tc>
        <w:tc>
          <w:tcPr>
            <w:tcW w:w="990" w:type="dxa"/>
            <w:shd w:val="clear" w:color="auto" w:fill="D9E2F3"/>
          </w:tcPr>
          <w:p w14:paraId="7113310E"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2020</w:t>
            </w:r>
          </w:p>
        </w:tc>
        <w:tc>
          <w:tcPr>
            <w:tcW w:w="990" w:type="dxa"/>
            <w:shd w:val="clear" w:color="auto" w:fill="D9E2F3"/>
          </w:tcPr>
          <w:p w14:paraId="1A36B4B9" w14:textId="05B9884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2021</w:t>
            </w:r>
          </w:p>
        </w:tc>
      </w:tr>
      <w:tr w:rsidR="00742FD1" w:rsidRPr="003C3CF9" w14:paraId="0C855E7F" w14:textId="3FBFEBA8" w:rsidTr="00F7749D">
        <w:tc>
          <w:tcPr>
            <w:tcW w:w="2808" w:type="dxa"/>
            <w:shd w:val="clear" w:color="auto" w:fill="D9E2F3"/>
          </w:tcPr>
          <w:p w14:paraId="2C639AD8" w14:textId="77777777" w:rsidR="00742FD1" w:rsidRPr="00F568C1" w:rsidRDefault="00742FD1" w:rsidP="008C343C">
            <w:pPr>
              <w:rPr>
                <w:rFonts w:ascii="Calibri" w:eastAsia="Times New Roman" w:hAnsi="Calibri" w:cs="Calibri"/>
                <w:b/>
                <w:sz w:val="22"/>
                <w:szCs w:val="22"/>
              </w:rPr>
            </w:pPr>
            <w:r w:rsidRPr="00F568C1">
              <w:rPr>
                <w:rFonts w:ascii="Calibri" w:eastAsia="Times New Roman" w:hAnsi="Calibri" w:cs="Calibri"/>
                <w:b/>
                <w:sz w:val="22"/>
                <w:szCs w:val="22"/>
              </w:rPr>
              <w:t>Affordability Percentage</w:t>
            </w:r>
          </w:p>
        </w:tc>
        <w:tc>
          <w:tcPr>
            <w:tcW w:w="764" w:type="dxa"/>
            <w:shd w:val="clear" w:color="auto" w:fill="auto"/>
          </w:tcPr>
          <w:p w14:paraId="04380D77"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9.56%</w:t>
            </w:r>
          </w:p>
        </w:tc>
        <w:tc>
          <w:tcPr>
            <w:tcW w:w="990" w:type="dxa"/>
            <w:shd w:val="clear" w:color="auto" w:fill="auto"/>
          </w:tcPr>
          <w:p w14:paraId="75693C29"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9.66%</w:t>
            </w:r>
          </w:p>
        </w:tc>
        <w:tc>
          <w:tcPr>
            <w:tcW w:w="990" w:type="dxa"/>
            <w:shd w:val="clear" w:color="auto" w:fill="auto"/>
          </w:tcPr>
          <w:p w14:paraId="6135D7FF"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9.69%</w:t>
            </w:r>
          </w:p>
        </w:tc>
        <w:tc>
          <w:tcPr>
            <w:tcW w:w="990" w:type="dxa"/>
            <w:shd w:val="clear" w:color="auto" w:fill="auto"/>
          </w:tcPr>
          <w:p w14:paraId="69AC2913"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9.56%</w:t>
            </w:r>
          </w:p>
        </w:tc>
        <w:tc>
          <w:tcPr>
            <w:tcW w:w="990" w:type="dxa"/>
          </w:tcPr>
          <w:p w14:paraId="0CB0BD22"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9.86%</w:t>
            </w:r>
          </w:p>
        </w:tc>
        <w:tc>
          <w:tcPr>
            <w:tcW w:w="990" w:type="dxa"/>
          </w:tcPr>
          <w:p w14:paraId="73548529" w14:textId="77777777"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9.78%</w:t>
            </w:r>
          </w:p>
        </w:tc>
        <w:tc>
          <w:tcPr>
            <w:tcW w:w="990" w:type="dxa"/>
          </w:tcPr>
          <w:p w14:paraId="40C06CB0" w14:textId="50EA638E" w:rsidR="00742FD1" w:rsidRPr="00F568C1" w:rsidRDefault="00742FD1" w:rsidP="008C343C">
            <w:pPr>
              <w:rPr>
                <w:rFonts w:ascii="Calibri" w:eastAsia="Times New Roman" w:hAnsi="Calibri" w:cs="Calibri"/>
                <w:sz w:val="22"/>
                <w:szCs w:val="22"/>
              </w:rPr>
            </w:pPr>
            <w:r w:rsidRPr="00F568C1">
              <w:rPr>
                <w:rFonts w:ascii="Calibri" w:eastAsia="Times New Roman" w:hAnsi="Calibri" w:cs="Calibri"/>
                <w:sz w:val="22"/>
                <w:szCs w:val="22"/>
              </w:rPr>
              <w:t>9.83%</w:t>
            </w:r>
          </w:p>
        </w:tc>
      </w:tr>
    </w:tbl>
    <w:p w14:paraId="7386F77D" w14:textId="77777777" w:rsidR="006B087E" w:rsidRPr="00A32933" w:rsidRDefault="006B087E" w:rsidP="006B087E">
      <w:pPr>
        <w:pStyle w:val="ColorfulList-Accent11"/>
        <w:rPr>
          <w:rFonts w:ascii="Calibri" w:eastAsia="Times New Roman" w:hAnsi="Calibri" w:cs="Calibri"/>
          <w:sz w:val="22"/>
          <w:szCs w:val="22"/>
        </w:rPr>
      </w:pPr>
    </w:p>
    <w:p w14:paraId="2FC8B719" w14:textId="77777777" w:rsidR="004F3891" w:rsidRDefault="004F3891" w:rsidP="006B087E">
      <w:pPr>
        <w:rPr>
          <w:rFonts w:ascii="Calibri" w:eastAsia="Times New Roman" w:hAnsi="Calibri" w:cs="Calibri"/>
          <w:b/>
          <w:sz w:val="22"/>
          <w:szCs w:val="22"/>
        </w:rPr>
      </w:pPr>
    </w:p>
    <w:p w14:paraId="4CC0625E" w14:textId="4F59B4DE" w:rsidR="006B087E" w:rsidRPr="00A32933" w:rsidRDefault="006B087E" w:rsidP="006B087E">
      <w:pPr>
        <w:rPr>
          <w:rFonts w:ascii="Calibri" w:eastAsia="Times New Roman" w:hAnsi="Calibri" w:cs="Calibri"/>
          <w:b/>
          <w:sz w:val="22"/>
          <w:szCs w:val="22"/>
        </w:rPr>
      </w:pPr>
      <w:r w:rsidRPr="00A32933">
        <w:rPr>
          <w:rFonts w:ascii="Calibri" w:eastAsia="Times New Roman" w:hAnsi="Calibri" w:cs="Calibri"/>
          <w:b/>
          <w:sz w:val="22"/>
          <w:szCs w:val="22"/>
        </w:rPr>
        <w:t>§4980H Penalties (Employer Shared Responsibility Payments</w:t>
      </w:r>
      <w:r w:rsidR="00742FD1">
        <w:rPr>
          <w:rFonts w:ascii="Calibri" w:eastAsia="Times New Roman" w:hAnsi="Calibri" w:cs="Calibri"/>
          <w:b/>
          <w:sz w:val="22"/>
          <w:szCs w:val="22"/>
        </w:rPr>
        <w:t xml:space="preserve"> (ESRPs)</w:t>
      </w:r>
      <w:r w:rsidRPr="00A32933">
        <w:rPr>
          <w:rFonts w:ascii="Calibri" w:eastAsia="Times New Roman" w:hAnsi="Calibri" w:cs="Calibri"/>
          <w:b/>
          <w:sz w:val="22"/>
          <w:szCs w:val="22"/>
        </w:rPr>
        <w:t>)</w:t>
      </w:r>
    </w:p>
    <w:p w14:paraId="0B8A869F" w14:textId="77777777" w:rsidR="006B087E" w:rsidRPr="004F3891" w:rsidRDefault="006B087E" w:rsidP="006B087E">
      <w:pPr>
        <w:rPr>
          <w:rFonts w:ascii="Calibri" w:eastAsia="Times New Roman" w:hAnsi="Calibri" w:cs="Calibri"/>
          <w:b/>
          <w:sz w:val="8"/>
          <w:szCs w:val="8"/>
        </w:rPr>
      </w:pPr>
    </w:p>
    <w:p w14:paraId="5C5B2666" w14:textId="3374D4A5" w:rsidR="006B087E" w:rsidRPr="00A32933" w:rsidRDefault="006B087E" w:rsidP="006B087E">
      <w:pPr>
        <w:numPr>
          <w:ilvl w:val="0"/>
          <w:numId w:val="35"/>
        </w:numPr>
        <w:rPr>
          <w:rFonts w:ascii="Calibri" w:eastAsia="Times New Roman" w:hAnsi="Calibri" w:cs="Calibri"/>
          <w:sz w:val="22"/>
          <w:szCs w:val="22"/>
          <w:lang w:bidi="ar-SA"/>
        </w:rPr>
      </w:pPr>
      <w:r w:rsidRPr="00A32933">
        <w:rPr>
          <w:rFonts w:ascii="Calibri" w:eastAsia="Times New Roman" w:hAnsi="Calibri" w:cs="Calibri"/>
          <w:b/>
          <w:bCs/>
          <w:sz w:val="22"/>
          <w:szCs w:val="22"/>
        </w:rPr>
        <w:t>§4980H(a)</w:t>
      </w:r>
      <w:r w:rsidRPr="00A32933">
        <w:rPr>
          <w:rFonts w:ascii="Calibri" w:eastAsia="Times New Roman" w:hAnsi="Calibri" w:cs="Calibri"/>
          <w:sz w:val="22"/>
          <w:szCs w:val="22"/>
        </w:rPr>
        <w:t xml:space="preserve"> – If the employer fails to offer minimum essential coverage (MEC) to at least 95% (or all but 5, if greater) </w:t>
      </w:r>
      <w:r w:rsidR="00742FD1">
        <w:rPr>
          <w:rFonts w:ascii="Calibri" w:eastAsia="Times New Roman" w:hAnsi="Calibri" w:cs="Calibri"/>
          <w:sz w:val="22"/>
          <w:szCs w:val="22"/>
        </w:rPr>
        <w:t xml:space="preserve">of </w:t>
      </w:r>
      <w:r w:rsidRPr="00A32933">
        <w:rPr>
          <w:rFonts w:ascii="Calibri" w:eastAsia="Times New Roman" w:hAnsi="Calibri" w:cs="Calibri"/>
          <w:sz w:val="22"/>
          <w:szCs w:val="22"/>
        </w:rPr>
        <w:t xml:space="preserve">full-time employees and their dependent children in any given month, a penalty will apply if any full-time employee enrolls through a public Exchange and qualifies for a </w:t>
      </w:r>
      <w:r w:rsidR="00742FD1">
        <w:rPr>
          <w:rFonts w:ascii="Calibri" w:eastAsia="Times New Roman" w:hAnsi="Calibri" w:cs="Calibri"/>
          <w:sz w:val="22"/>
          <w:szCs w:val="22"/>
        </w:rPr>
        <w:t>premium tax credit (or tax subsidy)</w:t>
      </w:r>
      <w:r w:rsidRPr="00A32933">
        <w:rPr>
          <w:rFonts w:ascii="Calibri" w:eastAsia="Times New Roman" w:hAnsi="Calibri" w:cs="Calibri"/>
          <w:sz w:val="22"/>
          <w:szCs w:val="22"/>
        </w:rPr>
        <w:t>. The penalty is multiplied by the total full-time employee count minus the first 30, regardless of how many employees were offered coverage.</w:t>
      </w:r>
    </w:p>
    <w:p w14:paraId="2FDD1071" w14:textId="77777777" w:rsidR="006B087E" w:rsidRPr="00A32933" w:rsidRDefault="006B087E" w:rsidP="006B087E">
      <w:pPr>
        <w:numPr>
          <w:ilvl w:val="1"/>
          <w:numId w:val="35"/>
        </w:numPr>
        <w:rPr>
          <w:rFonts w:ascii="Calibri" w:eastAsia="Times New Roman" w:hAnsi="Calibri" w:cs="Calibri"/>
          <w:sz w:val="22"/>
          <w:szCs w:val="22"/>
        </w:rPr>
      </w:pPr>
      <w:r w:rsidRPr="00A32933">
        <w:rPr>
          <w:rFonts w:ascii="Calibri" w:eastAsia="Times New Roman" w:hAnsi="Calibri" w:cs="Calibri"/>
          <w:sz w:val="22"/>
          <w:szCs w:val="22"/>
        </w:rPr>
        <w:t xml:space="preserve">Penalty calculation = (full-time employee count – 30) X §4980H(a) penalty </w:t>
      </w:r>
    </w:p>
    <w:p w14:paraId="4ECC7C6B" w14:textId="77777777" w:rsidR="006B087E" w:rsidRPr="004F3891" w:rsidRDefault="006B087E" w:rsidP="006B087E">
      <w:pPr>
        <w:pStyle w:val="ColorfulList-Accent11"/>
        <w:rPr>
          <w:rFonts w:ascii="Calibri" w:hAnsi="Calibri" w:cs="Calibri"/>
          <w:sz w:val="8"/>
          <w:szCs w:val="8"/>
        </w:rPr>
      </w:pPr>
      <w:r w:rsidRPr="00A32933">
        <w:rPr>
          <w:rFonts w:ascii="Calibri" w:hAnsi="Calibri" w:cs="Calibri"/>
          <w:sz w:val="22"/>
          <w:szCs w:val="22"/>
        </w:rPr>
        <w:t> </w:t>
      </w:r>
    </w:p>
    <w:p w14:paraId="15CDE5A6" w14:textId="23651BE6" w:rsidR="006B087E" w:rsidRPr="00A32933" w:rsidRDefault="006B087E" w:rsidP="006B087E">
      <w:pPr>
        <w:numPr>
          <w:ilvl w:val="0"/>
          <w:numId w:val="35"/>
        </w:numPr>
        <w:rPr>
          <w:rFonts w:ascii="Calibri" w:eastAsia="Times New Roman" w:hAnsi="Calibri" w:cs="Calibri"/>
          <w:sz w:val="22"/>
          <w:szCs w:val="22"/>
        </w:rPr>
      </w:pPr>
      <w:r w:rsidRPr="00A32933">
        <w:rPr>
          <w:rFonts w:ascii="Calibri" w:eastAsia="Times New Roman" w:hAnsi="Calibri" w:cs="Calibri"/>
          <w:b/>
          <w:bCs/>
          <w:sz w:val="22"/>
          <w:szCs w:val="22"/>
        </w:rPr>
        <w:t>§4980H(b)</w:t>
      </w:r>
      <w:r w:rsidRPr="00A32933">
        <w:rPr>
          <w:rFonts w:ascii="Calibri" w:eastAsia="Times New Roman" w:hAnsi="Calibri" w:cs="Calibri"/>
          <w:sz w:val="22"/>
          <w:szCs w:val="22"/>
        </w:rPr>
        <w:t xml:space="preserve"> – If the employer satisfies §4980H(a) requirements, the employer may still owe a penalty for any full-time employee </w:t>
      </w:r>
      <w:r>
        <w:rPr>
          <w:rFonts w:ascii="Calibri" w:eastAsia="Times New Roman" w:hAnsi="Calibri" w:cs="Calibri"/>
          <w:sz w:val="22"/>
          <w:szCs w:val="22"/>
        </w:rPr>
        <w:t>who</w:t>
      </w:r>
      <w:r w:rsidRPr="00A32933">
        <w:rPr>
          <w:rFonts w:ascii="Calibri" w:eastAsia="Times New Roman" w:hAnsi="Calibri" w:cs="Calibri"/>
          <w:sz w:val="22"/>
          <w:szCs w:val="22"/>
        </w:rPr>
        <w:t xml:space="preserve"> is not offered minimum</w:t>
      </w:r>
      <w:r>
        <w:rPr>
          <w:rFonts w:ascii="Calibri" w:eastAsia="Times New Roman" w:hAnsi="Calibri" w:cs="Calibri"/>
          <w:sz w:val="22"/>
          <w:szCs w:val="22"/>
        </w:rPr>
        <w:t>-</w:t>
      </w:r>
      <w:r w:rsidRPr="00A32933">
        <w:rPr>
          <w:rFonts w:ascii="Calibri" w:eastAsia="Times New Roman" w:hAnsi="Calibri" w:cs="Calibri"/>
          <w:sz w:val="22"/>
          <w:szCs w:val="22"/>
        </w:rPr>
        <w:t xml:space="preserve">value, affordable coverage if that employee enrolls through a public Exchange and qualifies for a </w:t>
      </w:r>
      <w:r w:rsidR="0005132B">
        <w:rPr>
          <w:rFonts w:ascii="Calibri" w:eastAsia="Times New Roman" w:hAnsi="Calibri" w:cs="Calibri"/>
          <w:sz w:val="22"/>
          <w:szCs w:val="22"/>
        </w:rPr>
        <w:t>premium tax credit</w:t>
      </w:r>
      <w:r w:rsidRPr="00A32933">
        <w:rPr>
          <w:rFonts w:ascii="Calibri" w:eastAsia="Times New Roman" w:hAnsi="Calibri" w:cs="Calibri"/>
          <w:sz w:val="22"/>
          <w:szCs w:val="22"/>
        </w:rPr>
        <w:t>. This penalty applies on a per</w:t>
      </w:r>
      <w:r>
        <w:rPr>
          <w:rFonts w:ascii="Calibri" w:eastAsia="Times New Roman" w:hAnsi="Calibri" w:cs="Calibri"/>
          <w:sz w:val="22"/>
          <w:szCs w:val="22"/>
        </w:rPr>
        <w:t>-</w:t>
      </w:r>
      <w:r w:rsidRPr="00A32933">
        <w:rPr>
          <w:rFonts w:ascii="Calibri" w:eastAsia="Times New Roman" w:hAnsi="Calibri" w:cs="Calibri"/>
          <w:sz w:val="22"/>
          <w:szCs w:val="22"/>
        </w:rPr>
        <w:t>employee basis rather than against the total full-time employee count. </w:t>
      </w:r>
    </w:p>
    <w:p w14:paraId="28011776" w14:textId="1AC5AE4D" w:rsidR="004F3891" w:rsidRPr="00FD30DF" w:rsidRDefault="006B087E" w:rsidP="004F3891">
      <w:pPr>
        <w:numPr>
          <w:ilvl w:val="1"/>
          <w:numId w:val="35"/>
        </w:numPr>
        <w:rPr>
          <w:rFonts w:ascii="Calibri" w:eastAsia="Times New Roman" w:hAnsi="Calibri" w:cs="Calibri"/>
          <w:sz w:val="22"/>
          <w:szCs w:val="22"/>
        </w:rPr>
      </w:pPr>
      <w:r w:rsidRPr="00A32933">
        <w:rPr>
          <w:rFonts w:ascii="Calibri" w:eastAsia="Times New Roman" w:hAnsi="Calibri" w:cs="Calibri"/>
          <w:sz w:val="22"/>
          <w:szCs w:val="22"/>
        </w:rPr>
        <w:t>Penalty calculation = §4980H(b) for each full-time employee who is not offered minimum</w:t>
      </w:r>
      <w:r>
        <w:rPr>
          <w:rFonts w:ascii="Calibri" w:eastAsia="Times New Roman" w:hAnsi="Calibri" w:cs="Calibri"/>
          <w:sz w:val="22"/>
          <w:szCs w:val="22"/>
        </w:rPr>
        <w:t>-</w:t>
      </w:r>
      <w:r w:rsidRPr="00A32933">
        <w:rPr>
          <w:rFonts w:ascii="Calibri" w:eastAsia="Times New Roman" w:hAnsi="Calibri" w:cs="Calibri"/>
          <w:sz w:val="22"/>
          <w:szCs w:val="22"/>
        </w:rPr>
        <w:t>value, affordable coverage who enrolls through a public Exchange and qualifies for a tax subsidy</w:t>
      </w:r>
      <w:r>
        <w:rPr>
          <w:rFonts w:ascii="Calibri" w:eastAsia="Times New Roman" w:hAnsi="Calibri" w:cs="Calibri"/>
          <w:sz w:val="22"/>
          <w:szCs w:val="22"/>
        </w:rPr>
        <w:t>.</w:t>
      </w:r>
    </w:p>
    <w:p w14:paraId="06434B02" w14:textId="77777777" w:rsidR="006B087E" w:rsidRPr="00A32933" w:rsidRDefault="006B087E" w:rsidP="006B087E">
      <w:pPr>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62"/>
        <w:gridCol w:w="900"/>
        <w:gridCol w:w="900"/>
        <w:gridCol w:w="1507"/>
        <w:gridCol w:w="1507"/>
        <w:gridCol w:w="1507"/>
        <w:gridCol w:w="1507"/>
      </w:tblGrid>
      <w:tr w:rsidR="00F568C1" w:rsidRPr="003C3CF9" w14:paraId="04C24DA3" w14:textId="0D368284" w:rsidTr="00F568C1">
        <w:tc>
          <w:tcPr>
            <w:tcW w:w="1136" w:type="dxa"/>
            <w:shd w:val="clear" w:color="auto" w:fill="000000"/>
          </w:tcPr>
          <w:p w14:paraId="5EA12C9E" w14:textId="77777777" w:rsidR="0005132B" w:rsidRPr="00F568C1" w:rsidRDefault="0005132B" w:rsidP="008C343C">
            <w:pPr>
              <w:rPr>
                <w:rFonts w:ascii="Calibri" w:eastAsia="Times New Roman" w:hAnsi="Calibri" w:cs="Calibri"/>
                <w:sz w:val="22"/>
                <w:szCs w:val="22"/>
              </w:rPr>
            </w:pPr>
          </w:p>
        </w:tc>
        <w:tc>
          <w:tcPr>
            <w:tcW w:w="862" w:type="dxa"/>
            <w:shd w:val="clear" w:color="auto" w:fill="D9E2F3"/>
          </w:tcPr>
          <w:p w14:paraId="68399FA2"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2015</w:t>
            </w:r>
          </w:p>
        </w:tc>
        <w:tc>
          <w:tcPr>
            <w:tcW w:w="900" w:type="dxa"/>
            <w:shd w:val="clear" w:color="auto" w:fill="D9E2F3"/>
          </w:tcPr>
          <w:p w14:paraId="05ADFBD2"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2016</w:t>
            </w:r>
          </w:p>
        </w:tc>
        <w:tc>
          <w:tcPr>
            <w:tcW w:w="900" w:type="dxa"/>
            <w:shd w:val="clear" w:color="auto" w:fill="D9E2F3"/>
          </w:tcPr>
          <w:p w14:paraId="7EA26554"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2017</w:t>
            </w:r>
          </w:p>
        </w:tc>
        <w:tc>
          <w:tcPr>
            <w:tcW w:w="1440" w:type="dxa"/>
            <w:shd w:val="clear" w:color="auto" w:fill="D9E2F3"/>
          </w:tcPr>
          <w:p w14:paraId="371630A4"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2018</w:t>
            </w:r>
          </w:p>
        </w:tc>
        <w:tc>
          <w:tcPr>
            <w:tcW w:w="1440" w:type="dxa"/>
            <w:shd w:val="clear" w:color="auto" w:fill="D9E2F3"/>
          </w:tcPr>
          <w:p w14:paraId="6954D76C"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2019</w:t>
            </w:r>
          </w:p>
        </w:tc>
        <w:tc>
          <w:tcPr>
            <w:tcW w:w="1440" w:type="dxa"/>
            <w:shd w:val="clear" w:color="auto" w:fill="D9E2F3"/>
          </w:tcPr>
          <w:p w14:paraId="76D92DE3"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2020</w:t>
            </w:r>
          </w:p>
        </w:tc>
        <w:tc>
          <w:tcPr>
            <w:tcW w:w="1440" w:type="dxa"/>
            <w:shd w:val="clear" w:color="auto" w:fill="D9E2F3"/>
          </w:tcPr>
          <w:p w14:paraId="7F39AF6E" w14:textId="6B5F012F"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2021</w:t>
            </w:r>
          </w:p>
        </w:tc>
      </w:tr>
      <w:tr w:rsidR="00F568C1" w:rsidRPr="003C3CF9" w14:paraId="1E2A8928" w14:textId="630C18FA" w:rsidTr="00F568C1">
        <w:tc>
          <w:tcPr>
            <w:tcW w:w="1136" w:type="dxa"/>
            <w:shd w:val="clear" w:color="auto" w:fill="D9E2F3"/>
          </w:tcPr>
          <w:p w14:paraId="2D29168C"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§4980H(a)</w:t>
            </w:r>
          </w:p>
        </w:tc>
        <w:tc>
          <w:tcPr>
            <w:tcW w:w="862" w:type="dxa"/>
            <w:shd w:val="clear" w:color="auto" w:fill="auto"/>
          </w:tcPr>
          <w:p w14:paraId="1C52B268" w14:textId="7D754874"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$2,080 </w:t>
            </w:r>
          </w:p>
        </w:tc>
        <w:tc>
          <w:tcPr>
            <w:tcW w:w="900" w:type="dxa"/>
            <w:shd w:val="clear" w:color="auto" w:fill="auto"/>
          </w:tcPr>
          <w:p w14:paraId="2B930671" w14:textId="740FC19C"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$2,160 </w:t>
            </w:r>
          </w:p>
        </w:tc>
        <w:tc>
          <w:tcPr>
            <w:tcW w:w="900" w:type="dxa"/>
            <w:shd w:val="clear" w:color="auto" w:fill="auto"/>
          </w:tcPr>
          <w:p w14:paraId="426ADB8B" w14:textId="1D427324"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$2,260 </w:t>
            </w:r>
          </w:p>
        </w:tc>
        <w:tc>
          <w:tcPr>
            <w:tcW w:w="1440" w:type="dxa"/>
            <w:shd w:val="clear" w:color="auto" w:fill="auto"/>
          </w:tcPr>
          <w:p w14:paraId="187529B5" w14:textId="77777777"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$2,320 ($193.33/mo.)</w:t>
            </w:r>
          </w:p>
        </w:tc>
        <w:tc>
          <w:tcPr>
            <w:tcW w:w="1440" w:type="dxa"/>
          </w:tcPr>
          <w:p w14:paraId="61CDBFCC" w14:textId="77777777"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$2,500 ($208.33/mo.)</w:t>
            </w:r>
          </w:p>
        </w:tc>
        <w:tc>
          <w:tcPr>
            <w:tcW w:w="1440" w:type="dxa"/>
          </w:tcPr>
          <w:p w14:paraId="2D43D40C" w14:textId="77777777"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$2,570 ($214.16/mo.)</w:t>
            </w:r>
          </w:p>
        </w:tc>
        <w:tc>
          <w:tcPr>
            <w:tcW w:w="1440" w:type="dxa"/>
          </w:tcPr>
          <w:p w14:paraId="62271F23" w14:textId="55D5DE3F" w:rsidR="0005132B" w:rsidRPr="00F568C1" w:rsidRDefault="00902581" w:rsidP="008C343C">
            <w:pPr>
              <w:rPr>
                <w:rFonts w:ascii="Calibri" w:eastAsia="Times New Roman" w:hAnsi="Calibri" w:cs="Calibri"/>
                <w:sz w:val="22"/>
                <w:szCs w:val="22"/>
              </w:rPr>
            </w:pPr>
            <w:r w:rsidRPr="00F568C1">
              <w:rPr>
                <w:rFonts w:ascii="Calibri" w:eastAsia="Times New Roman" w:hAnsi="Calibri" w:cs="Calibri"/>
                <w:sz w:val="22"/>
                <w:szCs w:val="22"/>
              </w:rPr>
              <w:t>$2,700 ($225/mo.)</w:t>
            </w:r>
          </w:p>
        </w:tc>
      </w:tr>
      <w:tr w:rsidR="00F568C1" w:rsidRPr="003C3CF9" w14:paraId="472DF9A8" w14:textId="11E26646" w:rsidTr="00F568C1">
        <w:tc>
          <w:tcPr>
            <w:tcW w:w="1136" w:type="dxa"/>
            <w:shd w:val="clear" w:color="auto" w:fill="D9E2F3"/>
          </w:tcPr>
          <w:p w14:paraId="60DC913B" w14:textId="77777777" w:rsidR="0005132B" w:rsidRPr="00F568C1" w:rsidRDefault="0005132B" w:rsidP="008C343C">
            <w:pPr>
              <w:rPr>
                <w:rFonts w:ascii="Calibri" w:eastAsia="Times New Roman" w:hAnsi="Calibri" w:cs="Calibri"/>
                <w:b/>
                <w:sz w:val="22"/>
                <w:szCs w:val="22"/>
              </w:rPr>
            </w:pPr>
            <w:r w:rsidRPr="00F568C1">
              <w:rPr>
                <w:rFonts w:ascii="Calibri" w:eastAsia="Times New Roman" w:hAnsi="Calibri" w:cs="Calibri"/>
                <w:b/>
                <w:sz w:val="22"/>
                <w:szCs w:val="22"/>
              </w:rPr>
              <w:t>§4980H(b)</w:t>
            </w:r>
          </w:p>
        </w:tc>
        <w:tc>
          <w:tcPr>
            <w:tcW w:w="862" w:type="dxa"/>
            <w:shd w:val="clear" w:color="auto" w:fill="auto"/>
          </w:tcPr>
          <w:p w14:paraId="08BC6C23" w14:textId="2C92A593"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$3,120 </w:t>
            </w:r>
          </w:p>
        </w:tc>
        <w:tc>
          <w:tcPr>
            <w:tcW w:w="900" w:type="dxa"/>
            <w:shd w:val="clear" w:color="auto" w:fill="auto"/>
          </w:tcPr>
          <w:p w14:paraId="3F8D3D2D" w14:textId="0D80ECF9"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$3,240 </w:t>
            </w:r>
          </w:p>
        </w:tc>
        <w:tc>
          <w:tcPr>
            <w:tcW w:w="900" w:type="dxa"/>
            <w:shd w:val="clear" w:color="auto" w:fill="auto"/>
          </w:tcPr>
          <w:p w14:paraId="2870C59C" w14:textId="4E75A869"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 xml:space="preserve">$3,390 </w:t>
            </w:r>
          </w:p>
        </w:tc>
        <w:tc>
          <w:tcPr>
            <w:tcW w:w="1440" w:type="dxa"/>
            <w:shd w:val="clear" w:color="auto" w:fill="auto"/>
          </w:tcPr>
          <w:p w14:paraId="0959B87C" w14:textId="77777777"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$3,480 ($290/mo.)</w:t>
            </w:r>
          </w:p>
        </w:tc>
        <w:tc>
          <w:tcPr>
            <w:tcW w:w="1440" w:type="dxa"/>
          </w:tcPr>
          <w:p w14:paraId="5207131C" w14:textId="03FD74D0"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$3,750 ($312.50/mo.</w:t>
            </w:r>
            <w:r w:rsidR="00F568C1" w:rsidRPr="00F568C1">
              <w:rPr>
                <w:rFonts w:ascii="Calibri" w:eastAsia="Times New Roman" w:hAnsi="Calibri" w:cs="Calibri"/>
                <w:sz w:val="22"/>
                <w:szCs w:val="22"/>
              </w:rPr>
              <w:t>)</w:t>
            </w:r>
          </w:p>
        </w:tc>
        <w:tc>
          <w:tcPr>
            <w:tcW w:w="1440" w:type="dxa"/>
          </w:tcPr>
          <w:p w14:paraId="7474FD7F" w14:textId="77777777" w:rsidR="0005132B" w:rsidRPr="00F568C1" w:rsidRDefault="0005132B" w:rsidP="008C343C">
            <w:pPr>
              <w:rPr>
                <w:rFonts w:ascii="Calibri" w:eastAsia="Times New Roman" w:hAnsi="Calibri" w:cs="Calibri"/>
                <w:sz w:val="22"/>
                <w:szCs w:val="22"/>
              </w:rPr>
            </w:pPr>
            <w:r w:rsidRPr="00F568C1">
              <w:rPr>
                <w:rFonts w:ascii="Calibri" w:eastAsia="Times New Roman" w:hAnsi="Calibri" w:cs="Calibri"/>
                <w:sz w:val="22"/>
                <w:szCs w:val="22"/>
              </w:rPr>
              <w:t>$3,860 ($321.66/mo.)</w:t>
            </w:r>
          </w:p>
        </w:tc>
        <w:tc>
          <w:tcPr>
            <w:tcW w:w="1440" w:type="dxa"/>
          </w:tcPr>
          <w:p w14:paraId="357A35C4" w14:textId="3A862422" w:rsidR="0005132B" w:rsidRPr="00F568C1" w:rsidRDefault="00902581" w:rsidP="008C343C">
            <w:pPr>
              <w:rPr>
                <w:rFonts w:ascii="Calibri" w:eastAsia="Times New Roman" w:hAnsi="Calibri" w:cs="Calibri"/>
                <w:sz w:val="22"/>
                <w:szCs w:val="22"/>
              </w:rPr>
            </w:pPr>
            <w:r w:rsidRPr="00F568C1">
              <w:rPr>
                <w:rFonts w:ascii="Calibri" w:eastAsia="Times New Roman" w:hAnsi="Calibri" w:cs="Calibri"/>
                <w:sz w:val="22"/>
                <w:szCs w:val="22"/>
              </w:rPr>
              <w:t>$4,060 ($338.33/mo.)</w:t>
            </w:r>
          </w:p>
        </w:tc>
      </w:tr>
    </w:tbl>
    <w:p w14:paraId="49CF7A12" w14:textId="6C504BEB" w:rsidR="006B087E" w:rsidRPr="008C376C" w:rsidRDefault="006B087E" w:rsidP="006B087E">
      <w:pPr>
        <w:rPr>
          <w:rFonts w:ascii="Calibri" w:hAnsi="Calibri" w:cs="Calibri"/>
          <w:i/>
          <w:iCs/>
          <w:sz w:val="22"/>
          <w:szCs w:val="22"/>
        </w:rPr>
      </w:pPr>
      <w:r w:rsidRPr="008C376C">
        <w:rPr>
          <w:rFonts w:ascii="Calibri" w:hAnsi="Calibri" w:cs="Calibri"/>
          <w:i/>
          <w:iCs/>
          <w:sz w:val="22"/>
          <w:szCs w:val="22"/>
        </w:rPr>
        <w:lastRenderedPageBreak/>
        <w:t>Penalties apply on a monthly basi</w:t>
      </w:r>
      <w:r w:rsidR="008C376C">
        <w:rPr>
          <w:rFonts w:ascii="Calibri" w:hAnsi="Calibri" w:cs="Calibri"/>
          <w:i/>
          <w:iCs/>
          <w:sz w:val="22"/>
          <w:szCs w:val="22"/>
        </w:rPr>
        <w:t>s</w:t>
      </w:r>
      <w:r w:rsidRPr="008C376C">
        <w:rPr>
          <w:rFonts w:ascii="Calibri" w:hAnsi="Calibri" w:cs="Calibri"/>
          <w:i/>
          <w:iCs/>
          <w:sz w:val="22"/>
          <w:szCs w:val="22"/>
        </w:rPr>
        <w:t xml:space="preserve">, </w:t>
      </w:r>
      <w:r w:rsidR="008C376C">
        <w:rPr>
          <w:rFonts w:ascii="Calibri" w:hAnsi="Calibri" w:cs="Calibri"/>
          <w:i/>
          <w:iCs/>
          <w:sz w:val="22"/>
          <w:szCs w:val="22"/>
        </w:rPr>
        <w:t xml:space="preserve">so </w:t>
      </w:r>
      <w:r w:rsidRPr="008C376C">
        <w:rPr>
          <w:rFonts w:ascii="Calibri" w:hAnsi="Calibri" w:cs="Calibri"/>
          <w:i/>
          <w:iCs/>
          <w:sz w:val="22"/>
          <w:szCs w:val="22"/>
        </w:rPr>
        <w:t xml:space="preserve">1/12 of the annual penalty </w:t>
      </w:r>
      <w:r w:rsidR="004F3891">
        <w:rPr>
          <w:rFonts w:ascii="Calibri" w:hAnsi="Calibri" w:cs="Calibri"/>
          <w:i/>
          <w:iCs/>
          <w:sz w:val="22"/>
          <w:szCs w:val="22"/>
        </w:rPr>
        <w:t xml:space="preserve">will apply </w:t>
      </w:r>
      <w:r w:rsidRPr="008C376C">
        <w:rPr>
          <w:rFonts w:ascii="Calibri" w:hAnsi="Calibri" w:cs="Calibri"/>
          <w:i/>
          <w:iCs/>
          <w:sz w:val="22"/>
          <w:szCs w:val="22"/>
        </w:rPr>
        <w:t xml:space="preserve">for each month that the employer fails to satisfy §4980H requirements and a full-time employee is enrolled through a public Exchange and qualifies for a </w:t>
      </w:r>
      <w:r w:rsidR="00902581">
        <w:rPr>
          <w:rFonts w:ascii="Calibri" w:hAnsi="Calibri" w:cs="Calibri"/>
          <w:i/>
          <w:iCs/>
          <w:sz w:val="22"/>
          <w:szCs w:val="22"/>
        </w:rPr>
        <w:t>premium tax credit</w:t>
      </w:r>
      <w:r w:rsidRPr="008C376C">
        <w:rPr>
          <w:rFonts w:ascii="Calibri" w:hAnsi="Calibri" w:cs="Calibri"/>
          <w:i/>
          <w:iCs/>
          <w:sz w:val="22"/>
          <w:szCs w:val="22"/>
        </w:rPr>
        <w:t xml:space="preserve">.  </w:t>
      </w:r>
    </w:p>
    <w:p w14:paraId="378AEECA" w14:textId="77777777" w:rsidR="006B087E" w:rsidRPr="00A32933" w:rsidRDefault="006B087E" w:rsidP="006B087E">
      <w:pPr>
        <w:rPr>
          <w:rFonts w:ascii="Calibri" w:hAnsi="Calibri" w:cs="Calibri"/>
          <w:sz w:val="22"/>
          <w:szCs w:val="22"/>
        </w:rPr>
      </w:pPr>
    </w:p>
    <w:p w14:paraId="67F78496" w14:textId="20B2E057" w:rsidR="006B087E" w:rsidRPr="00A32933" w:rsidRDefault="006B087E" w:rsidP="006B087E">
      <w:pPr>
        <w:rPr>
          <w:rFonts w:ascii="Calibri" w:hAnsi="Calibri" w:cs="Calibri"/>
          <w:sz w:val="22"/>
          <w:szCs w:val="22"/>
        </w:rPr>
      </w:pPr>
      <w:r w:rsidRPr="00A32933">
        <w:rPr>
          <w:rFonts w:ascii="Calibri" w:hAnsi="Calibri" w:cs="Calibri"/>
          <w:sz w:val="22"/>
          <w:szCs w:val="22"/>
        </w:rPr>
        <w:t>An employer will not be subject to both (a) and (b) penalties in any one month. If the (a) penalty applies, that is the maximum penalty that could be assessed. However, if the employer is in compliance with</w:t>
      </w:r>
      <w:r w:rsidR="00902581">
        <w:rPr>
          <w:rFonts w:ascii="Calibri" w:hAnsi="Calibri" w:cs="Calibri"/>
          <w:sz w:val="22"/>
          <w:szCs w:val="22"/>
        </w:rPr>
        <w:t xml:space="preserve"> the</w:t>
      </w:r>
      <w:r w:rsidRPr="00A32933">
        <w:rPr>
          <w:rFonts w:ascii="Calibri" w:hAnsi="Calibri" w:cs="Calibri"/>
          <w:sz w:val="22"/>
          <w:szCs w:val="22"/>
        </w:rPr>
        <w:t xml:space="preserve"> (a) requirements and fails to satisfy</w:t>
      </w:r>
      <w:r w:rsidR="00902581">
        <w:rPr>
          <w:rFonts w:ascii="Calibri" w:hAnsi="Calibri" w:cs="Calibri"/>
          <w:sz w:val="22"/>
          <w:szCs w:val="22"/>
        </w:rPr>
        <w:t xml:space="preserve"> the</w:t>
      </w:r>
      <w:r w:rsidRPr="00A32933">
        <w:rPr>
          <w:rFonts w:ascii="Calibri" w:hAnsi="Calibri" w:cs="Calibri"/>
          <w:sz w:val="22"/>
          <w:szCs w:val="22"/>
        </w:rPr>
        <w:t xml:space="preserve"> (b) requirements, there may be a penalty under (b).</w:t>
      </w:r>
    </w:p>
    <w:p w14:paraId="1DA65A17" w14:textId="4CEDBF11" w:rsidR="006B087E" w:rsidRDefault="006B087E" w:rsidP="006B087E">
      <w:pPr>
        <w:rPr>
          <w:rFonts w:ascii="Calibri" w:hAnsi="Calibri" w:cs="Calibri"/>
          <w:sz w:val="22"/>
          <w:szCs w:val="22"/>
        </w:rPr>
      </w:pPr>
    </w:p>
    <w:p w14:paraId="57C7C7AA" w14:textId="77777777" w:rsidR="004F3891" w:rsidRPr="00A32933" w:rsidRDefault="004F3891" w:rsidP="006B087E">
      <w:pPr>
        <w:rPr>
          <w:rFonts w:ascii="Calibri" w:hAnsi="Calibri" w:cs="Calibri"/>
          <w:sz w:val="22"/>
          <w:szCs w:val="22"/>
        </w:rPr>
      </w:pPr>
    </w:p>
    <w:p w14:paraId="11DAF7E7" w14:textId="77777777" w:rsidR="006B087E" w:rsidRPr="00A32933" w:rsidRDefault="006B087E" w:rsidP="006B087E">
      <w:pPr>
        <w:rPr>
          <w:rFonts w:ascii="Calibri" w:hAnsi="Calibri" w:cs="Calibri"/>
          <w:b/>
          <w:sz w:val="22"/>
          <w:szCs w:val="22"/>
        </w:rPr>
      </w:pPr>
      <w:r w:rsidRPr="00A32933">
        <w:rPr>
          <w:rFonts w:ascii="Calibri" w:hAnsi="Calibri" w:cs="Calibri"/>
          <w:b/>
          <w:sz w:val="22"/>
          <w:szCs w:val="22"/>
        </w:rPr>
        <w:t>Reporting and Reconciliation</w:t>
      </w:r>
    </w:p>
    <w:p w14:paraId="34D3EAC0" w14:textId="253D8804" w:rsidR="004F3891" w:rsidRDefault="006B087E" w:rsidP="006B087E">
      <w:pPr>
        <w:rPr>
          <w:rFonts w:ascii="Calibri" w:hAnsi="Calibri" w:cs="Calibri"/>
          <w:sz w:val="22"/>
          <w:szCs w:val="22"/>
        </w:rPr>
      </w:pPr>
      <w:r>
        <w:rPr>
          <w:rFonts w:ascii="Calibri" w:hAnsi="Calibri" w:cs="Calibri"/>
          <w:sz w:val="22"/>
          <w:szCs w:val="22"/>
        </w:rPr>
        <w:t xml:space="preserve">ALEs are required to self-report to the IRS whether </w:t>
      </w:r>
      <w:r>
        <w:rPr>
          <w:sz w:val="22"/>
          <w:szCs w:val="22"/>
        </w:rPr>
        <w:t>§</w:t>
      </w:r>
      <w:r>
        <w:rPr>
          <w:rFonts w:ascii="Calibri" w:hAnsi="Calibri" w:cs="Calibri"/>
          <w:sz w:val="22"/>
          <w:szCs w:val="22"/>
        </w:rPr>
        <w:t>4980H requirements were met for the calendar year. The reporting is done via a Form 1094-C and a Form 1095-C for each employee who was full time for at least one month. The ALE indicates whether MEC was offered to 95% or more of full-time employees on Form 1094-C (Part III, Column (a)). Specific offer of coverage information for each full-time employee, including information about whether the offer provided minimum value and was affordable, is reported on Lines 14 through 16 of Form 1095-C.</w:t>
      </w:r>
      <w:r w:rsidR="008C376C">
        <w:rPr>
          <w:rFonts w:ascii="Calibri" w:hAnsi="Calibri" w:cs="Calibri"/>
          <w:sz w:val="22"/>
          <w:szCs w:val="22"/>
        </w:rPr>
        <w:t xml:space="preserve"> Employers who fail to report timely, correct information to the IRS and provide copies of Form 1095-Cs to employees may face penalties of up to $2</w:t>
      </w:r>
      <w:r w:rsidR="00902581">
        <w:rPr>
          <w:rFonts w:ascii="Calibri" w:hAnsi="Calibri" w:cs="Calibri"/>
          <w:sz w:val="22"/>
          <w:szCs w:val="22"/>
        </w:rPr>
        <w:t>8</w:t>
      </w:r>
      <w:r w:rsidR="008C376C">
        <w:rPr>
          <w:rFonts w:ascii="Calibri" w:hAnsi="Calibri" w:cs="Calibri"/>
          <w:sz w:val="22"/>
          <w:szCs w:val="22"/>
        </w:rPr>
        <w:t>0/form.</w:t>
      </w:r>
      <w:r w:rsidR="004F3891">
        <w:rPr>
          <w:rFonts w:ascii="Calibri" w:hAnsi="Calibri" w:cs="Calibri"/>
          <w:sz w:val="22"/>
          <w:szCs w:val="22"/>
        </w:rPr>
        <w:t xml:space="preserve"> See more detail on employer reporting in our guide - </w:t>
      </w:r>
      <w:hyperlink r:id="rId11" w:history="1">
        <w:r w:rsidR="004F3891" w:rsidRPr="0073284E">
          <w:rPr>
            <w:rStyle w:val="Hyperlink"/>
            <w:rFonts w:ascii="Calibri" w:hAnsi="Calibri" w:cs="Calibri"/>
            <w:sz w:val="22"/>
            <w:szCs w:val="22"/>
          </w:rPr>
          <w:t>https://www.benefitcomply.com/resources/wp-content/uploads/2020/11/EmployerReportingGuide_Nov2020.pdf</w:t>
        </w:r>
      </w:hyperlink>
    </w:p>
    <w:p w14:paraId="7AA44D50" w14:textId="77777777" w:rsidR="006B087E" w:rsidRDefault="006B087E" w:rsidP="006B087E">
      <w:pPr>
        <w:rPr>
          <w:rFonts w:ascii="Calibri" w:hAnsi="Calibri" w:cs="Calibri"/>
          <w:sz w:val="22"/>
          <w:szCs w:val="22"/>
        </w:rPr>
      </w:pPr>
    </w:p>
    <w:p w14:paraId="0C36F18C" w14:textId="474171A1" w:rsidR="006B087E" w:rsidRDefault="006B087E" w:rsidP="006B087E">
      <w:pPr>
        <w:rPr>
          <w:rFonts w:ascii="Calibri" w:hAnsi="Calibri" w:cs="Calibri"/>
          <w:sz w:val="22"/>
          <w:szCs w:val="22"/>
        </w:rPr>
      </w:pPr>
      <w:r>
        <w:rPr>
          <w:rFonts w:ascii="Calibri" w:hAnsi="Calibri" w:cs="Calibri"/>
          <w:sz w:val="22"/>
          <w:szCs w:val="22"/>
        </w:rPr>
        <w:t>The IRS then reconciles the employer reporting with personal tax returns and data from the public Exchanges to determine which ALEs may owe penalties</w:t>
      </w:r>
      <w:r w:rsidRPr="00A32933">
        <w:rPr>
          <w:rFonts w:ascii="Calibri" w:hAnsi="Calibri" w:cs="Calibri"/>
          <w:sz w:val="22"/>
          <w:szCs w:val="22"/>
        </w:rPr>
        <w:t>.</w:t>
      </w:r>
      <w:r>
        <w:rPr>
          <w:rFonts w:ascii="Calibri" w:hAnsi="Calibri" w:cs="Calibri"/>
          <w:sz w:val="22"/>
          <w:szCs w:val="22"/>
        </w:rPr>
        <w:t xml:space="preserve"> If it appears that an ALE owes penalties, the ALE will receive a Letter 226J from the IRS.</w:t>
      </w:r>
      <w:r w:rsidRPr="00A32933">
        <w:rPr>
          <w:rFonts w:ascii="Calibri" w:hAnsi="Calibri" w:cs="Calibri"/>
          <w:sz w:val="22"/>
          <w:szCs w:val="22"/>
        </w:rPr>
        <w:t> </w:t>
      </w:r>
      <w:r>
        <w:rPr>
          <w:rFonts w:ascii="Calibri" w:hAnsi="Calibri" w:cs="Calibri"/>
          <w:sz w:val="22"/>
          <w:szCs w:val="22"/>
        </w:rPr>
        <w:t xml:space="preserve">More information about the IRS’ collection process via Letter 226J may be found at </w:t>
      </w:r>
      <w:hyperlink r:id="rId12" w:history="1">
        <w:r w:rsidR="00902581" w:rsidRPr="0073284E">
          <w:rPr>
            <w:rStyle w:val="Hyperlink"/>
            <w:rFonts w:ascii="Calibri" w:hAnsi="Calibri" w:cs="Calibri"/>
            <w:sz w:val="22"/>
            <w:szCs w:val="22"/>
          </w:rPr>
          <w:t>https://www.irs.gov/individuals/understanding-your-letter-226-j</w:t>
        </w:r>
      </w:hyperlink>
      <w:r w:rsidR="00902581">
        <w:rPr>
          <w:rFonts w:ascii="Calibri" w:hAnsi="Calibri" w:cs="Calibri"/>
          <w:sz w:val="22"/>
          <w:szCs w:val="22"/>
        </w:rPr>
        <w:t>.</w:t>
      </w:r>
      <w:r w:rsidR="004F3891">
        <w:rPr>
          <w:rFonts w:ascii="Calibri" w:hAnsi="Calibri" w:cs="Calibri"/>
          <w:sz w:val="22"/>
          <w:szCs w:val="22"/>
        </w:rPr>
        <w:t xml:space="preserve"> For assistance in appealing a proposed ESRP in a Letter 226J, see here - </w:t>
      </w:r>
      <w:hyperlink r:id="rId13" w:history="1">
        <w:r w:rsidR="004F3891" w:rsidRPr="0073284E">
          <w:rPr>
            <w:rStyle w:val="Hyperlink"/>
            <w:rFonts w:ascii="Calibri" w:hAnsi="Calibri" w:cs="Calibri"/>
            <w:sz w:val="22"/>
            <w:szCs w:val="22"/>
          </w:rPr>
          <w:t>https://benefitcomply.com/irspenaltysupport/</w:t>
        </w:r>
      </w:hyperlink>
      <w:r w:rsidR="004F3891">
        <w:rPr>
          <w:rFonts w:ascii="Calibri" w:hAnsi="Calibri" w:cs="Calibri"/>
          <w:sz w:val="22"/>
          <w:szCs w:val="22"/>
        </w:rPr>
        <w:t>.</w:t>
      </w:r>
    </w:p>
    <w:p w14:paraId="19F56B4B" w14:textId="77777777" w:rsidR="004F3891" w:rsidRDefault="004F3891" w:rsidP="006B087E">
      <w:pPr>
        <w:rPr>
          <w:rFonts w:ascii="Calibri" w:hAnsi="Calibri" w:cs="Calibri"/>
          <w:sz w:val="22"/>
          <w:szCs w:val="22"/>
        </w:rPr>
      </w:pPr>
    </w:p>
    <w:p w14:paraId="52AD9D30" w14:textId="77777777" w:rsidR="00902581" w:rsidRDefault="00902581" w:rsidP="006B087E">
      <w:pPr>
        <w:rPr>
          <w:rFonts w:ascii="Calibri" w:hAnsi="Calibri" w:cs="Calibri"/>
          <w:sz w:val="22"/>
          <w:szCs w:val="22"/>
        </w:rPr>
      </w:pPr>
    </w:p>
    <w:p w14:paraId="32DD4886" w14:textId="77777777" w:rsidR="006B087E" w:rsidRPr="00A32933" w:rsidRDefault="006B087E" w:rsidP="006B087E">
      <w:pPr>
        <w:rPr>
          <w:rFonts w:ascii="Calibri" w:hAnsi="Calibri" w:cs="Calibri"/>
          <w:sz w:val="22"/>
          <w:szCs w:val="22"/>
        </w:rPr>
      </w:pPr>
    </w:p>
    <w:p w14:paraId="6E340D26" w14:textId="77777777" w:rsidR="006B087E" w:rsidRPr="00A32933" w:rsidRDefault="006B087E" w:rsidP="006B087E">
      <w:pPr>
        <w:pStyle w:val="ColorfulList-Accent11"/>
        <w:rPr>
          <w:rFonts w:ascii="Calibri" w:hAnsi="Calibri" w:cs="Calibri"/>
          <w:sz w:val="22"/>
          <w:szCs w:val="22"/>
        </w:rPr>
      </w:pPr>
    </w:p>
    <w:p w14:paraId="5DE96E27" w14:textId="77777777" w:rsidR="006B087E" w:rsidRPr="00A32933" w:rsidRDefault="006B087E" w:rsidP="006B087E">
      <w:pPr>
        <w:rPr>
          <w:rFonts w:ascii="Calibri" w:hAnsi="Calibri" w:cs="Calibri"/>
          <w:sz w:val="22"/>
          <w:szCs w:val="22"/>
        </w:rPr>
      </w:pPr>
    </w:p>
    <w:p w14:paraId="5F33B80A" w14:textId="487C1573" w:rsidR="006B087E" w:rsidRDefault="006B087E" w:rsidP="006B087E">
      <w:pPr>
        <w:rPr>
          <w:rFonts w:ascii="Calibri" w:hAnsi="Calibri" w:cs="Calibri"/>
          <w:sz w:val="22"/>
          <w:szCs w:val="22"/>
        </w:rPr>
      </w:pPr>
    </w:p>
    <w:p w14:paraId="5B4FAE86" w14:textId="1AE72B0A" w:rsidR="00FD30DF" w:rsidRDefault="00FD30DF" w:rsidP="006B087E">
      <w:pPr>
        <w:rPr>
          <w:rFonts w:ascii="Calibri" w:hAnsi="Calibri" w:cs="Calibri"/>
          <w:sz w:val="22"/>
          <w:szCs w:val="22"/>
        </w:rPr>
      </w:pPr>
    </w:p>
    <w:p w14:paraId="316AE8BD" w14:textId="6D6F66C9" w:rsidR="00FD30DF" w:rsidRDefault="00FD30DF" w:rsidP="006B087E">
      <w:pPr>
        <w:rPr>
          <w:rFonts w:ascii="Calibri" w:hAnsi="Calibri" w:cs="Calibri"/>
          <w:sz w:val="22"/>
          <w:szCs w:val="22"/>
        </w:rPr>
      </w:pPr>
    </w:p>
    <w:p w14:paraId="65C71BD6" w14:textId="2283D376" w:rsidR="00FD30DF" w:rsidRDefault="00FD30DF" w:rsidP="006B087E">
      <w:pPr>
        <w:rPr>
          <w:rFonts w:ascii="Calibri" w:hAnsi="Calibri" w:cs="Calibri"/>
          <w:sz w:val="22"/>
          <w:szCs w:val="22"/>
        </w:rPr>
      </w:pPr>
    </w:p>
    <w:p w14:paraId="36540CDE" w14:textId="517E6090" w:rsidR="00FD30DF" w:rsidRDefault="00FD30DF" w:rsidP="006B087E">
      <w:pPr>
        <w:rPr>
          <w:rFonts w:ascii="Calibri" w:hAnsi="Calibri" w:cs="Calibri"/>
          <w:sz w:val="22"/>
          <w:szCs w:val="22"/>
        </w:rPr>
      </w:pPr>
    </w:p>
    <w:p w14:paraId="784B4BD3" w14:textId="7BA8E3D8" w:rsidR="00FD30DF" w:rsidRDefault="00FD30DF" w:rsidP="006B087E">
      <w:pPr>
        <w:rPr>
          <w:rFonts w:ascii="Calibri" w:hAnsi="Calibri" w:cs="Calibri"/>
          <w:sz w:val="22"/>
          <w:szCs w:val="22"/>
        </w:rPr>
      </w:pPr>
    </w:p>
    <w:p w14:paraId="1939E1F6" w14:textId="5C9E6405" w:rsidR="00FD30DF" w:rsidRDefault="00FD30DF" w:rsidP="006B087E">
      <w:pPr>
        <w:rPr>
          <w:rFonts w:ascii="Calibri" w:hAnsi="Calibri" w:cs="Calibri"/>
          <w:sz w:val="22"/>
          <w:szCs w:val="22"/>
        </w:rPr>
      </w:pPr>
    </w:p>
    <w:p w14:paraId="437002DC" w14:textId="3B2A931B" w:rsidR="00FD30DF" w:rsidRDefault="00FD30DF" w:rsidP="006B087E">
      <w:pPr>
        <w:rPr>
          <w:rFonts w:ascii="Calibri" w:hAnsi="Calibri" w:cs="Calibri"/>
          <w:sz w:val="22"/>
          <w:szCs w:val="22"/>
        </w:rPr>
      </w:pPr>
    </w:p>
    <w:p w14:paraId="6B5A3CD6" w14:textId="7FDCC943" w:rsidR="00FD30DF" w:rsidRDefault="00FD30DF" w:rsidP="006B087E">
      <w:pPr>
        <w:rPr>
          <w:rFonts w:ascii="Calibri" w:hAnsi="Calibri" w:cs="Calibri"/>
          <w:sz w:val="22"/>
          <w:szCs w:val="22"/>
        </w:rPr>
      </w:pPr>
    </w:p>
    <w:p w14:paraId="5422025B" w14:textId="77777777" w:rsidR="00FD30DF" w:rsidRPr="00A32933" w:rsidRDefault="00FD30DF" w:rsidP="006B087E">
      <w:pPr>
        <w:rPr>
          <w:rFonts w:ascii="Calibri" w:hAnsi="Calibri" w:cs="Calibri"/>
          <w:sz w:val="22"/>
          <w:szCs w:val="22"/>
        </w:rPr>
      </w:pPr>
    </w:p>
    <w:p w14:paraId="5E284AB9" w14:textId="77777777" w:rsidR="006B087E" w:rsidRDefault="006B087E" w:rsidP="006B087E"/>
    <w:p w14:paraId="4AC7750C" w14:textId="77777777" w:rsidR="008362F4" w:rsidRPr="00D20E25" w:rsidRDefault="006B087E" w:rsidP="006B087E">
      <w:pPr>
        <w:pStyle w:val="MediumGrid2-Accent11"/>
        <w:rPr>
          <w:i/>
          <w:sz w:val="16"/>
          <w:szCs w:val="16"/>
        </w:rPr>
      </w:pPr>
      <w:bookmarkStart w:id="4" w:name="_Hlk67641261"/>
      <w:r w:rsidRPr="009B273C">
        <w:rPr>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bookmarkEnd w:id="4"/>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18DF" w14:textId="77777777" w:rsidR="00E454CD" w:rsidRDefault="00E454CD" w:rsidP="00D20E25">
      <w:r>
        <w:separator/>
      </w:r>
    </w:p>
  </w:endnote>
  <w:endnote w:type="continuationSeparator" w:id="0">
    <w:p w14:paraId="495676B4" w14:textId="77777777" w:rsidR="00E454CD" w:rsidRDefault="00E454CD"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4BFA" w14:textId="77777777" w:rsidR="005C07B5" w:rsidRDefault="005C07B5" w:rsidP="00D20E25">
    <w:pPr>
      <w:pStyle w:val="Footer"/>
      <w:jc w:val="center"/>
    </w:pPr>
  </w:p>
  <w:p w14:paraId="330B876B" w14:textId="68204C74" w:rsidR="005C07B5" w:rsidRDefault="005C07B5" w:rsidP="00D20E25">
    <w:pPr>
      <w:pStyle w:val="Footer"/>
      <w:jc w:val="center"/>
      <w:rPr>
        <w:lang w:val="en-US"/>
      </w:rPr>
    </w:pPr>
    <w:r w:rsidRPr="006C7EC1">
      <w:t>© 20</w:t>
    </w:r>
    <w:r w:rsidR="00742FD1">
      <w:rPr>
        <w:lang w:val="en-US"/>
      </w:rPr>
      <w:t>21</w:t>
    </w:r>
    <w:r w:rsidRPr="006C7EC1">
      <w:t xml:space="preserve"> </w:t>
    </w:r>
    <w:r>
      <w:t>Benefit Comply, LLC</w:t>
    </w:r>
  </w:p>
  <w:p w14:paraId="5C56E64A"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6B087E">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9B99" w14:textId="0273D4C4" w:rsidR="005C07B5" w:rsidRDefault="005C07B5" w:rsidP="00D20E25">
    <w:pPr>
      <w:pStyle w:val="Footer"/>
      <w:jc w:val="center"/>
      <w:rPr>
        <w:lang w:val="en-US"/>
      </w:rPr>
    </w:pPr>
    <w:r>
      <w:t>© 20</w:t>
    </w:r>
    <w:r w:rsidR="00742FD1">
      <w:rPr>
        <w:lang w:val="en-US"/>
      </w:rPr>
      <w:t>21</w:t>
    </w:r>
    <w:r w:rsidRPr="006C7EC1">
      <w:t xml:space="preserve"> </w:t>
    </w:r>
    <w:r>
      <w:t>Benefit Comply, LLC</w:t>
    </w:r>
  </w:p>
  <w:p w14:paraId="3C150C15"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6B087E">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1FCA" w14:textId="77777777" w:rsidR="00E454CD" w:rsidRDefault="00E454CD" w:rsidP="00D20E25">
      <w:r>
        <w:separator/>
      </w:r>
    </w:p>
  </w:footnote>
  <w:footnote w:type="continuationSeparator" w:id="0">
    <w:p w14:paraId="19EFC5B3" w14:textId="77777777" w:rsidR="00E454CD" w:rsidRDefault="00E454CD"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2"/>
  </w:num>
  <w:num w:numId="3">
    <w:abstractNumId w:val="21"/>
  </w:num>
  <w:num w:numId="4">
    <w:abstractNumId w:val="8"/>
  </w:num>
  <w:num w:numId="5">
    <w:abstractNumId w:val="25"/>
  </w:num>
  <w:num w:numId="6">
    <w:abstractNumId w:val="6"/>
  </w:num>
  <w:num w:numId="7">
    <w:abstractNumId w:val="12"/>
  </w:num>
  <w:num w:numId="8">
    <w:abstractNumId w:val="26"/>
  </w:num>
  <w:num w:numId="9">
    <w:abstractNumId w:val="15"/>
  </w:num>
  <w:num w:numId="10">
    <w:abstractNumId w:val="31"/>
  </w:num>
  <w:num w:numId="11">
    <w:abstractNumId w:val="1"/>
  </w:num>
  <w:num w:numId="12">
    <w:abstractNumId w:val="14"/>
  </w:num>
  <w:num w:numId="13">
    <w:abstractNumId w:val="20"/>
  </w:num>
  <w:num w:numId="14">
    <w:abstractNumId w:val="34"/>
  </w:num>
  <w:num w:numId="15">
    <w:abstractNumId w:val="23"/>
  </w:num>
  <w:num w:numId="16">
    <w:abstractNumId w:val="30"/>
  </w:num>
  <w:num w:numId="17">
    <w:abstractNumId w:val="9"/>
  </w:num>
  <w:num w:numId="18">
    <w:abstractNumId w:val="17"/>
  </w:num>
  <w:num w:numId="19">
    <w:abstractNumId w:val="24"/>
  </w:num>
  <w:num w:numId="20">
    <w:abstractNumId w:val="32"/>
  </w:num>
  <w:num w:numId="21">
    <w:abstractNumId w:val="16"/>
  </w:num>
  <w:num w:numId="22">
    <w:abstractNumId w:val="28"/>
  </w:num>
  <w:num w:numId="23">
    <w:abstractNumId w:val="35"/>
  </w:num>
  <w:num w:numId="24">
    <w:abstractNumId w:val="27"/>
  </w:num>
  <w:num w:numId="25">
    <w:abstractNumId w:val="13"/>
  </w:num>
  <w:num w:numId="26">
    <w:abstractNumId w:val="11"/>
  </w:num>
  <w:num w:numId="27">
    <w:abstractNumId w:val="33"/>
  </w:num>
  <w:num w:numId="28">
    <w:abstractNumId w:val="7"/>
  </w:num>
  <w:num w:numId="29">
    <w:abstractNumId w:val="2"/>
  </w:num>
  <w:num w:numId="30">
    <w:abstractNumId w:val="10"/>
  </w:num>
  <w:num w:numId="31">
    <w:abstractNumId w:val="0"/>
  </w:num>
  <w:num w:numId="32">
    <w:abstractNumId w:val="18"/>
  </w:num>
  <w:num w:numId="33">
    <w:abstractNumId w:val="4"/>
  </w:num>
  <w:num w:numId="34">
    <w:abstractNumId w:val="3"/>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3657F"/>
    <w:rsid w:val="00041D34"/>
    <w:rsid w:val="00042D2A"/>
    <w:rsid w:val="0005132B"/>
    <w:rsid w:val="00055D59"/>
    <w:rsid w:val="00056762"/>
    <w:rsid w:val="0006084A"/>
    <w:rsid w:val="0006208C"/>
    <w:rsid w:val="0006416F"/>
    <w:rsid w:val="00065F15"/>
    <w:rsid w:val="00071F3D"/>
    <w:rsid w:val="00076EB8"/>
    <w:rsid w:val="000867F5"/>
    <w:rsid w:val="00093BE1"/>
    <w:rsid w:val="00096B1E"/>
    <w:rsid w:val="000A697A"/>
    <w:rsid w:val="000C41B5"/>
    <w:rsid w:val="000C5473"/>
    <w:rsid w:val="000D12CA"/>
    <w:rsid w:val="000E03AB"/>
    <w:rsid w:val="000E668C"/>
    <w:rsid w:val="000F11E2"/>
    <w:rsid w:val="0010150B"/>
    <w:rsid w:val="00102C3F"/>
    <w:rsid w:val="00103F85"/>
    <w:rsid w:val="00104680"/>
    <w:rsid w:val="00113F23"/>
    <w:rsid w:val="00137BDB"/>
    <w:rsid w:val="00140769"/>
    <w:rsid w:val="00142A3F"/>
    <w:rsid w:val="001432A3"/>
    <w:rsid w:val="00144A9C"/>
    <w:rsid w:val="00150473"/>
    <w:rsid w:val="00160335"/>
    <w:rsid w:val="001824D9"/>
    <w:rsid w:val="00187547"/>
    <w:rsid w:val="001912DE"/>
    <w:rsid w:val="0019308E"/>
    <w:rsid w:val="001B1A88"/>
    <w:rsid w:val="001C256F"/>
    <w:rsid w:val="001C70AE"/>
    <w:rsid w:val="001D58D8"/>
    <w:rsid w:val="001D745D"/>
    <w:rsid w:val="001E2972"/>
    <w:rsid w:val="001E622E"/>
    <w:rsid w:val="001F0404"/>
    <w:rsid w:val="001F20E5"/>
    <w:rsid w:val="00200664"/>
    <w:rsid w:val="00211FC6"/>
    <w:rsid w:val="00231306"/>
    <w:rsid w:val="00246370"/>
    <w:rsid w:val="00247077"/>
    <w:rsid w:val="00255A5D"/>
    <w:rsid w:val="00270D0F"/>
    <w:rsid w:val="00273D4E"/>
    <w:rsid w:val="00277CAA"/>
    <w:rsid w:val="0029167B"/>
    <w:rsid w:val="002A51D5"/>
    <w:rsid w:val="002C4ADB"/>
    <w:rsid w:val="002D6E4B"/>
    <w:rsid w:val="002E41EF"/>
    <w:rsid w:val="002F1D78"/>
    <w:rsid w:val="002F2BFF"/>
    <w:rsid w:val="002F3FBC"/>
    <w:rsid w:val="002F5B6A"/>
    <w:rsid w:val="002F7CDF"/>
    <w:rsid w:val="00311883"/>
    <w:rsid w:val="00311D22"/>
    <w:rsid w:val="00314066"/>
    <w:rsid w:val="003231B2"/>
    <w:rsid w:val="00324FF8"/>
    <w:rsid w:val="00332855"/>
    <w:rsid w:val="003332F7"/>
    <w:rsid w:val="00337651"/>
    <w:rsid w:val="00341F9B"/>
    <w:rsid w:val="00342727"/>
    <w:rsid w:val="003536E9"/>
    <w:rsid w:val="0035725D"/>
    <w:rsid w:val="00357E55"/>
    <w:rsid w:val="003606B3"/>
    <w:rsid w:val="00367D54"/>
    <w:rsid w:val="00373838"/>
    <w:rsid w:val="0037534B"/>
    <w:rsid w:val="00376CF8"/>
    <w:rsid w:val="00377A73"/>
    <w:rsid w:val="00383956"/>
    <w:rsid w:val="00386166"/>
    <w:rsid w:val="003902B6"/>
    <w:rsid w:val="003902B9"/>
    <w:rsid w:val="0039272A"/>
    <w:rsid w:val="00397F1D"/>
    <w:rsid w:val="003A15A0"/>
    <w:rsid w:val="003A5845"/>
    <w:rsid w:val="003A5F0F"/>
    <w:rsid w:val="003A6DFC"/>
    <w:rsid w:val="003B0730"/>
    <w:rsid w:val="003B180D"/>
    <w:rsid w:val="003B7105"/>
    <w:rsid w:val="003D3ABE"/>
    <w:rsid w:val="003D5BB6"/>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91"/>
    <w:rsid w:val="004F38E5"/>
    <w:rsid w:val="004F4484"/>
    <w:rsid w:val="00521F45"/>
    <w:rsid w:val="0052609C"/>
    <w:rsid w:val="00532F84"/>
    <w:rsid w:val="005378A2"/>
    <w:rsid w:val="00540CCF"/>
    <w:rsid w:val="00554B62"/>
    <w:rsid w:val="00554D66"/>
    <w:rsid w:val="0055764A"/>
    <w:rsid w:val="005660E9"/>
    <w:rsid w:val="005718C3"/>
    <w:rsid w:val="00581F18"/>
    <w:rsid w:val="00586571"/>
    <w:rsid w:val="0058733A"/>
    <w:rsid w:val="005926DA"/>
    <w:rsid w:val="00595A34"/>
    <w:rsid w:val="005A2634"/>
    <w:rsid w:val="005B0103"/>
    <w:rsid w:val="005C07B5"/>
    <w:rsid w:val="005C2382"/>
    <w:rsid w:val="005D2525"/>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577E9"/>
    <w:rsid w:val="006717AA"/>
    <w:rsid w:val="00675439"/>
    <w:rsid w:val="00683EE3"/>
    <w:rsid w:val="00685C8D"/>
    <w:rsid w:val="00686AFD"/>
    <w:rsid w:val="006924DC"/>
    <w:rsid w:val="006A61F3"/>
    <w:rsid w:val="006B087E"/>
    <w:rsid w:val="006B1545"/>
    <w:rsid w:val="006B23FC"/>
    <w:rsid w:val="006B28BC"/>
    <w:rsid w:val="006B35C9"/>
    <w:rsid w:val="006C3EE1"/>
    <w:rsid w:val="006C7B72"/>
    <w:rsid w:val="006C7EC1"/>
    <w:rsid w:val="006D5631"/>
    <w:rsid w:val="006E1247"/>
    <w:rsid w:val="006E42C0"/>
    <w:rsid w:val="00713909"/>
    <w:rsid w:val="00736A9B"/>
    <w:rsid w:val="00742FD1"/>
    <w:rsid w:val="007508F7"/>
    <w:rsid w:val="00760901"/>
    <w:rsid w:val="00764D79"/>
    <w:rsid w:val="007709F7"/>
    <w:rsid w:val="00776816"/>
    <w:rsid w:val="00781D99"/>
    <w:rsid w:val="007821CE"/>
    <w:rsid w:val="007908B7"/>
    <w:rsid w:val="007A5C28"/>
    <w:rsid w:val="007A5F8B"/>
    <w:rsid w:val="007B1E18"/>
    <w:rsid w:val="007B4885"/>
    <w:rsid w:val="007C3D13"/>
    <w:rsid w:val="007C4419"/>
    <w:rsid w:val="007C77AA"/>
    <w:rsid w:val="007C7C7C"/>
    <w:rsid w:val="007D3E4D"/>
    <w:rsid w:val="007E18DE"/>
    <w:rsid w:val="007E193A"/>
    <w:rsid w:val="007E2565"/>
    <w:rsid w:val="007E377B"/>
    <w:rsid w:val="007E53F1"/>
    <w:rsid w:val="007F34B4"/>
    <w:rsid w:val="008020F4"/>
    <w:rsid w:val="0080349F"/>
    <w:rsid w:val="008052A3"/>
    <w:rsid w:val="0083063B"/>
    <w:rsid w:val="008351DA"/>
    <w:rsid w:val="008362F4"/>
    <w:rsid w:val="00840509"/>
    <w:rsid w:val="008477BE"/>
    <w:rsid w:val="008557A4"/>
    <w:rsid w:val="008615C4"/>
    <w:rsid w:val="0086304F"/>
    <w:rsid w:val="00866B99"/>
    <w:rsid w:val="00897617"/>
    <w:rsid w:val="008A5DF8"/>
    <w:rsid w:val="008A65DA"/>
    <w:rsid w:val="008C343C"/>
    <w:rsid w:val="008C376C"/>
    <w:rsid w:val="008C712B"/>
    <w:rsid w:val="008D0598"/>
    <w:rsid w:val="008D2660"/>
    <w:rsid w:val="008D3E7A"/>
    <w:rsid w:val="008D5BAD"/>
    <w:rsid w:val="008E2AFE"/>
    <w:rsid w:val="008E2D74"/>
    <w:rsid w:val="008E4117"/>
    <w:rsid w:val="008F0F5D"/>
    <w:rsid w:val="008F6B65"/>
    <w:rsid w:val="00902581"/>
    <w:rsid w:val="00903160"/>
    <w:rsid w:val="00922438"/>
    <w:rsid w:val="009312C4"/>
    <w:rsid w:val="00935D00"/>
    <w:rsid w:val="00951D03"/>
    <w:rsid w:val="009536DD"/>
    <w:rsid w:val="00953E85"/>
    <w:rsid w:val="009A4AD6"/>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21DC4"/>
    <w:rsid w:val="00A35CFA"/>
    <w:rsid w:val="00A45E46"/>
    <w:rsid w:val="00A50245"/>
    <w:rsid w:val="00A51D54"/>
    <w:rsid w:val="00A62B5A"/>
    <w:rsid w:val="00A65FD1"/>
    <w:rsid w:val="00A671B6"/>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2EC1"/>
    <w:rsid w:val="00BE0984"/>
    <w:rsid w:val="00BE5FA7"/>
    <w:rsid w:val="00BF49EF"/>
    <w:rsid w:val="00C14297"/>
    <w:rsid w:val="00C24151"/>
    <w:rsid w:val="00C24CC8"/>
    <w:rsid w:val="00C37884"/>
    <w:rsid w:val="00C60F20"/>
    <w:rsid w:val="00C70F5A"/>
    <w:rsid w:val="00C87D79"/>
    <w:rsid w:val="00CB2087"/>
    <w:rsid w:val="00CB7F8B"/>
    <w:rsid w:val="00CC3551"/>
    <w:rsid w:val="00CD3AB1"/>
    <w:rsid w:val="00CD6579"/>
    <w:rsid w:val="00CE15AE"/>
    <w:rsid w:val="00CE2D96"/>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0C37"/>
    <w:rsid w:val="00E37B09"/>
    <w:rsid w:val="00E44F0B"/>
    <w:rsid w:val="00E454CD"/>
    <w:rsid w:val="00E46F87"/>
    <w:rsid w:val="00E53468"/>
    <w:rsid w:val="00E53CBA"/>
    <w:rsid w:val="00E76581"/>
    <w:rsid w:val="00E773C4"/>
    <w:rsid w:val="00E85FF7"/>
    <w:rsid w:val="00EA7801"/>
    <w:rsid w:val="00EB2B80"/>
    <w:rsid w:val="00EB6293"/>
    <w:rsid w:val="00EB76AE"/>
    <w:rsid w:val="00ED0E7A"/>
    <w:rsid w:val="00EF1C04"/>
    <w:rsid w:val="00EF7919"/>
    <w:rsid w:val="00F05E10"/>
    <w:rsid w:val="00F06079"/>
    <w:rsid w:val="00F33F3C"/>
    <w:rsid w:val="00F4702D"/>
    <w:rsid w:val="00F50A82"/>
    <w:rsid w:val="00F51BB5"/>
    <w:rsid w:val="00F51DF1"/>
    <w:rsid w:val="00F535E7"/>
    <w:rsid w:val="00F55CEF"/>
    <w:rsid w:val="00F562CC"/>
    <w:rsid w:val="00F568C1"/>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C0ACD"/>
    <w:rsid w:val="00FD0F26"/>
    <w:rsid w:val="00FD20BF"/>
    <w:rsid w:val="00FD30DF"/>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CCFC"/>
  <w15:chartTrackingRefBased/>
  <w15:docId w15:val="{8C54C865-5E3A-47D5-8DE2-717A764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No Spacing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paragraph" w:customStyle="1" w:styleId="MediumGrid21">
    <w:name w:val="Medium Grid 21"/>
    <w:basedOn w:val="Normal"/>
    <w:uiPriority w:val="1"/>
    <w:qFormat/>
    <w:rsid w:val="006B087E"/>
    <w:rPr>
      <w:rFonts w:cs="Times New Roman"/>
      <w:szCs w:val="22"/>
      <w:lang w:val="x-none" w:eastAsia="x-none"/>
    </w:rPr>
  </w:style>
  <w:style w:type="paragraph" w:customStyle="1" w:styleId="ColorfulList-Accent11">
    <w:name w:val="Colorful List - Accent 11"/>
    <w:basedOn w:val="Normal"/>
    <w:uiPriority w:val="34"/>
    <w:qFormat/>
    <w:rsid w:val="006B087E"/>
    <w:pPr>
      <w:contextualSpacing/>
    </w:pPr>
    <w:rPr>
      <w:rFonts w:cs="Times New Roman"/>
    </w:rPr>
  </w:style>
  <w:style w:type="paragraph" w:customStyle="1" w:styleId="xmsonormal">
    <w:name w:val="x_msonormal"/>
    <w:basedOn w:val="Normal"/>
    <w:uiPriority w:val="99"/>
    <w:rsid w:val="006B087E"/>
    <w:rPr>
      <w:rFonts w:ascii="Times New Roman" w:hAnsi="Times New Roman" w:cs="Times New Roman"/>
      <w:sz w:val="24"/>
      <w:szCs w:val="24"/>
      <w:lang w:bidi="ar-SA"/>
    </w:rPr>
  </w:style>
  <w:style w:type="character" w:customStyle="1" w:styleId="highlight">
    <w:name w:val="highlight"/>
    <w:rsid w:val="006B087E"/>
  </w:style>
  <w:style w:type="character" w:styleId="FollowedHyperlink">
    <w:name w:val="FollowedHyperlink"/>
    <w:basedOn w:val="DefaultParagraphFont"/>
    <w:uiPriority w:val="99"/>
    <w:semiHidden/>
    <w:unhideWhenUsed/>
    <w:rsid w:val="00742FD1"/>
    <w:rPr>
      <w:color w:val="954F72" w:themeColor="followedHyperlink"/>
      <w:u w:val="single"/>
    </w:rPr>
  </w:style>
  <w:style w:type="character" w:styleId="UnresolvedMention">
    <w:name w:val="Unresolved Mention"/>
    <w:basedOn w:val="DefaultParagraphFont"/>
    <w:uiPriority w:val="52"/>
    <w:rsid w:val="0090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nefitcomply.com/irspenalty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individuals/understanding-your-letter-22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efitcomply.com/resources/wp-content/uploads/2020/11/EmployerReportingGuide_Nov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enefitcomply.com/affordability-considerations/" TargetMode="External"/><Relationship Id="rId4" Type="http://schemas.openxmlformats.org/officeDocument/2006/relationships/settings" Target="settings.xml"/><Relationship Id="rId9" Type="http://schemas.openxmlformats.org/officeDocument/2006/relationships/hyperlink" Target="https://www.benefitcomply.com/resources/wp-content/uploads/2018/10/ALEStatusTesting.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191C-62B6-F848-BFD5-D267CBAC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9021</CharactersWithSpaces>
  <SharedDoc>false</SharedDoc>
  <HLinks>
    <vt:vector size="12" baseType="variant">
      <vt:variant>
        <vt:i4>6422644</vt:i4>
      </vt:variant>
      <vt:variant>
        <vt:i4>3</vt:i4>
      </vt:variant>
      <vt:variant>
        <vt:i4>0</vt:i4>
      </vt:variant>
      <vt:variant>
        <vt:i4>5</vt:i4>
      </vt:variant>
      <vt:variant>
        <vt:lpwstr>http://benefitcomply.com/wp-content/uploads/2017/11/IRS-Letter-226J.pdf</vt:lpwstr>
      </vt:variant>
      <vt:variant>
        <vt:lpwstr/>
      </vt:variant>
      <vt:variant>
        <vt:i4>4194312</vt:i4>
      </vt:variant>
      <vt:variant>
        <vt:i4>0</vt:i4>
      </vt:variant>
      <vt:variant>
        <vt:i4>0</vt:i4>
      </vt:variant>
      <vt:variant>
        <vt:i4>5</vt:i4>
      </vt:variant>
      <vt:variant>
        <vt:lpwstr>http://benefitcomply.com/%E2%80%A2-affordability-considerations/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2021-04-09T14:29:00Z</dcterms:created>
  <dcterms:modified xsi:type="dcterms:W3CDTF">2021-04-09T14:29:00Z</dcterms:modified>
</cp:coreProperties>
</file>