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CF1B" w14:textId="35D3D46A" w:rsidR="00C62225" w:rsidRPr="00703AE7" w:rsidRDefault="00C62225" w:rsidP="004F62E7">
      <w:pPr>
        <w:pStyle w:val="Heading1"/>
        <w:spacing w:line="276" w:lineRule="auto"/>
        <w:rPr>
          <w:sz w:val="20"/>
          <w:szCs w:val="20"/>
        </w:rPr>
      </w:pPr>
      <w:bookmarkStart w:id="0" w:name="_Toc302216887"/>
    </w:p>
    <w:tbl>
      <w:tblPr>
        <w:tblW w:w="5000" w:type="pct"/>
        <w:tblCellMar>
          <w:left w:w="0" w:type="dxa"/>
          <w:right w:w="0" w:type="dxa"/>
        </w:tblCellMar>
        <w:tblLook w:val="04A0" w:firstRow="1" w:lastRow="0" w:firstColumn="1" w:lastColumn="0" w:noHBand="0" w:noVBand="1"/>
      </w:tblPr>
      <w:tblGrid>
        <w:gridCol w:w="6439"/>
        <w:gridCol w:w="2921"/>
      </w:tblGrid>
      <w:tr w:rsidR="009A2C1C" w:rsidRPr="00703AE7" w14:paraId="64C5D50B" w14:textId="77777777" w:rsidTr="005A10A7">
        <w:trPr>
          <w:trHeight w:val="4032"/>
        </w:trPr>
        <w:tc>
          <w:tcPr>
            <w:tcW w:w="6178" w:type="dxa"/>
          </w:tcPr>
          <w:p w14:paraId="3DAAB702" w14:textId="77777777" w:rsidR="00F24E66" w:rsidRDefault="005A10A7" w:rsidP="004F62E7">
            <w:pPr>
              <w:pStyle w:val="TOC1"/>
              <w:spacing w:line="276" w:lineRule="auto"/>
              <w:rPr>
                <w:noProof/>
              </w:rPr>
            </w:pPr>
            <w:r w:rsidRPr="00703AE7">
              <w:rPr>
                <w:noProof/>
              </w:rPr>
              <mc:AlternateContent>
                <mc:Choice Requires="wps">
                  <w:drawing>
                    <wp:anchor distT="0" distB="0" distL="114300" distR="114300" simplePos="0" relativeHeight="251694080" behindDoc="0" locked="0" layoutInCell="1" allowOverlap="1" wp14:anchorId="6AEE4CF9" wp14:editId="45C4D8D8">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9295E" w:rsidRPr="00ED6BE5" w:rsidRDefault="00D9295E"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" filled="f" fillcolor="#fffffe" stroked="f" strokecolor="#212120" insetpen="t">
                      <v:textbox inset="2.88pt,2.88pt,2.88pt,2.88pt">
                        <w:txbxContent>
                          <w:p w14:paraId="7A5DB5E8" w14:textId="77777777" w:rsidR="00D9295E" w:rsidRPr="00ED6BE5" w:rsidRDefault="00D9295E"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703AE7">
              <w:t>In this issue</w:t>
            </w:r>
            <w:r w:rsidR="00B77AC2" w:rsidRPr="00703AE7">
              <w:rPr>
                <w:caps/>
              </w:rPr>
              <w:fldChar w:fldCharType="begin"/>
            </w:r>
            <w:r w:rsidR="00B77AC2" w:rsidRPr="00703AE7">
              <w:instrText xml:space="preserve"> TOC \o "1-2" \h \z \u </w:instrText>
            </w:r>
            <w:r w:rsidR="00B77AC2" w:rsidRPr="00703AE7">
              <w:rPr>
                <w:caps/>
              </w:rPr>
              <w:fldChar w:fldCharType="separate"/>
            </w:r>
          </w:p>
          <w:p w14:paraId="60672133" w14:textId="42A7464A" w:rsidR="00F24E66" w:rsidRPr="00F24E66" w:rsidRDefault="00F12509">
            <w:pPr>
              <w:pStyle w:val="TOC1"/>
              <w:tabs>
                <w:tab w:val="right" w:leader="dot" w:pos="9350"/>
              </w:tabs>
              <w:rPr>
                <w:rFonts w:asciiTheme="minorHAnsi" w:hAnsiTheme="minorHAnsi" w:cstheme="minorBidi"/>
                <w:b w:val="0"/>
                <w:bCs w:val="0"/>
                <w:noProof/>
                <w:sz w:val="22"/>
                <w:szCs w:val="22"/>
                <w:lang w:eastAsia="en-US"/>
              </w:rPr>
            </w:pPr>
            <w:hyperlink w:anchor="_Toc68530275" w:history="1">
              <w:r w:rsidR="00F24E66" w:rsidRPr="00F24E66">
                <w:rPr>
                  <w:rStyle w:val="Hyperlink"/>
                  <w:noProof/>
                  <w:sz w:val="22"/>
                  <w:szCs w:val="22"/>
                </w:rPr>
                <w:t>Introduction</w:t>
              </w:r>
              <w:r w:rsidR="00F24E66" w:rsidRPr="00F24E66">
                <w:rPr>
                  <w:noProof/>
                  <w:webHidden/>
                  <w:sz w:val="22"/>
                  <w:szCs w:val="22"/>
                </w:rPr>
                <w:tab/>
              </w:r>
              <w:r w:rsidR="00F24E66" w:rsidRPr="00F24E66">
                <w:rPr>
                  <w:noProof/>
                  <w:webHidden/>
                  <w:sz w:val="22"/>
                  <w:szCs w:val="22"/>
                </w:rPr>
                <w:fldChar w:fldCharType="begin"/>
              </w:r>
              <w:r w:rsidR="00F24E66" w:rsidRPr="00F24E66">
                <w:rPr>
                  <w:noProof/>
                  <w:webHidden/>
                  <w:sz w:val="22"/>
                  <w:szCs w:val="22"/>
                </w:rPr>
                <w:instrText xml:space="preserve"> PAGEREF _Toc68530275 \h </w:instrText>
              </w:r>
              <w:r w:rsidR="00F24E66" w:rsidRPr="00F24E66">
                <w:rPr>
                  <w:noProof/>
                  <w:webHidden/>
                  <w:sz w:val="22"/>
                  <w:szCs w:val="22"/>
                </w:rPr>
              </w:r>
              <w:r w:rsidR="00F24E66" w:rsidRPr="00F24E66">
                <w:rPr>
                  <w:noProof/>
                  <w:webHidden/>
                  <w:sz w:val="22"/>
                  <w:szCs w:val="22"/>
                </w:rPr>
                <w:fldChar w:fldCharType="separate"/>
              </w:r>
              <w:r w:rsidR="00F5132B">
                <w:rPr>
                  <w:noProof/>
                  <w:webHidden/>
                  <w:sz w:val="22"/>
                  <w:szCs w:val="22"/>
                </w:rPr>
                <w:t>1</w:t>
              </w:r>
              <w:r w:rsidR="00F24E66" w:rsidRPr="00F24E66">
                <w:rPr>
                  <w:noProof/>
                  <w:webHidden/>
                  <w:sz w:val="22"/>
                  <w:szCs w:val="22"/>
                </w:rPr>
                <w:fldChar w:fldCharType="end"/>
              </w:r>
            </w:hyperlink>
          </w:p>
          <w:p w14:paraId="70DB6834" w14:textId="73FC9F59" w:rsidR="00F24E66" w:rsidRPr="00F24E66" w:rsidRDefault="00F12509">
            <w:pPr>
              <w:pStyle w:val="TOC1"/>
              <w:tabs>
                <w:tab w:val="right" w:leader="dot" w:pos="9350"/>
              </w:tabs>
              <w:rPr>
                <w:rFonts w:asciiTheme="minorHAnsi" w:hAnsiTheme="minorHAnsi" w:cstheme="minorBidi"/>
                <w:b w:val="0"/>
                <w:bCs w:val="0"/>
                <w:noProof/>
                <w:sz w:val="22"/>
                <w:szCs w:val="22"/>
                <w:lang w:eastAsia="en-US"/>
              </w:rPr>
            </w:pPr>
            <w:hyperlink w:anchor="_Toc68530277" w:history="1">
              <w:r w:rsidR="00F24E66" w:rsidRPr="00F24E66">
                <w:rPr>
                  <w:rStyle w:val="Hyperlink"/>
                  <w:noProof/>
                  <w:sz w:val="22"/>
                  <w:szCs w:val="22"/>
                </w:rPr>
                <w:t xml:space="preserve">In Other News… </w:t>
              </w:r>
              <w:r w:rsidR="00F24E66" w:rsidRPr="00F24E66">
                <w:rPr>
                  <w:rStyle w:val="Hyperlink"/>
                  <w:i/>
                  <w:iCs/>
                  <w:noProof/>
                  <w:sz w:val="22"/>
                  <w:szCs w:val="22"/>
                </w:rPr>
                <w:t>Recap of 1st Quart</w:t>
              </w:r>
              <w:r w:rsidR="00F24E66" w:rsidRPr="00F24E66">
                <w:rPr>
                  <w:rStyle w:val="Hyperlink"/>
                  <w:i/>
                  <w:iCs/>
                  <w:noProof/>
                  <w:sz w:val="22"/>
                  <w:szCs w:val="22"/>
                </w:rPr>
                <w:t>e</w:t>
              </w:r>
              <w:r w:rsidR="00F24E66" w:rsidRPr="00F24E66">
                <w:rPr>
                  <w:rStyle w:val="Hyperlink"/>
                  <w:i/>
                  <w:iCs/>
                  <w:noProof/>
                  <w:sz w:val="22"/>
                  <w:szCs w:val="22"/>
                </w:rPr>
                <w:t>r Issue Briefs and Alerts</w:t>
              </w:r>
              <w:r w:rsidR="00F24E66" w:rsidRPr="00F24E66">
                <w:rPr>
                  <w:noProof/>
                  <w:webHidden/>
                  <w:sz w:val="22"/>
                  <w:szCs w:val="22"/>
                </w:rPr>
                <w:tab/>
              </w:r>
              <w:r w:rsidR="00F24E66" w:rsidRPr="00F24E66">
                <w:rPr>
                  <w:noProof/>
                  <w:webHidden/>
                  <w:sz w:val="22"/>
                  <w:szCs w:val="22"/>
                </w:rPr>
                <w:fldChar w:fldCharType="begin"/>
              </w:r>
              <w:r w:rsidR="00F24E66" w:rsidRPr="00F24E66">
                <w:rPr>
                  <w:noProof/>
                  <w:webHidden/>
                  <w:sz w:val="22"/>
                  <w:szCs w:val="22"/>
                </w:rPr>
                <w:instrText xml:space="preserve"> PAGEREF _Toc68530277 \h </w:instrText>
              </w:r>
              <w:r w:rsidR="00F24E66" w:rsidRPr="00F24E66">
                <w:rPr>
                  <w:noProof/>
                  <w:webHidden/>
                  <w:sz w:val="22"/>
                  <w:szCs w:val="22"/>
                </w:rPr>
              </w:r>
              <w:r w:rsidR="00F24E66" w:rsidRPr="00F24E66">
                <w:rPr>
                  <w:noProof/>
                  <w:webHidden/>
                  <w:sz w:val="22"/>
                  <w:szCs w:val="22"/>
                </w:rPr>
                <w:fldChar w:fldCharType="separate"/>
              </w:r>
              <w:r w:rsidR="00F5132B">
                <w:rPr>
                  <w:noProof/>
                  <w:webHidden/>
                  <w:sz w:val="22"/>
                  <w:szCs w:val="22"/>
                </w:rPr>
                <w:t>3</w:t>
              </w:r>
              <w:r w:rsidR="00F24E66" w:rsidRPr="00F24E66">
                <w:rPr>
                  <w:noProof/>
                  <w:webHidden/>
                  <w:sz w:val="22"/>
                  <w:szCs w:val="22"/>
                </w:rPr>
                <w:fldChar w:fldCharType="end"/>
              </w:r>
            </w:hyperlink>
          </w:p>
          <w:p w14:paraId="2C398D66" w14:textId="099C303B" w:rsidR="00F24E66" w:rsidRPr="00F24E66" w:rsidRDefault="00F12509">
            <w:pPr>
              <w:pStyle w:val="TOC1"/>
              <w:tabs>
                <w:tab w:val="right" w:leader="dot" w:pos="9350"/>
              </w:tabs>
              <w:rPr>
                <w:rFonts w:asciiTheme="minorHAnsi" w:hAnsiTheme="minorHAnsi" w:cstheme="minorBidi"/>
                <w:b w:val="0"/>
                <w:bCs w:val="0"/>
                <w:noProof/>
                <w:sz w:val="22"/>
                <w:szCs w:val="22"/>
                <w:lang w:eastAsia="en-US"/>
              </w:rPr>
            </w:pPr>
            <w:hyperlink w:anchor="_Toc68530278" w:history="1">
              <w:r w:rsidR="00F24E66" w:rsidRPr="00F24E66">
                <w:rPr>
                  <w:rStyle w:val="Hyperlink"/>
                  <w:noProof/>
                  <w:sz w:val="22"/>
                  <w:szCs w:val="22"/>
                </w:rPr>
                <w:t>Qua</w:t>
              </w:r>
              <w:r w:rsidR="00F24E66" w:rsidRPr="00F24E66">
                <w:rPr>
                  <w:rStyle w:val="Hyperlink"/>
                  <w:noProof/>
                  <w:sz w:val="22"/>
                  <w:szCs w:val="22"/>
                </w:rPr>
                <w:t>r</w:t>
              </w:r>
              <w:r w:rsidR="00F24E66" w:rsidRPr="00F24E66">
                <w:rPr>
                  <w:rStyle w:val="Hyperlink"/>
                  <w:noProof/>
                  <w:sz w:val="22"/>
                  <w:szCs w:val="22"/>
                </w:rPr>
                <w:t>te</w:t>
              </w:r>
              <w:r w:rsidR="00F24E66" w:rsidRPr="00F24E66">
                <w:rPr>
                  <w:rStyle w:val="Hyperlink"/>
                  <w:noProof/>
                  <w:sz w:val="22"/>
                  <w:szCs w:val="22"/>
                </w:rPr>
                <w:t>r</w:t>
              </w:r>
              <w:r w:rsidR="00F24E66" w:rsidRPr="00F24E66">
                <w:rPr>
                  <w:rStyle w:val="Hyperlink"/>
                  <w:noProof/>
                  <w:sz w:val="22"/>
                  <w:szCs w:val="22"/>
                </w:rPr>
                <w:t>ly Q&amp;A</w:t>
              </w:r>
              <w:r w:rsidR="00F24E66" w:rsidRPr="00F24E66">
                <w:rPr>
                  <w:noProof/>
                  <w:webHidden/>
                  <w:sz w:val="22"/>
                  <w:szCs w:val="22"/>
                </w:rPr>
                <w:tab/>
              </w:r>
              <w:r w:rsidR="00F24E66" w:rsidRPr="00F24E66">
                <w:rPr>
                  <w:noProof/>
                  <w:webHidden/>
                  <w:sz w:val="22"/>
                  <w:szCs w:val="22"/>
                </w:rPr>
                <w:fldChar w:fldCharType="begin"/>
              </w:r>
              <w:r w:rsidR="00F24E66" w:rsidRPr="00F24E66">
                <w:rPr>
                  <w:noProof/>
                  <w:webHidden/>
                  <w:sz w:val="22"/>
                  <w:szCs w:val="22"/>
                </w:rPr>
                <w:instrText xml:space="preserve"> PAGEREF _Toc68530278 \h </w:instrText>
              </w:r>
              <w:r w:rsidR="00F24E66" w:rsidRPr="00F24E66">
                <w:rPr>
                  <w:noProof/>
                  <w:webHidden/>
                  <w:sz w:val="22"/>
                  <w:szCs w:val="22"/>
                </w:rPr>
              </w:r>
              <w:r w:rsidR="00F24E66" w:rsidRPr="00F24E66">
                <w:rPr>
                  <w:noProof/>
                  <w:webHidden/>
                  <w:sz w:val="22"/>
                  <w:szCs w:val="22"/>
                </w:rPr>
                <w:fldChar w:fldCharType="separate"/>
              </w:r>
              <w:r w:rsidR="00F5132B">
                <w:rPr>
                  <w:noProof/>
                  <w:webHidden/>
                  <w:sz w:val="22"/>
                  <w:szCs w:val="22"/>
                </w:rPr>
                <w:t>6</w:t>
              </w:r>
              <w:r w:rsidR="00F24E66" w:rsidRPr="00F24E66">
                <w:rPr>
                  <w:noProof/>
                  <w:webHidden/>
                  <w:sz w:val="22"/>
                  <w:szCs w:val="22"/>
                </w:rPr>
                <w:fldChar w:fldCharType="end"/>
              </w:r>
            </w:hyperlink>
          </w:p>
          <w:p w14:paraId="75348926" w14:textId="5033D9AA" w:rsidR="00B77AC2" w:rsidRPr="00703AE7" w:rsidRDefault="00B77AC2" w:rsidP="004F62E7">
            <w:pPr>
              <w:spacing w:line="276" w:lineRule="auto"/>
              <w:ind w:right="3996"/>
              <w:rPr>
                <w:rFonts w:ascii="Arial" w:hAnsi="Arial" w:cs="Arial"/>
                <w:sz w:val="20"/>
                <w:szCs w:val="20"/>
              </w:rPr>
            </w:pPr>
            <w:r w:rsidRPr="00703AE7">
              <w:rPr>
                <w:rFonts w:ascii="Arial" w:hAnsi="Arial" w:cs="Arial"/>
                <w:sz w:val="20"/>
                <w:szCs w:val="20"/>
              </w:rPr>
              <w:fldChar w:fldCharType="end"/>
            </w:r>
          </w:p>
          <w:p w14:paraId="1CC58F13" w14:textId="1DFE8A8D" w:rsidR="000962F5" w:rsidRPr="00703AE7" w:rsidRDefault="000962F5" w:rsidP="004F62E7">
            <w:pPr>
              <w:spacing w:line="276" w:lineRule="auto"/>
              <w:ind w:right="3996"/>
              <w:rPr>
                <w:rFonts w:ascii="Arial" w:hAnsi="Arial" w:cs="Arial"/>
                <w:sz w:val="20"/>
                <w:szCs w:val="20"/>
              </w:rPr>
            </w:pPr>
          </w:p>
        </w:tc>
        <w:tc>
          <w:tcPr>
            <w:tcW w:w="3182" w:type="dxa"/>
          </w:tcPr>
          <w:p w14:paraId="620E970E" w14:textId="136DAC6B" w:rsidR="00B77AC2" w:rsidRPr="00703AE7" w:rsidRDefault="00B77AC2" w:rsidP="004F62E7">
            <w:pPr>
              <w:pStyle w:val="IssueInfo"/>
              <w:ind w:right="3996"/>
              <w:rPr>
                <w:rFonts w:ascii="Arial" w:hAnsi="Arial" w:cs="Arial"/>
                <w:sz w:val="20"/>
                <w:szCs w:val="20"/>
              </w:rPr>
            </w:pPr>
            <w:r w:rsidRPr="00703AE7">
              <w:rPr>
                <w:rFonts w:ascii="Arial" w:hAnsi="Arial" w:cs="Arial"/>
                <w:color w:val="FFFFFF" w:themeColor="background1"/>
                <w:sz w:val="20"/>
                <w:szCs w:val="20"/>
              </w:rPr>
              <w:sym w:font="Wingdings" w:char="F0A1"/>
            </w:r>
          </w:p>
        </w:tc>
      </w:tr>
    </w:tbl>
    <w:p w14:paraId="31DB4584" w14:textId="77777777" w:rsidR="0020660C" w:rsidRPr="00D91161" w:rsidRDefault="00962BC0" w:rsidP="004F62E7">
      <w:pPr>
        <w:pStyle w:val="Heading1"/>
        <w:spacing w:line="276" w:lineRule="auto"/>
        <w:rPr>
          <w:color w:val="0070C0"/>
          <w:sz w:val="32"/>
          <w:szCs w:val="32"/>
        </w:rPr>
      </w:pPr>
      <w:bookmarkStart w:id="1" w:name="_Toc68530275"/>
      <w:bookmarkEnd w:id="0"/>
      <w:r w:rsidRPr="00D91161">
        <w:rPr>
          <w:color w:val="0070C0"/>
          <w:sz w:val="32"/>
          <w:szCs w:val="32"/>
        </w:rPr>
        <w:t>Introduction</w:t>
      </w:r>
      <w:bookmarkEnd w:id="1"/>
    </w:p>
    <w:p w14:paraId="51E05A5C" w14:textId="779FEA89" w:rsidR="00EB3E2A" w:rsidRPr="00D91161" w:rsidRDefault="00EB3E2A" w:rsidP="004F62E7">
      <w:pPr>
        <w:spacing w:line="276" w:lineRule="auto"/>
        <w:rPr>
          <w:rFonts w:ascii="Arial" w:hAnsi="Arial" w:cs="Arial"/>
          <w:sz w:val="21"/>
          <w:szCs w:val="21"/>
        </w:rPr>
      </w:pPr>
    </w:p>
    <w:p w14:paraId="68D58A17" w14:textId="2ECD4DF3" w:rsidR="00703AE7" w:rsidRPr="00D91161" w:rsidRDefault="003D2DFE" w:rsidP="004F62E7">
      <w:pPr>
        <w:pStyle w:val="Heading1"/>
        <w:spacing w:line="276" w:lineRule="auto"/>
        <w:rPr>
          <w:sz w:val="21"/>
          <w:szCs w:val="21"/>
        </w:rPr>
      </w:pPr>
      <w:bookmarkStart w:id="2" w:name="_Toc68530276"/>
      <w:r w:rsidRPr="00D91161">
        <w:rPr>
          <w:sz w:val="21"/>
          <w:szCs w:val="21"/>
        </w:rPr>
        <w:t>Employer Mandate Collection Efforts for 2018</w:t>
      </w:r>
      <w:bookmarkEnd w:id="2"/>
    </w:p>
    <w:p w14:paraId="62AA4EB3"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 xml:space="preserve">Many employers have recently received a Letter 226J from the IRS proposing that an employer shared responsibility payment (ESRP) is owed for the 2018 calendar year, which means the IRS has wrapped up most collections for 2017 and is now focusing on 2018. </w:t>
      </w:r>
    </w:p>
    <w:p w14:paraId="3A9A0FD4"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Upon receipt of a Letter 226J, the employer has 30 days to either make payment or appeal the proposed ESRP (unless an extension is requested). Since many of the proposed assessments are the result of a misunderstanding of the offer of coverage requirements and/or employer reporting mistakes, most employers have the option to appeal, arguing that coverage was actually offered in accordance with §4980H requirements. We have worked on appeals for several hundred employers at this point, in all cases successfully appealing any proposed ESRP that was not reflective of the coverage actually offered by the employer. In other words, submitting an adequate explanation and supporting documentation to the IRS should result in a dismissal of the proposed ESRP. We strongly recommend that employers get assistance before agreeing to pay any proposed assessment. In many cases, even when there weren’t any significant reporting errors, there is room to argue that the assessment should be reduced (e.g., because of over-reporting full-time employee counts or confusion as to how to apply the affordability safe harbors).</w:t>
      </w:r>
    </w:p>
    <w:p w14:paraId="435E19F2"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One of the biggest mistakes that we continue to run into is a failure to indicate on the Form 1094-C that minimum essential coverage (MEC) was offered to at least 95% (or all but 5, if greater) of full-time employees and their dependents for each month. If an employer failed to mark "Yes" in Part III, column (a) of the Form 1094-C for all 12 months and at least one full-time employee enrolled in subsidized coverage through a public Exchange, the IRS will assess a penalty under §4980H(a).</w:t>
      </w:r>
    </w:p>
    <w:p w14:paraId="0C164244"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To appeal a proposed ESRP under §4980H, we suggest submitting the following:</w:t>
      </w:r>
    </w:p>
    <w:p w14:paraId="4CF8ED04" w14:textId="49519363" w:rsidR="00470974" w:rsidRPr="00D91161" w:rsidRDefault="00470974" w:rsidP="00D91161">
      <w:pPr>
        <w:numPr>
          <w:ilvl w:val="0"/>
          <w:numId w:val="4"/>
        </w:numPr>
        <w:shd w:val="clear" w:color="auto" w:fill="FFFFFF"/>
        <w:spacing w:before="100" w:beforeAutospacing="1" w:after="100" w:afterAutospacing="1"/>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A letter/explanation disputing all or part of the a</w:t>
      </w:r>
      <w:r w:rsidR="00D91161">
        <w:rPr>
          <w:rFonts w:ascii="Arial" w:eastAsia="Times New Roman" w:hAnsi="Arial" w:cs="Arial"/>
          <w:color w:val="1E1E1E"/>
          <w:sz w:val="21"/>
          <w:szCs w:val="21"/>
          <w:lang w:eastAsia="en-US"/>
        </w:rPr>
        <w:t>s</w:t>
      </w:r>
      <w:r w:rsidRPr="00D91161">
        <w:rPr>
          <w:rFonts w:ascii="Arial" w:eastAsia="Times New Roman" w:hAnsi="Arial" w:cs="Arial"/>
          <w:color w:val="1E1E1E"/>
          <w:sz w:val="21"/>
          <w:szCs w:val="21"/>
          <w:lang w:eastAsia="en-US"/>
        </w:rPr>
        <w:t>sessment;</w:t>
      </w:r>
    </w:p>
    <w:p w14:paraId="04A982C8" w14:textId="77777777" w:rsidR="00470974" w:rsidRPr="00D91161" w:rsidRDefault="00470974" w:rsidP="00D91161">
      <w:pPr>
        <w:numPr>
          <w:ilvl w:val="0"/>
          <w:numId w:val="4"/>
        </w:numPr>
        <w:shd w:val="clear" w:color="auto" w:fill="FFFFFF"/>
        <w:spacing w:before="100" w:beforeAutospacing="1" w:after="100" w:afterAutospacing="1"/>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A completed Form 14764, with signature, indicating disagreement with the assessment and that no payment is being sent in; and</w:t>
      </w:r>
    </w:p>
    <w:p w14:paraId="760ADB57" w14:textId="77777777" w:rsidR="00470974" w:rsidRPr="00D91161" w:rsidRDefault="00470974" w:rsidP="00D91161">
      <w:pPr>
        <w:numPr>
          <w:ilvl w:val="0"/>
          <w:numId w:val="4"/>
        </w:numPr>
        <w:shd w:val="clear" w:color="auto" w:fill="FFFFFF"/>
        <w:spacing w:before="100" w:beforeAutospacing="1" w:after="100" w:afterAutospacing="1"/>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lastRenderedPageBreak/>
        <w:t>Revised coding on Form 14765 for employees listed, including supporting documentation, if applicable.</w:t>
      </w:r>
    </w:p>
    <w:p w14:paraId="198D8AA6" w14:textId="55F7DA17" w:rsidR="00470974"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We</w:t>
      </w:r>
      <w:r w:rsidR="00162B1E">
        <w:rPr>
          <w:rFonts w:ascii="Arial" w:eastAsia="Times New Roman" w:hAnsi="Arial" w:cs="Arial"/>
          <w:color w:val="1E1E1E"/>
          <w:sz w:val="21"/>
          <w:szCs w:val="21"/>
          <w:lang w:eastAsia="en-US"/>
        </w:rPr>
        <w:t xml:space="preserve"> have</w:t>
      </w:r>
      <w:r w:rsidRPr="00D91161">
        <w:rPr>
          <w:rFonts w:ascii="Arial" w:eastAsia="Times New Roman" w:hAnsi="Arial" w:cs="Arial"/>
          <w:color w:val="1E1E1E"/>
          <w:sz w:val="21"/>
          <w:szCs w:val="21"/>
          <w:lang w:eastAsia="en-US"/>
        </w:rPr>
        <w:t xml:space="preserve"> updated our summary of §4980H requirements and penalties with 2021 numbers, which you can find here</w:t>
      </w:r>
      <w:r w:rsidR="00D91161" w:rsidRPr="00D91161">
        <w:rPr>
          <w:rFonts w:ascii="Arial" w:eastAsia="Times New Roman" w:hAnsi="Arial" w:cs="Arial"/>
          <w:color w:val="1E1E1E"/>
          <w:sz w:val="21"/>
          <w:szCs w:val="21"/>
          <w:lang w:eastAsia="en-US"/>
        </w:rPr>
        <w:t xml:space="preserve">: </w:t>
      </w:r>
      <w:hyperlink r:id="rId10" w:history="1">
        <w:r w:rsidR="00D91161" w:rsidRPr="00571D3E">
          <w:rPr>
            <w:rStyle w:val="Hyperlink"/>
            <w:rFonts w:ascii="Arial" w:eastAsia="Times New Roman" w:hAnsi="Arial" w:cs="Arial"/>
            <w:sz w:val="21"/>
            <w:szCs w:val="21"/>
            <w:lang w:eastAsia="en-US"/>
          </w:rPr>
          <w:t>https://benefitcomply.com/affordability-considerations/</w:t>
        </w:r>
      </w:hyperlink>
    </w:p>
    <w:p w14:paraId="134CECCF"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An IRS FAQ page specific to Letter 226J may be found here – </w:t>
      </w:r>
      <w:hyperlink r:id="rId11" w:history="1">
        <w:r w:rsidRPr="00D91161">
          <w:rPr>
            <w:rFonts w:ascii="Arial" w:eastAsia="Times New Roman" w:hAnsi="Arial" w:cs="Arial"/>
            <w:color w:val="0073AA"/>
            <w:sz w:val="21"/>
            <w:szCs w:val="21"/>
            <w:u w:val="single"/>
            <w:lang w:eastAsia="en-US"/>
          </w:rPr>
          <w:t>https://www.irs.gov/individuals/understanding-your-letter-226-j</w:t>
        </w:r>
      </w:hyperlink>
    </w:p>
    <w:p w14:paraId="09258D1B" w14:textId="77777777" w:rsidR="00470974" w:rsidRPr="00D91161" w:rsidRDefault="00470974" w:rsidP="00470974">
      <w:pPr>
        <w:shd w:val="clear" w:color="auto" w:fill="FFFFFF"/>
        <w:spacing w:before="420" w:after="420"/>
        <w:rPr>
          <w:rFonts w:ascii="Arial" w:eastAsia="Times New Roman" w:hAnsi="Arial" w:cs="Arial"/>
          <w:color w:val="1E1E1E"/>
          <w:sz w:val="21"/>
          <w:szCs w:val="21"/>
          <w:lang w:eastAsia="en-US"/>
        </w:rPr>
      </w:pPr>
      <w:r w:rsidRPr="00D91161">
        <w:rPr>
          <w:rFonts w:ascii="Arial" w:eastAsia="Times New Roman" w:hAnsi="Arial" w:cs="Arial"/>
          <w:color w:val="1E1E1E"/>
          <w:sz w:val="21"/>
          <w:szCs w:val="21"/>
          <w:lang w:eastAsia="en-US"/>
        </w:rPr>
        <w:t>An IRS FAQ page specific to Employer Shared Responsibility Provisions may be found here – </w:t>
      </w:r>
      <w:hyperlink r:id="rId12" w:history="1">
        <w:r w:rsidRPr="00D91161">
          <w:rPr>
            <w:rFonts w:ascii="Arial" w:eastAsia="Times New Roman" w:hAnsi="Arial" w:cs="Arial"/>
            <w:color w:val="0073AA"/>
            <w:sz w:val="21"/>
            <w:szCs w:val="21"/>
            <w:u w:val="single"/>
            <w:lang w:eastAsia="en-US"/>
          </w:rPr>
          <w:t>https://www.irs.gov/affordable-care-act/employers/questions-and-answers-on-employer-shared-responsibility-provisions-under-the-affordable-care-act</w:t>
        </w:r>
      </w:hyperlink>
    </w:p>
    <w:p w14:paraId="7C447395" w14:textId="77777777" w:rsidR="00275866" w:rsidRPr="00D91161" w:rsidRDefault="00275866" w:rsidP="004F62E7">
      <w:pPr>
        <w:shd w:val="clear" w:color="auto" w:fill="FFFFFF"/>
        <w:spacing w:line="276" w:lineRule="auto"/>
        <w:textAlignment w:val="baseline"/>
        <w:rPr>
          <w:rFonts w:ascii="Arial" w:hAnsi="Arial" w:cs="Arial"/>
          <w:sz w:val="20"/>
          <w:szCs w:val="20"/>
        </w:rPr>
      </w:pPr>
    </w:p>
    <w:p w14:paraId="0407E10A" w14:textId="0813D7A4" w:rsidR="00275866" w:rsidRPr="00D91161" w:rsidRDefault="00275866" w:rsidP="004F62E7">
      <w:pPr>
        <w:shd w:val="clear" w:color="auto" w:fill="FFFFFF"/>
        <w:spacing w:line="276" w:lineRule="auto"/>
        <w:textAlignment w:val="baseline"/>
        <w:rPr>
          <w:rFonts w:ascii="Arial" w:eastAsia="Times New Roman" w:hAnsi="Arial" w:cs="Arial"/>
          <w:color w:val="262626" w:themeColor="text1" w:themeTint="D9"/>
          <w:sz w:val="20"/>
          <w:szCs w:val="20"/>
          <w:lang w:eastAsia="en-US"/>
        </w:rPr>
        <w:sectPr w:rsidR="00275866" w:rsidRPr="00D91161" w:rsidSect="002B4808">
          <w:footerReference w:type="default" r:id="rId13"/>
          <w:type w:val="continuous"/>
          <w:pgSz w:w="12240" w:h="15840" w:code="1"/>
          <w:pgMar w:top="1080" w:right="1440" w:bottom="1080" w:left="1440" w:header="720" w:footer="720" w:gutter="0"/>
          <w:cols w:space="720"/>
          <w:docGrid w:linePitch="360"/>
        </w:sectPr>
      </w:pPr>
    </w:p>
    <w:p w14:paraId="20CB46AB" w14:textId="77777777" w:rsidR="004F62E7" w:rsidRPr="00D91161" w:rsidRDefault="004F62E7" w:rsidP="004F62E7">
      <w:pPr>
        <w:pStyle w:val="Heading1"/>
        <w:spacing w:line="276" w:lineRule="auto"/>
        <w:rPr>
          <w:color w:val="0070C0"/>
          <w:sz w:val="32"/>
          <w:szCs w:val="32"/>
        </w:rPr>
      </w:pPr>
    </w:p>
    <w:p w14:paraId="35A9B0BF" w14:textId="77777777" w:rsidR="004F62E7" w:rsidRPr="00D91161" w:rsidRDefault="004F62E7" w:rsidP="004F62E7">
      <w:pPr>
        <w:pStyle w:val="Heading1"/>
        <w:spacing w:line="276" w:lineRule="auto"/>
        <w:rPr>
          <w:color w:val="0070C0"/>
          <w:sz w:val="32"/>
          <w:szCs w:val="32"/>
        </w:rPr>
      </w:pPr>
    </w:p>
    <w:p w14:paraId="56FD6DA2" w14:textId="77777777" w:rsidR="004F62E7" w:rsidRPr="00D91161" w:rsidRDefault="004F62E7" w:rsidP="004F62E7">
      <w:pPr>
        <w:pStyle w:val="Heading1"/>
        <w:spacing w:line="276" w:lineRule="auto"/>
        <w:rPr>
          <w:color w:val="0070C0"/>
          <w:sz w:val="32"/>
          <w:szCs w:val="32"/>
        </w:rPr>
      </w:pPr>
    </w:p>
    <w:p w14:paraId="3680CE53" w14:textId="77777777" w:rsidR="004F62E7" w:rsidRPr="00D91161" w:rsidRDefault="004F62E7" w:rsidP="004F62E7">
      <w:pPr>
        <w:pStyle w:val="Heading1"/>
        <w:spacing w:line="276" w:lineRule="auto"/>
        <w:rPr>
          <w:color w:val="0070C0"/>
          <w:sz w:val="32"/>
          <w:szCs w:val="32"/>
        </w:rPr>
      </w:pPr>
    </w:p>
    <w:p w14:paraId="46BB641D" w14:textId="77777777" w:rsidR="004F62E7" w:rsidRPr="00D91161" w:rsidRDefault="004F62E7" w:rsidP="004F62E7">
      <w:pPr>
        <w:pStyle w:val="Heading1"/>
        <w:spacing w:line="276" w:lineRule="auto"/>
        <w:rPr>
          <w:color w:val="0070C0"/>
          <w:sz w:val="32"/>
          <w:szCs w:val="32"/>
        </w:rPr>
      </w:pPr>
    </w:p>
    <w:p w14:paraId="7B06CAB1" w14:textId="77777777" w:rsidR="004F62E7" w:rsidRPr="00D91161" w:rsidRDefault="004F62E7" w:rsidP="004F62E7">
      <w:pPr>
        <w:pStyle w:val="Heading1"/>
        <w:spacing w:line="276" w:lineRule="auto"/>
        <w:rPr>
          <w:color w:val="0070C0"/>
          <w:sz w:val="32"/>
          <w:szCs w:val="32"/>
        </w:rPr>
      </w:pPr>
    </w:p>
    <w:p w14:paraId="266F1EDA" w14:textId="77777777" w:rsidR="004F62E7" w:rsidRPr="00D91161" w:rsidRDefault="004F62E7" w:rsidP="004F62E7">
      <w:pPr>
        <w:pStyle w:val="Heading1"/>
        <w:spacing w:line="276" w:lineRule="auto"/>
        <w:rPr>
          <w:color w:val="0070C0"/>
          <w:sz w:val="32"/>
          <w:szCs w:val="32"/>
        </w:rPr>
      </w:pPr>
    </w:p>
    <w:p w14:paraId="39351838" w14:textId="77777777" w:rsidR="004F62E7" w:rsidRPr="00D91161" w:rsidRDefault="004F62E7">
      <w:pPr>
        <w:spacing w:after="320" w:line="300" w:lineRule="auto"/>
        <w:rPr>
          <w:rFonts w:ascii="Arial" w:hAnsi="Arial" w:cs="Arial"/>
          <w:b/>
          <w:color w:val="0070C0"/>
          <w:spacing w:val="20"/>
          <w:sz w:val="32"/>
          <w:szCs w:val="32"/>
        </w:rPr>
      </w:pPr>
      <w:r w:rsidRPr="00D91161">
        <w:rPr>
          <w:rFonts w:ascii="Arial" w:hAnsi="Arial" w:cs="Arial"/>
          <w:color w:val="0070C0"/>
          <w:sz w:val="32"/>
          <w:szCs w:val="32"/>
        </w:rPr>
        <w:br w:type="page"/>
      </w:r>
    </w:p>
    <w:p w14:paraId="4DA94610" w14:textId="73DE2B1C" w:rsidR="009010CA" w:rsidRPr="00D91161" w:rsidRDefault="00CF3B31" w:rsidP="00F24E66">
      <w:pPr>
        <w:pStyle w:val="Heading1"/>
        <w:spacing w:line="276" w:lineRule="auto"/>
        <w:rPr>
          <w:color w:val="0070C0"/>
          <w:sz w:val="32"/>
          <w:szCs w:val="32"/>
        </w:rPr>
      </w:pPr>
      <w:bookmarkStart w:id="3" w:name="_Toc68530277"/>
      <w:r w:rsidRPr="00D91161">
        <w:rPr>
          <w:noProof/>
        </w:rPr>
        <w:lastRenderedPageBreak/>
        <mc:AlternateContent>
          <mc:Choice Requires="wps">
            <w:drawing>
              <wp:anchor distT="0" distB="0" distL="114300" distR="114300" simplePos="0" relativeHeight="251697152" behindDoc="1" locked="0" layoutInCell="1" allowOverlap="1" wp14:anchorId="23A8A657" wp14:editId="48B1A662">
                <wp:simplePos x="0" y="0"/>
                <wp:positionH relativeFrom="margin">
                  <wp:posOffset>3467100</wp:posOffset>
                </wp:positionH>
                <wp:positionV relativeFrom="margin">
                  <wp:posOffset>-247650</wp:posOffset>
                </wp:positionV>
                <wp:extent cx="3008630" cy="8756650"/>
                <wp:effectExtent l="0" t="0" r="1270" b="635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8756650"/>
                        </a:xfrm>
                        <a:prstGeom prst="rect">
                          <a:avLst/>
                        </a:prstGeom>
                        <a:solidFill>
                          <a:srgbClr val="61ADBF">
                            <a:lumMod val="20000"/>
                            <a:lumOff val="80000"/>
                          </a:srgbClr>
                        </a:solidFill>
                        <a:ln w="6350">
                          <a:noFill/>
                        </a:ln>
                      </wps:spPr>
                      <wps:txbx>
                        <w:txbxContent>
                          <w:p w14:paraId="51286231" w14:textId="77777777" w:rsidR="00D9295E" w:rsidRDefault="00D9295E" w:rsidP="003005AF">
                            <w:pPr>
                              <w:spacing w:line="276" w:lineRule="auto"/>
                              <w:ind w:left="360"/>
                              <w:rPr>
                                <w:rFonts w:ascii="Arial" w:hAnsi="Arial" w:cs="Arial"/>
                                <w:b/>
                                <w:bCs/>
                                <w:color w:val="0070C0"/>
                                <w:sz w:val="26"/>
                                <w:szCs w:val="26"/>
                              </w:rPr>
                            </w:pPr>
                          </w:p>
                          <w:p w14:paraId="1704B6F9" w14:textId="57191BC5" w:rsidR="00D9295E" w:rsidRPr="00D91161" w:rsidRDefault="00D9295E" w:rsidP="00D91161">
                            <w:pPr>
                              <w:spacing w:before="240"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6119A499" w14:textId="2393D521" w:rsidR="00D9295E" w:rsidRPr="009B74E4" w:rsidRDefault="00D9295E" w:rsidP="00D91161">
                            <w:pPr>
                              <w:numPr>
                                <w:ilvl w:val="0"/>
                                <w:numId w:val="5"/>
                              </w:numPr>
                              <w:spacing w:before="240" w:after="100" w:afterAutospacing="1"/>
                              <w:rPr>
                                <w:rFonts w:ascii="Arial" w:hAnsi="Arial" w:cs="Arial"/>
                                <w:sz w:val="18"/>
                                <w:szCs w:val="18"/>
                                <w:lang w:eastAsia="en-US"/>
                              </w:rPr>
                            </w:pPr>
                            <w:r w:rsidRPr="009B74E4">
                              <w:rPr>
                                <w:rFonts w:ascii="Arial" w:hAnsi="Arial" w:cs="Arial"/>
                                <w:sz w:val="18"/>
                                <w:szCs w:val="18"/>
                              </w:rPr>
                              <w:t xml:space="preserve">On January 5, President Trump signed into law </w:t>
                            </w:r>
                            <w:hyperlink r:id="rId14" w:history="1">
                              <w:r w:rsidRPr="009B74E4">
                                <w:rPr>
                                  <w:rStyle w:val="Hyperlink"/>
                                  <w:rFonts w:ascii="Arial" w:hAnsi="Arial" w:cs="Arial"/>
                                  <w:sz w:val="18"/>
                                  <w:szCs w:val="18"/>
                                </w:rPr>
                                <w:t>H.R. 7898</w:t>
                              </w:r>
                            </w:hyperlink>
                            <w:r w:rsidRPr="009B74E4">
                              <w:rPr>
                                <w:rFonts w:ascii="Arial" w:hAnsi="Arial" w:cs="Arial"/>
                                <w:sz w:val="18"/>
                                <w:szCs w:val="18"/>
                              </w:rPr>
                              <w:t xml:space="preserve">, which amends HITECH to give businesses credit for certain security practices. Specifically, the legislation requires the Department of Health and Human Services (HHS) to consider whether covered entities and business associates have implemented recognized security practices (e.g., the National Institute of Standards and Technology Act (NIST) Security Framework) for purposes of HIPAA compliance. Having done so may result in reduced or more favorable penalties; audit resolutions; and mitigation of remedies. Epstein, Becker, and Green provides a helpful summary of the legislation </w:t>
                            </w:r>
                            <w:hyperlink r:id="rId15" w:history="1">
                              <w:r w:rsidRPr="009B74E4">
                                <w:rPr>
                                  <w:rStyle w:val="Hyperlink"/>
                                  <w:rFonts w:ascii="Arial" w:hAnsi="Arial" w:cs="Arial"/>
                                  <w:sz w:val="18"/>
                                  <w:szCs w:val="18"/>
                                </w:rPr>
                                <w:t>here</w:t>
                              </w:r>
                            </w:hyperlink>
                            <w:r w:rsidRPr="009B74E4">
                              <w:rPr>
                                <w:rFonts w:ascii="Arial" w:hAnsi="Arial" w:cs="Arial"/>
                                <w:sz w:val="18"/>
                                <w:szCs w:val="18"/>
                              </w:rPr>
                              <w:t>.</w:t>
                            </w:r>
                          </w:p>
                          <w:p w14:paraId="34E9A43B" w14:textId="01CC2D6E" w:rsidR="00D9295E" w:rsidRDefault="00D9295E" w:rsidP="00D91161">
                            <w:pPr>
                              <w:numPr>
                                <w:ilvl w:val="0"/>
                                <w:numId w:val="6"/>
                              </w:numPr>
                              <w:rPr>
                                <w:rFonts w:ascii="Arial" w:hAnsi="Arial" w:cs="Arial"/>
                                <w:sz w:val="18"/>
                                <w:szCs w:val="18"/>
                              </w:rPr>
                            </w:pPr>
                            <w:r w:rsidRPr="009B74E4">
                              <w:rPr>
                                <w:rFonts w:ascii="Arial" w:hAnsi="Arial" w:cs="Arial"/>
                                <w:sz w:val="18"/>
                                <w:szCs w:val="18"/>
                              </w:rPr>
                              <w:t xml:space="preserve">On January 7, HHS </w:t>
                            </w:r>
                            <w:hyperlink r:id="rId16" w:history="1">
                              <w:r w:rsidRPr="009B74E4">
                                <w:rPr>
                                  <w:rStyle w:val="Hyperlink"/>
                                  <w:rFonts w:ascii="Arial" w:hAnsi="Arial" w:cs="Arial"/>
                                  <w:sz w:val="18"/>
                                  <w:szCs w:val="18"/>
                                </w:rPr>
                                <w:t>announced</w:t>
                              </w:r>
                            </w:hyperlink>
                            <w:r w:rsidRPr="009B74E4">
                              <w:rPr>
                                <w:rFonts w:ascii="Arial" w:hAnsi="Arial" w:cs="Arial"/>
                                <w:sz w:val="18"/>
                                <w:szCs w:val="18"/>
                              </w:rPr>
                              <w:t xml:space="preserve"> that it would be extending the Covid-19 National Public Emergency for an additional 90 days, effective January 21, 2021.</w:t>
                            </w:r>
                          </w:p>
                          <w:p w14:paraId="10F77A5A" w14:textId="77777777" w:rsidR="00D9295E" w:rsidRPr="009B74E4" w:rsidRDefault="00D9295E" w:rsidP="009B74E4">
                            <w:pPr>
                              <w:rPr>
                                <w:rFonts w:ascii="Arial" w:hAnsi="Arial" w:cs="Arial"/>
                                <w:sz w:val="18"/>
                                <w:szCs w:val="18"/>
                              </w:rPr>
                            </w:pPr>
                          </w:p>
                          <w:p w14:paraId="03DD79F8" w14:textId="77777777" w:rsidR="00D9295E" w:rsidRPr="009B74E4" w:rsidRDefault="00D9295E" w:rsidP="003D1591">
                            <w:pPr>
                              <w:rPr>
                                <w:rFonts w:ascii="Arial" w:hAnsi="Arial" w:cs="Arial"/>
                                <w:sz w:val="18"/>
                                <w:szCs w:val="18"/>
                                <w:lang w:eastAsia="en-US"/>
                              </w:rPr>
                            </w:pPr>
                          </w:p>
                          <w:p w14:paraId="464F4023" w14:textId="78D440F0" w:rsidR="00D9295E" w:rsidRPr="009B74E4" w:rsidRDefault="00D9295E" w:rsidP="00D91161">
                            <w:pPr>
                              <w:numPr>
                                <w:ilvl w:val="0"/>
                                <w:numId w:val="7"/>
                              </w:numPr>
                              <w:spacing w:after="240"/>
                              <w:rPr>
                                <w:rFonts w:ascii="Arial" w:hAnsi="Arial" w:cs="Arial"/>
                                <w:sz w:val="18"/>
                                <w:szCs w:val="18"/>
                              </w:rPr>
                            </w:pPr>
                            <w:r w:rsidRPr="009B74E4">
                              <w:rPr>
                                <w:rFonts w:ascii="Arial" w:hAnsi="Arial" w:cs="Arial"/>
                                <w:sz w:val="18"/>
                                <w:szCs w:val="18"/>
                              </w:rPr>
                              <w:t xml:space="preserve">On January 14, the Department of Labor </w:t>
                            </w:r>
                            <w:hyperlink r:id="rId17" w:history="1">
                              <w:r w:rsidRPr="009B74E4">
                                <w:rPr>
                                  <w:rStyle w:val="Hyperlink"/>
                                  <w:rFonts w:ascii="Arial" w:hAnsi="Arial" w:cs="Arial"/>
                                  <w:sz w:val="18"/>
                                  <w:szCs w:val="18"/>
                                </w:rPr>
                                <w:t>issued</w:t>
                              </w:r>
                            </w:hyperlink>
                            <w:r w:rsidRPr="009B74E4">
                              <w:rPr>
                                <w:rFonts w:ascii="Arial" w:hAnsi="Arial" w:cs="Arial"/>
                                <w:sz w:val="18"/>
                                <w:szCs w:val="18"/>
                              </w:rPr>
                              <w:t xml:space="preserve"> its annual inflationary adjustments to the civil monetary penalties that apply for certain ERISA violations</w:t>
                            </w:r>
                            <w:r>
                              <w:rPr>
                                <w:rFonts w:ascii="Arial" w:hAnsi="Arial" w:cs="Arial"/>
                                <w:sz w:val="18"/>
                                <w:szCs w:val="18"/>
                              </w:rPr>
                              <w:t>.</w:t>
                            </w:r>
                          </w:p>
                          <w:p w14:paraId="4FA7FB37" w14:textId="79B1A951" w:rsidR="00D9295E" w:rsidRDefault="00D9295E" w:rsidP="00D91161">
                            <w:pPr>
                              <w:numPr>
                                <w:ilvl w:val="0"/>
                                <w:numId w:val="7"/>
                              </w:numPr>
                              <w:spacing w:before="100" w:beforeAutospacing="1" w:after="240"/>
                              <w:rPr>
                                <w:rFonts w:ascii="Arial" w:hAnsi="Arial" w:cs="Arial"/>
                                <w:sz w:val="18"/>
                                <w:szCs w:val="18"/>
                              </w:rPr>
                            </w:pPr>
                            <w:r w:rsidRPr="009B74E4">
                              <w:rPr>
                                <w:rFonts w:ascii="Arial" w:hAnsi="Arial" w:cs="Arial"/>
                                <w:sz w:val="18"/>
                                <w:szCs w:val="18"/>
                              </w:rPr>
                              <w:t xml:space="preserve">Also on January 14, the Treasury Department issued </w:t>
                            </w:r>
                            <w:hyperlink r:id="rId18" w:history="1">
                              <w:r w:rsidRPr="009B74E4">
                                <w:rPr>
                                  <w:rStyle w:val="Hyperlink"/>
                                  <w:rFonts w:ascii="Arial" w:hAnsi="Arial" w:cs="Arial"/>
                                  <w:sz w:val="18"/>
                                  <w:szCs w:val="18"/>
                                </w:rPr>
                                <w:t>final ICHRA rules</w:t>
                              </w:r>
                            </w:hyperlink>
                            <w:r w:rsidRPr="009B74E4">
                              <w:rPr>
                                <w:rFonts w:ascii="Arial" w:hAnsi="Arial" w:cs="Arial"/>
                                <w:sz w:val="18"/>
                                <w:szCs w:val="18"/>
                              </w:rPr>
                              <w:t xml:space="preserve">, which did not differ substantively from the proposed rules issued in 2019 (see Benefit </w:t>
                            </w:r>
                            <w:proofErr w:type="spellStart"/>
                            <w:r w:rsidRPr="009B74E4">
                              <w:rPr>
                                <w:rFonts w:ascii="Arial" w:hAnsi="Arial" w:cs="Arial"/>
                                <w:sz w:val="18"/>
                                <w:szCs w:val="18"/>
                              </w:rPr>
                              <w:t>Comply’s</w:t>
                            </w:r>
                            <w:proofErr w:type="spellEnd"/>
                            <w:r w:rsidRPr="009B74E4">
                              <w:rPr>
                                <w:rFonts w:ascii="Arial" w:hAnsi="Arial" w:cs="Arial"/>
                                <w:sz w:val="18"/>
                                <w:szCs w:val="18"/>
                              </w:rPr>
                              <w:t xml:space="preserve"> summary of the proposed rules </w:t>
                            </w:r>
                            <w:hyperlink r:id="rId19" w:history="1">
                              <w:r w:rsidRPr="009B74E4">
                                <w:rPr>
                                  <w:rStyle w:val="Hyperlink"/>
                                  <w:rFonts w:ascii="Arial" w:hAnsi="Arial" w:cs="Arial"/>
                                  <w:sz w:val="18"/>
                                  <w:szCs w:val="18"/>
                                </w:rPr>
                                <w:t>here</w:t>
                              </w:r>
                            </w:hyperlink>
                            <w:r w:rsidRPr="009B74E4">
                              <w:rPr>
                                <w:rFonts w:ascii="Arial" w:hAnsi="Arial" w:cs="Arial"/>
                                <w:sz w:val="18"/>
                                <w:szCs w:val="18"/>
                              </w:rPr>
                              <w:t>).</w:t>
                            </w:r>
                          </w:p>
                          <w:p w14:paraId="78D180DF" w14:textId="4FB3A45C" w:rsidR="00F5132B" w:rsidRPr="00F5132B" w:rsidRDefault="00D9295E" w:rsidP="00F5132B">
                            <w:pPr>
                              <w:numPr>
                                <w:ilvl w:val="0"/>
                                <w:numId w:val="8"/>
                              </w:numPr>
                              <w:spacing w:before="100" w:beforeAutospacing="1"/>
                              <w:rPr>
                                <w:rFonts w:ascii="Arial" w:hAnsi="Arial" w:cs="Arial"/>
                                <w:sz w:val="18"/>
                                <w:szCs w:val="18"/>
                              </w:rPr>
                            </w:pPr>
                            <w:r w:rsidRPr="009B74E4">
                              <w:rPr>
                                <w:rStyle w:val="Strong"/>
                                <w:rFonts w:ascii="Arial" w:hAnsi="Arial" w:cs="Arial"/>
                                <w:color w:val="auto"/>
                                <w:sz w:val="18"/>
                                <w:szCs w:val="18"/>
                              </w:rPr>
                              <w:t xml:space="preserve">In mid-January, the Department of Health and Human Services (HHS) </w:t>
                            </w:r>
                            <w:hyperlink r:id="rId20" w:history="1">
                              <w:r w:rsidRPr="009B74E4">
                                <w:rPr>
                                  <w:rStyle w:val="Hyperlink"/>
                                  <w:rFonts w:ascii="Arial" w:hAnsi="Arial" w:cs="Arial"/>
                                  <w:color w:val="auto"/>
                                  <w:sz w:val="18"/>
                                  <w:szCs w:val="18"/>
                                </w:rPr>
                                <w:t>updated</w:t>
                              </w:r>
                            </w:hyperlink>
                            <w:r w:rsidRPr="009B74E4">
                              <w:rPr>
                                <w:rStyle w:val="Strong"/>
                                <w:rFonts w:ascii="Arial" w:hAnsi="Arial" w:cs="Arial"/>
                                <w:color w:val="auto"/>
                                <w:sz w:val="18"/>
                                <w:szCs w:val="18"/>
                              </w:rPr>
                              <w:t xml:space="preserve"> the federal mainland poverty level (FPL)</w:t>
                            </w:r>
                            <w:r w:rsidRPr="009B74E4">
                              <w:rPr>
                                <w:rFonts w:ascii="Arial" w:hAnsi="Arial" w:cs="Arial"/>
                                <w:sz w:val="18"/>
                                <w:szCs w:val="18"/>
                              </w:rPr>
                              <w:t>, setting it at $12,880 for 2021 (up from $12,760 in 2020). Applicable Large Employers who are relying on the FPL affordability safe harbor may use the FPL in effect 6 months before the start of the plan year.</w:t>
                            </w:r>
                          </w:p>
                          <w:p w14:paraId="0B382076" w14:textId="77777777" w:rsidR="003D1591" w:rsidRPr="00EC6689" w:rsidRDefault="003D1591" w:rsidP="003D1591">
                            <w:pPr>
                              <w:numPr>
                                <w:ilvl w:val="0"/>
                                <w:numId w:val="8"/>
                              </w:numPr>
                              <w:spacing w:before="100" w:beforeAutospacing="1"/>
                              <w:rPr>
                                <w:rFonts w:ascii="Arial" w:hAnsi="Arial" w:cs="Arial"/>
                                <w:sz w:val="18"/>
                                <w:szCs w:val="18"/>
                              </w:rPr>
                            </w:pPr>
                            <w:r w:rsidRPr="009B74E4">
                              <w:rPr>
                                <w:rStyle w:val="Strong"/>
                                <w:rFonts w:ascii="Arial" w:hAnsi="Arial" w:cs="Arial"/>
                                <w:color w:val="auto"/>
                                <w:sz w:val="18"/>
                                <w:szCs w:val="18"/>
                              </w:rPr>
                              <w:t xml:space="preserve">On January 19, the Centers for Medicare and Medicaid Services (CMS) </w:t>
                            </w:r>
                            <w:hyperlink r:id="rId21" w:history="1">
                              <w:r w:rsidRPr="009B74E4">
                                <w:rPr>
                                  <w:rStyle w:val="Hyperlink"/>
                                  <w:rFonts w:ascii="Arial" w:hAnsi="Arial" w:cs="Arial"/>
                                  <w:color w:val="auto"/>
                                  <w:sz w:val="18"/>
                                  <w:szCs w:val="18"/>
                                </w:rPr>
                                <w:t>issued a bulletin</w:t>
                              </w:r>
                            </w:hyperlink>
                            <w:r w:rsidRPr="009B74E4">
                              <w:rPr>
                                <w:rStyle w:val="Strong"/>
                                <w:rFonts w:ascii="Arial" w:hAnsi="Arial" w:cs="Arial"/>
                                <w:color w:val="auto"/>
                                <w:sz w:val="18"/>
                                <w:szCs w:val="18"/>
                              </w:rPr>
                              <w:t xml:space="preserve"> </w:t>
                            </w:r>
                            <w:r w:rsidRPr="00491992">
                              <w:rPr>
                                <w:rStyle w:val="Strong"/>
                                <w:rFonts w:ascii="Arial" w:hAnsi="Arial" w:cs="Arial"/>
                                <w:color w:val="auto"/>
                                <w:sz w:val="18"/>
                                <w:szCs w:val="18"/>
                              </w:rPr>
                              <w:t>extending its nonenforcement policy</w:t>
                            </w:r>
                            <w:r w:rsidRPr="00491992">
                              <w:rPr>
                                <w:rFonts w:ascii="Arial" w:hAnsi="Arial" w:cs="Arial"/>
                                <w:sz w:val="18"/>
                                <w:szCs w:val="18"/>
                              </w:rPr>
                              <w:t xml:space="preserve"> (in place since 2013) for certain non-grandfathered individual and small group market plans that do not comply with specified market reforms (so-called “</w:t>
                            </w:r>
                            <w:proofErr w:type="spellStart"/>
                            <w:r w:rsidRPr="00491992">
                              <w:rPr>
                                <w:rFonts w:ascii="Arial" w:hAnsi="Arial" w:cs="Arial"/>
                                <w:sz w:val="18"/>
                                <w:szCs w:val="18"/>
                              </w:rPr>
                              <w:t>grandmothered</w:t>
                            </w:r>
                            <w:proofErr w:type="spellEnd"/>
                            <w:r w:rsidRPr="00491992">
                              <w:rPr>
                                <w:rFonts w:ascii="Arial" w:hAnsi="Arial" w:cs="Arial"/>
                                <w:sz w:val="18"/>
                                <w:szCs w:val="18"/>
                              </w:rPr>
                              <w:t xml:space="preserve"> plans”). The extended non-enforcement allows states to permit insurers to renew “</w:t>
                            </w:r>
                            <w:proofErr w:type="spellStart"/>
                            <w:r w:rsidRPr="00491992">
                              <w:rPr>
                                <w:rFonts w:ascii="Arial" w:hAnsi="Arial" w:cs="Arial"/>
                                <w:sz w:val="18"/>
                                <w:szCs w:val="18"/>
                              </w:rPr>
                              <w:t>grandmothered</w:t>
                            </w:r>
                            <w:proofErr w:type="spellEnd"/>
                            <w:r w:rsidRPr="00491992">
                              <w:rPr>
                                <w:rFonts w:ascii="Arial" w:hAnsi="Arial" w:cs="Arial"/>
                                <w:sz w:val="18"/>
                                <w:szCs w:val="18"/>
                              </w:rPr>
                              <w:t>” policies that begin on or before October 1, 2022. It also requires that such coverage come into compliance with the applicable requirements by January 1, 2023.</w:t>
                            </w:r>
                          </w:p>
                          <w:p w14:paraId="700F5455" w14:textId="77777777" w:rsidR="00D9295E" w:rsidRPr="00CF05F3" w:rsidRDefault="00D9295E" w:rsidP="00CF05F3">
                            <w:pPr>
                              <w:pStyle w:val="ListParagraph"/>
                              <w:rPr>
                                <w:rFonts w:ascii="Arial" w:eastAsia="Times New Roman" w:hAnsi="Arial" w:cs="Arial"/>
                                <w:color w:val="000000" w:themeColor="text1"/>
                                <w:sz w:val="18"/>
                                <w:szCs w:val="18"/>
                                <w:lang w:eastAsia="en-US"/>
                              </w:rPr>
                            </w:pPr>
                          </w:p>
                          <w:p w14:paraId="72E333CD" w14:textId="77777777" w:rsidR="00D9295E" w:rsidRPr="004F62E7" w:rsidRDefault="00D9295E" w:rsidP="00D8656C">
                            <w:pPr>
                              <w:pStyle w:val="ListParagraph"/>
                              <w:spacing w:after="0"/>
                              <w:ind w:left="360"/>
                              <w:rPr>
                                <w:rFonts w:ascii="Arial" w:eastAsia="Times New Roman" w:hAnsi="Arial" w:cs="Arial"/>
                                <w:color w:val="000000" w:themeColor="text1"/>
                                <w:sz w:val="18"/>
                                <w:szCs w:val="18"/>
                                <w:lang w:eastAsia="en-US"/>
                              </w:rPr>
                            </w:pPr>
                          </w:p>
                          <w:p w14:paraId="2EFBA5CD" w14:textId="77777777" w:rsidR="00D9295E" w:rsidRPr="00D4084B" w:rsidRDefault="00D9295E" w:rsidP="00D4084B">
                            <w:pPr>
                              <w:rPr>
                                <w:rFonts w:ascii="Arial" w:eastAsia="Times New Roman" w:hAnsi="Arial" w:cs="Arial"/>
                                <w:color w:val="000000" w:themeColor="text1"/>
                                <w:sz w:val="18"/>
                                <w:szCs w:val="18"/>
                                <w:lang w:eastAsia="en-US"/>
                              </w:rPr>
                            </w:pPr>
                          </w:p>
                          <w:p w14:paraId="7EE0E43B" w14:textId="77777777" w:rsidR="00D9295E" w:rsidRPr="007B59C6" w:rsidRDefault="00D9295E" w:rsidP="00CF3B31">
                            <w:pPr>
                              <w:pStyle w:val="ListParagraph"/>
                              <w:rPr>
                                <w:rFonts w:ascii="Arial" w:eastAsia="Times New Roman" w:hAnsi="Arial" w:cs="Arial"/>
                                <w:color w:val="000000" w:themeColor="text1"/>
                                <w:sz w:val="18"/>
                                <w:szCs w:val="18"/>
                                <w:lang w:eastAsia="en-US"/>
                              </w:rPr>
                            </w:pPr>
                          </w:p>
                          <w:p w14:paraId="04289455" w14:textId="77777777" w:rsidR="00D9295E" w:rsidRPr="007B0C57" w:rsidRDefault="00D9295E" w:rsidP="00CF3B31">
                            <w:pPr>
                              <w:rPr>
                                <w:rFonts w:ascii="Arial" w:eastAsia="Times New Roman" w:hAnsi="Arial" w:cs="Arial"/>
                                <w:color w:val="000000" w:themeColor="text1"/>
                                <w:sz w:val="18"/>
                                <w:szCs w:val="18"/>
                                <w:lang w:eastAsia="en-US"/>
                              </w:rPr>
                            </w:pPr>
                          </w:p>
                          <w:p w14:paraId="5EED3AAB" w14:textId="77777777" w:rsidR="00D9295E" w:rsidRPr="005C7A6D" w:rsidRDefault="00D9295E" w:rsidP="00CF3B31">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A657" id="_x0000_t202" coordsize="21600,21600" o:spt="202" path="m,l,21600r21600,l21600,xe">
                <v:stroke joinstyle="miter"/>
                <v:path gradientshapeok="t" o:connecttype="rect"/>
              </v:shapetype>
              <v:shape id="Text Box 1" o:spid="_x0000_s1027" type="#_x0000_t202" style="position:absolute;margin-left:273pt;margin-top:-19.5pt;width:236.9pt;height:689.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" fillcolor="#dfeff2" stroked="f" strokeweight=".5pt">
                <v:textbox>
                  <w:txbxContent>
                    <w:p w14:paraId="51286231" w14:textId="77777777" w:rsidR="00D9295E" w:rsidRDefault="00D9295E" w:rsidP="003005AF">
                      <w:pPr>
                        <w:spacing w:line="276" w:lineRule="auto"/>
                        <w:ind w:left="360"/>
                        <w:rPr>
                          <w:rFonts w:ascii="Arial" w:hAnsi="Arial" w:cs="Arial"/>
                          <w:b/>
                          <w:bCs/>
                          <w:color w:val="0070C0"/>
                          <w:sz w:val="26"/>
                          <w:szCs w:val="26"/>
                        </w:rPr>
                      </w:pPr>
                    </w:p>
                    <w:p w14:paraId="1704B6F9" w14:textId="57191BC5" w:rsidR="00D9295E" w:rsidRPr="00D91161" w:rsidRDefault="00D9295E" w:rsidP="00D91161">
                      <w:pPr>
                        <w:spacing w:before="240"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6119A499" w14:textId="2393D521" w:rsidR="00D9295E" w:rsidRPr="009B74E4" w:rsidRDefault="00D9295E" w:rsidP="00D91161">
                      <w:pPr>
                        <w:numPr>
                          <w:ilvl w:val="0"/>
                          <w:numId w:val="5"/>
                        </w:numPr>
                        <w:spacing w:before="240" w:after="100" w:afterAutospacing="1"/>
                        <w:rPr>
                          <w:rFonts w:ascii="Arial" w:hAnsi="Arial" w:cs="Arial"/>
                          <w:sz w:val="18"/>
                          <w:szCs w:val="18"/>
                          <w:lang w:eastAsia="en-US"/>
                        </w:rPr>
                      </w:pPr>
                      <w:r w:rsidRPr="009B74E4">
                        <w:rPr>
                          <w:rFonts w:ascii="Arial" w:hAnsi="Arial" w:cs="Arial"/>
                          <w:sz w:val="18"/>
                          <w:szCs w:val="18"/>
                        </w:rPr>
                        <w:t xml:space="preserve">On January 5, President Trump signed into law </w:t>
                      </w:r>
                      <w:hyperlink r:id="rId22" w:history="1">
                        <w:r w:rsidRPr="009B74E4">
                          <w:rPr>
                            <w:rStyle w:val="Hyperlink"/>
                            <w:rFonts w:ascii="Arial" w:hAnsi="Arial" w:cs="Arial"/>
                            <w:sz w:val="18"/>
                            <w:szCs w:val="18"/>
                          </w:rPr>
                          <w:t>H.R. 7898</w:t>
                        </w:r>
                      </w:hyperlink>
                      <w:r w:rsidRPr="009B74E4">
                        <w:rPr>
                          <w:rFonts w:ascii="Arial" w:hAnsi="Arial" w:cs="Arial"/>
                          <w:sz w:val="18"/>
                          <w:szCs w:val="18"/>
                        </w:rPr>
                        <w:t xml:space="preserve">, which amends HITECH to give businesses credit for certain security practices. Specifically, the legislation requires the Department of Health and Human Services (HHS) to consider whether covered entities and business associates have implemented recognized security practices (e.g., the National Institute of Standards and Technology Act (NIST) Security Framework) for purposes of HIPAA compliance. Having done so may result in reduced or more favorable penalties; audit resolutions; and mitigation of remedies. Epstein, Becker, and Green provides a helpful summary of the legislation </w:t>
                      </w:r>
                      <w:hyperlink r:id="rId23" w:history="1">
                        <w:r w:rsidRPr="009B74E4">
                          <w:rPr>
                            <w:rStyle w:val="Hyperlink"/>
                            <w:rFonts w:ascii="Arial" w:hAnsi="Arial" w:cs="Arial"/>
                            <w:sz w:val="18"/>
                            <w:szCs w:val="18"/>
                          </w:rPr>
                          <w:t>here</w:t>
                        </w:r>
                      </w:hyperlink>
                      <w:r w:rsidRPr="009B74E4">
                        <w:rPr>
                          <w:rFonts w:ascii="Arial" w:hAnsi="Arial" w:cs="Arial"/>
                          <w:sz w:val="18"/>
                          <w:szCs w:val="18"/>
                        </w:rPr>
                        <w:t>.</w:t>
                      </w:r>
                    </w:p>
                    <w:p w14:paraId="34E9A43B" w14:textId="01CC2D6E" w:rsidR="00D9295E" w:rsidRDefault="00D9295E" w:rsidP="00D91161">
                      <w:pPr>
                        <w:numPr>
                          <w:ilvl w:val="0"/>
                          <w:numId w:val="6"/>
                        </w:numPr>
                        <w:rPr>
                          <w:rFonts w:ascii="Arial" w:hAnsi="Arial" w:cs="Arial"/>
                          <w:sz w:val="18"/>
                          <w:szCs w:val="18"/>
                        </w:rPr>
                      </w:pPr>
                      <w:r w:rsidRPr="009B74E4">
                        <w:rPr>
                          <w:rFonts w:ascii="Arial" w:hAnsi="Arial" w:cs="Arial"/>
                          <w:sz w:val="18"/>
                          <w:szCs w:val="18"/>
                        </w:rPr>
                        <w:t xml:space="preserve">On January 7, HHS </w:t>
                      </w:r>
                      <w:hyperlink r:id="rId24" w:history="1">
                        <w:r w:rsidRPr="009B74E4">
                          <w:rPr>
                            <w:rStyle w:val="Hyperlink"/>
                            <w:rFonts w:ascii="Arial" w:hAnsi="Arial" w:cs="Arial"/>
                            <w:sz w:val="18"/>
                            <w:szCs w:val="18"/>
                          </w:rPr>
                          <w:t>announced</w:t>
                        </w:r>
                      </w:hyperlink>
                      <w:r w:rsidRPr="009B74E4">
                        <w:rPr>
                          <w:rFonts w:ascii="Arial" w:hAnsi="Arial" w:cs="Arial"/>
                          <w:sz w:val="18"/>
                          <w:szCs w:val="18"/>
                        </w:rPr>
                        <w:t xml:space="preserve"> that it would be extending the Covid-19 National Public Emergency for an additional 90 days, effective January 21, 2021.</w:t>
                      </w:r>
                    </w:p>
                    <w:p w14:paraId="10F77A5A" w14:textId="77777777" w:rsidR="00D9295E" w:rsidRPr="009B74E4" w:rsidRDefault="00D9295E" w:rsidP="009B74E4">
                      <w:pPr>
                        <w:rPr>
                          <w:rFonts w:ascii="Arial" w:hAnsi="Arial" w:cs="Arial"/>
                          <w:sz w:val="18"/>
                          <w:szCs w:val="18"/>
                        </w:rPr>
                      </w:pPr>
                    </w:p>
                    <w:p w14:paraId="03DD79F8" w14:textId="77777777" w:rsidR="00D9295E" w:rsidRPr="009B74E4" w:rsidRDefault="00D9295E" w:rsidP="003D1591">
                      <w:pPr>
                        <w:rPr>
                          <w:rFonts w:ascii="Arial" w:hAnsi="Arial" w:cs="Arial"/>
                          <w:sz w:val="18"/>
                          <w:szCs w:val="18"/>
                          <w:lang w:eastAsia="en-US"/>
                        </w:rPr>
                      </w:pPr>
                    </w:p>
                    <w:p w14:paraId="464F4023" w14:textId="78D440F0" w:rsidR="00D9295E" w:rsidRPr="009B74E4" w:rsidRDefault="00D9295E" w:rsidP="00D91161">
                      <w:pPr>
                        <w:numPr>
                          <w:ilvl w:val="0"/>
                          <w:numId w:val="7"/>
                        </w:numPr>
                        <w:spacing w:after="240"/>
                        <w:rPr>
                          <w:rFonts w:ascii="Arial" w:hAnsi="Arial" w:cs="Arial"/>
                          <w:sz w:val="18"/>
                          <w:szCs w:val="18"/>
                        </w:rPr>
                      </w:pPr>
                      <w:r w:rsidRPr="009B74E4">
                        <w:rPr>
                          <w:rFonts w:ascii="Arial" w:hAnsi="Arial" w:cs="Arial"/>
                          <w:sz w:val="18"/>
                          <w:szCs w:val="18"/>
                        </w:rPr>
                        <w:t xml:space="preserve">On January 14, the Department of Labor </w:t>
                      </w:r>
                      <w:hyperlink r:id="rId25" w:history="1">
                        <w:r w:rsidRPr="009B74E4">
                          <w:rPr>
                            <w:rStyle w:val="Hyperlink"/>
                            <w:rFonts w:ascii="Arial" w:hAnsi="Arial" w:cs="Arial"/>
                            <w:sz w:val="18"/>
                            <w:szCs w:val="18"/>
                          </w:rPr>
                          <w:t>issued</w:t>
                        </w:r>
                      </w:hyperlink>
                      <w:r w:rsidRPr="009B74E4">
                        <w:rPr>
                          <w:rFonts w:ascii="Arial" w:hAnsi="Arial" w:cs="Arial"/>
                          <w:sz w:val="18"/>
                          <w:szCs w:val="18"/>
                        </w:rPr>
                        <w:t xml:space="preserve"> its annual inflationary adjustments to the civil monetary penalties that apply for certain ERISA violations</w:t>
                      </w:r>
                      <w:r>
                        <w:rPr>
                          <w:rFonts w:ascii="Arial" w:hAnsi="Arial" w:cs="Arial"/>
                          <w:sz w:val="18"/>
                          <w:szCs w:val="18"/>
                        </w:rPr>
                        <w:t>.</w:t>
                      </w:r>
                    </w:p>
                    <w:p w14:paraId="4FA7FB37" w14:textId="79B1A951" w:rsidR="00D9295E" w:rsidRDefault="00D9295E" w:rsidP="00D91161">
                      <w:pPr>
                        <w:numPr>
                          <w:ilvl w:val="0"/>
                          <w:numId w:val="7"/>
                        </w:numPr>
                        <w:spacing w:before="100" w:beforeAutospacing="1" w:after="240"/>
                        <w:rPr>
                          <w:rFonts w:ascii="Arial" w:hAnsi="Arial" w:cs="Arial"/>
                          <w:sz w:val="18"/>
                          <w:szCs w:val="18"/>
                        </w:rPr>
                      </w:pPr>
                      <w:r w:rsidRPr="009B74E4">
                        <w:rPr>
                          <w:rFonts w:ascii="Arial" w:hAnsi="Arial" w:cs="Arial"/>
                          <w:sz w:val="18"/>
                          <w:szCs w:val="18"/>
                        </w:rPr>
                        <w:t xml:space="preserve">Also on January 14, the Treasury Department issued </w:t>
                      </w:r>
                      <w:hyperlink r:id="rId26" w:history="1">
                        <w:r w:rsidRPr="009B74E4">
                          <w:rPr>
                            <w:rStyle w:val="Hyperlink"/>
                            <w:rFonts w:ascii="Arial" w:hAnsi="Arial" w:cs="Arial"/>
                            <w:sz w:val="18"/>
                            <w:szCs w:val="18"/>
                          </w:rPr>
                          <w:t>final ICHRA rules</w:t>
                        </w:r>
                      </w:hyperlink>
                      <w:r w:rsidRPr="009B74E4">
                        <w:rPr>
                          <w:rFonts w:ascii="Arial" w:hAnsi="Arial" w:cs="Arial"/>
                          <w:sz w:val="18"/>
                          <w:szCs w:val="18"/>
                        </w:rPr>
                        <w:t xml:space="preserve">, which did not differ substantively from the proposed rules issued in 2019 (see Benefit </w:t>
                      </w:r>
                      <w:proofErr w:type="spellStart"/>
                      <w:r w:rsidRPr="009B74E4">
                        <w:rPr>
                          <w:rFonts w:ascii="Arial" w:hAnsi="Arial" w:cs="Arial"/>
                          <w:sz w:val="18"/>
                          <w:szCs w:val="18"/>
                        </w:rPr>
                        <w:t>Comply’s</w:t>
                      </w:r>
                      <w:proofErr w:type="spellEnd"/>
                      <w:r w:rsidRPr="009B74E4">
                        <w:rPr>
                          <w:rFonts w:ascii="Arial" w:hAnsi="Arial" w:cs="Arial"/>
                          <w:sz w:val="18"/>
                          <w:szCs w:val="18"/>
                        </w:rPr>
                        <w:t xml:space="preserve"> summary of the proposed rules </w:t>
                      </w:r>
                      <w:hyperlink r:id="rId27" w:history="1">
                        <w:r w:rsidRPr="009B74E4">
                          <w:rPr>
                            <w:rStyle w:val="Hyperlink"/>
                            <w:rFonts w:ascii="Arial" w:hAnsi="Arial" w:cs="Arial"/>
                            <w:sz w:val="18"/>
                            <w:szCs w:val="18"/>
                          </w:rPr>
                          <w:t>here</w:t>
                        </w:r>
                      </w:hyperlink>
                      <w:r w:rsidRPr="009B74E4">
                        <w:rPr>
                          <w:rFonts w:ascii="Arial" w:hAnsi="Arial" w:cs="Arial"/>
                          <w:sz w:val="18"/>
                          <w:szCs w:val="18"/>
                        </w:rPr>
                        <w:t>).</w:t>
                      </w:r>
                    </w:p>
                    <w:p w14:paraId="78D180DF" w14:textId="4FB3A45C" w:rsidR="00F5132B" w:rsidRPr="00F5132B" w:rsidRDefault="00D9295E" w:rsidP="00F5132B">
                      <w:pPr>
                        <w:numPr>
                          <w:ilvl w:val="0"/>
                          <w:numId w:val="8"/>
                        </w:numPr>
                        <w:spacing w:before="100" w:beforeAutospacing="1"/>
                        <w:rPr>
                          <w:rFonts w:ascii="Arial" w:hAnsi="Arial" w:cs="Arial"/>
                          <w:sz w:val="18"/>
                          <w:szCs w:val="18"/>
                        </w:rPr>
                      </w:pPr>
                      <w:r w:rsidRPr="009B74E4">
                        <w:rPr>
                          <w:rStyle w:val="Strong"/>
                          <w:rFonts w:ascii="Arial" w:hAnsi="Arial" w:cs="Arial"/>
                          <w:color w:val="auto"/>
                          <w:sz w:val="18"/>
                          <w:szCs w:val="18"/>
                        </w:rPr>
                        <w:t xml:space="preserve">In mid-January, the Department of Health and Human Services (HHS) </w:t>
                      </w:r>
                      <w:hyperlink r:id="rId28" w:history="1">
                        <w:r w:rsidRPr="009B74E4">
                          <w:rPr>
                            <w:rStyle w:val="Hyperlink"/>
                            <w:rFonts w:ascii="Arial" w:hAnsi="Arial" w:cs="Arial"/>
                            <w:color w:val="auto"/>
                            <w:sz w:val="18"/>
                            <w:szCs w:val="18"/>
                          </w:rPr>
                          <w:t>updated</w:t>
                        </w:r>
                      </w:hyperlink>
                      <w:r w:rsidRPr="009B74E4">
                        <w:rPr>
                          <w:rStyle w:val="Strong"/>
                          <w:rFonts w:ascii="Arial" w:hAnsi="Arial" w:cs="Arial"/>
                          <w:color w:val="auto"/>
                          <w:sz w:val="18"/>
                          <w:szCs w:val="18"/>
                        </w:rPr>
                        <w:t xml:space="preserve"> the federal mainland poverty level (FPL)</w:t>
                      </w:r>
                      <w:r w:rsidRPr="009B74E4">
                        <w:rPr>
                          <w:rFonts w:ascii="Arial" w:hAnsi="Arial" w:cs="Arial"/>
                          <w:sz w:val="18"/>
                          <w:szCs w:val="18"/>
                        </w:rPr>
                        <w:t>, setting it at $12,880 for 2021 (up from $12,760 in 2020). Applicable Large Employers who are relying on the FPL affordability safe harbor may use the FPL in effect 6 months before the start of the plan year.</w:t>
                      </w:r>
                    </w:p>
                    <w:p w14:paraId="0B382076" w14:textId="77777777" w:rsidR="003D1591" w:rsidRPr="00EC6689" w:rsidRDefault="003D1591" w:rsidP="003D1591">
                      <w:pPr>
                        <w:numPr>
                          <w:ilvl w:val="0"/>
                          <w:numId w:val="8"/>
                        </w:numPr>
                        <w:spacing w:before="100" w:beforeAutospacing="1"/>
                        <w:rPr>
                          <w:rFonts w:ascii="Arial" w:hAnsi="Arial" w:cs="Arial"/>
                          <w:sz w:val="18"/>
                          <w:szCs w:val="18"/>
                        </w:rPr>
                      </w:pPr>
                      <w:r w:rsidRPr="009B74E4">
                        <w:rPr>
                          <w:rStyle w:val="Strong"/>
                          <w:rFonts w:ascii="Arial" w:hAnsi="Arial" w:cs="Arial"/>
                          <w:color w:val="auto"/>
                          <w:sz w:val="18"/>
                          <w:szCs w:val="18"/>
                        </w:rPr>
                        <w:t xml:space="preserve">On January 19, the Centers for Medicare and Medicaid Services (CMS) </w:t>
                      </w:r>
                      <w:hyperlink r:id="rId29" w:history="1">
                        <w:r w:rsidRPr="009B74E4">
                          <w:rPr>
                            <w:rStyle w:val="Hyperlink"/>
                            <w:rFonts w:ascii="Arial" w:hAnsi="Arial" w:cs="Arial"/>
                            <w:color w:val="auto"/>
                            <w:sz w:val="18"/>
                            <w:szCs w:val="18"/>
                          </w:rPr>
                          <w:t>issued a bulletin</w:t>
                        </w:r>
                      </w:hyperlink>
                      <w:r w:rsidRPr="009B74E4">
                        <w:rPr>
                          <w:rStyle w:val="Strong"/>
                          <w:rFonts w:ascii="Arial" w:hAnsi="Arial" w:cs="Arial"/>
                          <w:color w:val="auto"/>
                          <w:sz w:val="18"/>
                          <w:szCs w:val="18"/>
                        </w:rPr>
                        <w:t xml:space="preserve"> </w:t>
                      </w:r>
                      <w:r w:rsidRPr="00491992">
                        <w:rPr>
                          <w:rStyle w:val="Strong"/>
                          <w:rFonts w:ascii="Arial" w:hAnsi="Arial" w:cs="Arial"/>
                          <w:color w:val="auto"/>
                          <w:sz w:val="18"/>
                          <w:szCs w:val="18"/>
                        </w:rPr>
                        <w:t>extending its nonenforcement policy</w:t>
                      </w:r>
                      <w:r w:rsidRPr="00491992">
                        <w:rPr>
                          <w:rFonts w:ascii="Arial" w:hAnsi="Arial" w:cs="Arial"/>
                          <w:sz w:val="18"/>
                          <w:szCs w:val="18"/>
                        </w:rPr>
                        <w:t xml:space="preserve"> (in place since 2013) for certain non-grandfathered individual and small group market plans that do not comply with specified market reforms (so-called “</w:t>
                      </w:r>
                      <w:proofErr w:type="spellStart"/>
                      <w:r w:rsidRPr="00491992">
                        <w:rPr>
                          <w:rFonts w:ascii="Arial" w:hAnsi="Arial" w:cs="Arial"/>
                          <w:sz w:val="18"/>
                          <w:szCs w:val="18"/>
                        </w:rPr>
                        <w:t>grandmothered</w:t>
                      </w:r>
                      <w:proofErr w:type="spellEnd"/>
                      <w:r w:rsidRPr="00491992">
                        <w:rPr>
                          <w:rFonts w:ascii="Arial" w:hAnsi="Arial" w:cs="Arial"/>
                          <w:sz w:val="18"/>
                          <w:szCs w:val="18"/>
                        </w:rPr>
                        <w:t xml:space="preserve"> plans”). The extended non-enforcement allows states to permit insurers to renew “</w:t>
                      </w:r>
                      <w:proofErr w:type="spellStart"/>
                      <w:r w:rsidRPr="00491992">
                        <w:rPr>
                          <w:rFonts w:ascii="Arial" w:hAnsi="Arial" w:cs="Arial"/>
                          <w:sz w:val="18"/>
                          <w:szCs w:val="18"/>
                        </w:rPr>
                        <w:t>grandmothered</w:t>
                      </w:r>
                      <w:proofErr w:type="spellEnd"/>
                      <w:r w:rsidRPr="00491992">
                        <w:rPr>
                          <w:rFonts w:ascii="Arial" w:hAnsi="Arial" w:cs="Arial"/>
                          <w:sz w:val="18"/>
                          <w:szCs w:val="18"/>
                        </w:rPr>
                        <w:t>” policies that begin on or before October 1, 2022. It also requires that such coverage come into compliance with the applicable requirements by January 1, 2023.</w:t>
                      </w:r>
                    </w:p>
                    <w:p w14:paraId="700F5455" w14:textId="77777777" w:rsidR="00D9295E" w:rsidRPr="00CF05F3" w:rsidRDefault="00D9295E" w:rsidP="00CF05F3">
                      <w:pPr>
                        <w:pStyle w:val="ListParagraph"/>
                        <w:rPr>
                          <w:rFonts w:ascii="Arial" w:eastAsia="Times New Roman" w:hAnsi="Arial" w:cs="Arial"/>
                          <w:color w:val="000000" w:themeColor="text1"/>
                          <w:sz w:val="18"/>
                          <w:szCs w:val="18"/>
                          <w:lang w:eastAsia="en-US"/>
                        </w:rPr>
                      </w:pPr>
                    </w:p>
                    <w:p w14:paraId="72E333CD" w14:textId="77777777" w:rsidR="00D9295E" w:rsidRPr="004F62E7" w:rsidRDefault="00D9295E" w:rsidP="00D8656C">
                      <w:pPr>
                        <w:pStyle w:val="ListParagraph"/>
                        <w:spacing w:after="0"/>
                        <w:ind w:left="360"/>
                        <w:rPr>
                          <w:rFonts w:ascii="Arial" w:eastAsia="Times New Roman" w:hAnsi="Arial" w:cs="Arial"/>
                          <w:color w:val="000000" w:themeColor="text1"/>
                          <w:sz w:val="18"/>
                          <w:szCs w:val="18"/>
                          <w:lang w:eastAsia="en-US"/>
                        </w:rPr>
                      </w:pPr>
                    </w:p>
                    <w:p w14:paraId="2EFBA5CD" w14:textId="77777777" w:rsidR="00D9295E" w:rsidRPr="00D4084B" w:rsidRDefault="00D9295E" w:rsidP="00D4084B">
                      <w:pPr>
                        <w:rPr>
                          <w:rFonts w:ascii="Arial" w:eastAsia="Times New Roman" w:hAnsi="Arial" w:cs="Arial"/>
                          <w:color w:val="000000" w:themeColor="text1"/>
                          <w:sz w:val="18"/>
                          <w:szCs w:val="18"/>
                          <w:lang w:eastAsia="en-US"/>
                        </w:rPr>
                      </w:pPr>
                    </w:p>
                    <w:p w14:paraId="7EE0E43B" w14:textId="77777777" w:rsidR="00D9295E" w:rsidRPr="007B59C6" w:rsidRDefault="00D9295E" w:rsidP="00CF3B31">
                      <w:pPr>
                        <w:pStyle w:val="ListParagraph"/>
                        <w:rPr>
                          <w:rFonts w:ascii="Arial" w:eastAsia="Times New Roman" w:hAnsi="Arial" w:cs="Arial"/>
                          <w:color w:val="000000" w:themeColor="text1"/>
                          <w:sz w:val="18"/>
                          <w:szCs w:val="18"/>
                          <w:lang w:eastAsia="en-US"/>
                        </w:rPr>
                      </w:pPr>
                    </w:p>
                    <w:p w14:paraId="04289455" w14:textId="77777777" w:rsidR="00D9295E" w:rsidRPr="007B0C57" w:rsidRDefault="00D9295E" w:rsidP="00CF3B31">
                      <w:pPr>
                        <w:rPr>
                          <w:rFonts w:ascii="Arial" w:eastAsia="Times New Roman" w:hAnsi="Arial" w:cs="Arial"/>
                          <w:color w:val="000000" w:themeColor="text1"/>
                          <w:sz w:val="18"/>
                          <w:szCs w:val="18"/>
                          <w:lang w:eastAsia="en-US"/>
                        </w:rPr>
                      </w:pPr>
                    </w:p>
                    <w:p w14:paraId="5EED3AAB" w14:textId="77777777" w:rsidR="00D9295E" w:rsidRPr="005C7A6D" w:rsidRDefault="00D9295E" w:rsidP="00CF3B31">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x="margin" anchory="margin"/>
              </v:shape>
            </w:pict>
          </mc:Fallback>
        </mc:AlternateContent>
      </w:r>
      <w:r w:rsidR="00D65FCB" w:rsidRPr="00D91161">
        <w:rPr>
          <w:color w:val="0070C0"/>
          <w:sz w:val="32"/>
          <w:szCs w:val="32"/>
        </w:rPr>
        <w:t>In Other News…</w:t>
      </w:r>
      <w:bookmarkStart w:id="4" w:name="_Toc27560137"/>
      <w:bookmarkStart w:id="5" w:name="_Toc44580996"/>
      <w:bookmarkStart w:id="6" w:name="_Toc52954060"/>
      <w:r w:rsidR="004F62E7" w:rsidRPr="00D91161">
        <w:rPr>
          <w:color w:val="0070C0"/>
          <w:sz w:val="32"/>
          <w:szCs w:val="32"/>
        </w:rPr>
        <w:br/>
      </w:r>
      <w:r w:rsidR="005C01C7" w:rsidRPr="00D91161">
        <w:rPr>
          <w:i/>
          <w:iCs/>
        </w:rPr>
        <w:t>Recap of</w:t>
      </w:r>
      <w:r w:rsidR="00AE4C42" w:rsidRPr="00D91161">
        <w:rPr>
          <w:i/>
          <w:iCs/>
        </w:rPr>
        <w:t xml:space="preserve"> </w:t>
      </w:r>
      <w:r w:rsidR="00D91161" w:rsidRPr="00D91161">
        <w:rPr>
          <w:i/>
          <w:iCs/>
        </w:rPr>
        <w:t>1st</w:t>
      </w:r>
      <w:r w:rsidR="005C01C7" w:rsidRPr="00D91161">
        <w:rPr>
          <w:i/>
          <w:iCs/>
        </w:rPr>
        <w:t xml:space="preserve"> Quarter Issue Briefs and Alerts</w:t>
      </w:r>
      <w:bookmarkEnd w:id="3"/>
      <w:bookmarkEnd w:id="4"/>
      <w:bookmarkEnd w:id="5"/>
      <w:bookmarkEnd w:id="6"/>
    </w:p>
    <w:p w14:paraId="1090A61D" w14:textId="77777777" w:rsidR="004F62E7" w:rsidRPr="00D91161" w:rsidRDefault="004F62E7" w:rsidP="00C56AB2">
      <w:pPr>
        <w:spacing w:line="276" w:lineRule="auto"/>
        <w:ind w:left="720"/>
        <w:rPr>
          <w:rFonts w:ascii="Arial" w:hAnsi="Arial" w:cs="Arial"/>
          <w:b/>
          <w:bCs/>
          <w:color w:val="333333"/>
          <w:sz w:val="20"/>
          <w:szCs w:val="20"/>
          <w:shd w:val="clear" w:color="auto" w:fill="FFFFFF"/>
        </w:rPr>
      </w:pPr>
    </w:p>
    <w:p w14:paraId="146BDFD2" w14:textId="77777777" w:rsidR="00377EF7" w:rsidRPr="00D91161" w:rsidRDefault="00377EF7" w:rsidP="00C56AB2">
      <w:pPr>
        <w:ind w:left="720"/>
        <w:rPr>
          <w:rFonts w:ascii="Arial" w:hAnsi="Arial" w:cs="Arial"/>
          <w:b/>
          <w:bCs/>
          <w:sz w:val="20"/>
          <w:szCs w:val="20"/>
        </w:rPr>
      </w:pPr>
      <w:r w:rsidRPr="00D91161">
        <w:rPr>
          <w:rFonts w:ascii="Arial" w:hAnsi="Arial" w:cs="Arial"/>
          <w:b/>
          <w:bCs/>
          <w:sz w:val="20"/>
          <w:szCs w:val="20"/>
        </w:rPr>
        <w:t>EEOC Proposed Wellness Rules Addressing Permitted Incentive Limits</w:t>
      </w:r>
    </w:p>
    <w:p w14:paraId="097638F5" w14:textId="5EA86DBB" w:rsidR="00377EF7" w:rsidRPr="00D91161" w:rsidRDefault="00377EF7" w:rsidP="00C56AB2">
      <w:pPr>
        <w:ind w:left="720"/>
        <w:rPr>
          <w:rFonts w:ascii="Arial" w:eastAsia="Times New Roman" w:hAnsi="Arial" w:cs="Arial"/>
          <w:color w:val="555555"/>
          <w:sz w:val="21"/>
          <w:szCs w:val="21"/>
        </w:rPr>
      </w:pPr>
      <w:r w:rsidRPr="00D91161">
        <w:rPr>
          <w:rFonts w:ascii="Arial" w:eastAsia="Times New Roman" w:hAnsi="Arial" w:cs="Arial"/>
          <w:color w:val="555555"/>
          <w:sz w:val="21"/>
          <w:szCs w:val="21"/>
        </w:rPr>
        <w:t xml:space="preserve">The EEOC released long-awaited proposed rules addressing what type of incentive can be offered for participation in a wellness program without violating the Americans with Disabilities Act (ADA) or the Genetic Information Nondiscrimination Act (GINA). The rules propose that most wellness programs subject to the ADA or GINA are permitted to offer only a de minimis incentive, stating that “allowing too high of an incentive would make employees feel coerced to disclose protected medical information to receive a reward or avoid a penalty,” but there is an exception allowing health-contingent programs that are part of a group health plan </w:t>
      </w:r>
      <w:r w:rsidRPr="003D1591">
        <w:rPr>
          <w:rFonts w:ascii="Arial" w:eastAsia="Times New Roman" w:hAnsi="Arial" w:cs="Arial"/>
          <w:color w:val="555555"/>
          <w:sz w:val="21"/>
          <w:szCs w:val="21"/>
        </w:rPr>
        <w:t>to instead follow HIPAA wellness program incentive limits. </w:t>
      </w:r>
      <w:r w:rsidR="003D1591">
        <w:rPr>
          <w:rFonts w:ascii="Arial" w:hAnsi="Arial" w:cs="Arial"/>
          <w:sz w:val="21"/>
          <w:szCs w:val="21"/>
        </w:rPr>
        <w:t>NOTE:</w:t>
      </w:r>
      <w:r w:rsidR="003D1591" w:rsidRPr="003D1591">
        <w:rPr>
          <w:rFonts w:ascii="Arial" w:hAnsi="Arial" w:cs="Arial"/>
          <w:sz w:val="21"/>
          <w:szCs w:val="21"/>
        </w:rPr>
        <w:t xml:space="preserve"> these rules were subsequently pulled from publication in the Federal Register and placed on hold pending further review by the Biden Administration.</w:t>
      </w:r>
    </w:p>
    <w:p w14:paraId="7CBC2583" w14:textId="55DEAAA3" w:rsidR="00D91161" w:rsidRPr="00D91161" w:rsidRDefault="00D91161" w:rsidP="00C56AB2">
      <w:pPr>
        <w:ind w:left="720"/>
        <w:rPr>
          <w:rFonts w:ascii="Arial" w:eastAsia="Times New Roman" w:hAnsi="Arial" w:cs="Arial"/>
          <w:color w:val="555555"/>
          <w:sz w:val="21"/>
          <w:szCs w:val="21"/>
        </w:rPr>
      </w:pPr>
    </w:p>
    <w:p w14:paraId="1773D54A" w14:textId="5FD80171" w:rsidR="00377EF7" w:rsidRPr="00D91161" w:rsidRDefault="00377EF7" w:rsidP="00C56AB2">
      <w:pPr>
        <w:ind w:left="720"/>
        <w:rPr>
          <w:rFonts w:ascii="Arial" w:eastAsia="Times New Roman" w:hAnsi="Arial" w:cs="Arial"/>
          <w:color w:val="555555"/>
          <w:sz w:val="21"/>
          <w:szCs w:val="21"/>
        </w:rPr>
      </w:pPr>
      <w:r w:rsidRPr="00D91161">
        <w:rPr>
          <w:rFonts w:ascii="Arial" w:eastAsia="Times New Roman" w:hAnsi="Arial" w:cs="Arial"/>
          <w:color w:val="555555"/>
          <w:sz w:val="21"/>
          <w:szCs w:val="21"/>
        </w:rPr>
        <w:t xml:space="preserve">More here: </w:t>
      </w:r>
      <w:hyperlink r:id="rId30" w:history="1">
        <w:r w:rsidRPr="00D91161">
          <w:rPr>
            <w:rStyle w:val="Hyperlink"/>
            <w:rFonts w:ascii="Arial" w:eastAsia="Times New Roman" w:hAnsi="Arial" w:cs="Arial"/>
            <w:sz w:val="21"/>
            <w:szCs w:val="21"/>
          </w:rPr>
          <w:t>https://benefitcomply.com/eeoc-proposed-wellness-rules-addressing-permitted-incentive-limits/</w:t>
        </w:r>
      </w:hyperlink>
    </w:p>
    <w:p w14:paraId="5DF4C8EB" w14:textId="77777777" w:rsidR="00212781" w:rsidRPr="00D91161" w:rsidRDefault="00212781" w:rsidP="00C56AB2">
      <w:pPr>
        <w:spacing w:line="276" w:lineRule="auto"/>
        <w:ind w:left="720"/>
        <w:rPr>
          <w:rStyle w:val="Strong"/>
          <w:rFonts w:ascii="Arial" w:hAnsi="Arial" w:cs="Arial"/>
          <w:color w:val="000000" w:themeColor="text1"/>
        </w:rPr>
      </w:pPr>
    </w:p>
    <w:p w14:paraId="3C063C66" w14:textId="4575F62D" w:rsidR="00377EF7" w:rsidRPr="00D91161" w:rsidRDefault="00377EF7" w:rsidP="00C56AB2">
      <w:pPr>
        <w:ind w:left="720"/>
        <w:rPr>
          <w:rFonts w:ascii="Arial" w:eastAsia="Times New Roman" w:hAnsi="Arial" w:cs="Arial"/>
          <w:b/>
          <w:bCs/>
          <w:color w:val="555555"/>
          <w:sz w:val="21"/>
          <w:szCs w:val="21"/>
        </w:rPr>
      </w:pPr>
      <w:r w:rsidRPr="00D91161">
        <w:rPr>
          <w:rFonts w:ascii="Arial" w:eastAsia="Times New Roman" w:hAnsi="Arial" w:cs="Arial"/>
          <w:b/>
          <w:bCs/>
          <w:color w:val="555555"/>
          <w:sz w:val="21"/>
          <w:szCs w:val="21"/>
        </w:rPr>
        <w:t>HHS Issues Proposed Modifications to HIPAA Privacy Rule</w:t>
      </w:r>
    </w:p>
    <w:p w14:paraId="5647F509" w14:textId="2EAE1231" w:rsidR="00377EF7" w:rsidRPr="00D91161" w:rsidRDefault="00377EF7" w:rsidP="00C56AB2">
      <w:pPr>
        <w:ind w:left="720"/>
        <w:rPr>
          <w:rFonts w:ascii="Arial" w:hAnsi="Arial" w:cs="Arial"/>
          <w:color w:val="555555"/>
          <w:sz w:val="21"/>
          <w:szCs w:val="21"/>
          <w:shd w:val="clear" w:color="auto" w:fill="FFFFFF"/>
        </w:rPr>
      </w:pPr>
      <w:r w:rsidRPr="00D91161">
        <w:rPr>
          <w:rFonts w:ascii="Arial" w:hAnsi="Arial" w:cs="Arial"/>
          <w:color w:val="555555"/>
          <w:sz w:val="21"/>
          <w:szCs w:val="21"/>
          <w:shd w:val="clear" w:color="auto" w:fill="FFFFFF"/>
        </w:rPr>
        <w:t xml:space="preserve">On December 10, 2020, HHS of Health and Human Services (HHS) released a pre-publication version of a proposed rule (the “proposed rule”) that would modify the HIPAA Privacy Rule to better support care coordination and case management. The proposed rule builds upon public input solicited by HHS in 2018 as part of its “Regulatory Sprint to Coordinated Care.” </w:t>
      </w:r>
    </w:p>
    <w:p w14:paraId="37A9121C" w14:textId="77777777" w:rsidR="00D91161" w:rsidRPr="00D91161" w:rsidRDefault="00D91161" w:rsidP="00C56AB2">
      <w:pPr>
        <w:ind w:left="720"/>
        <w:rPr>
          <w:rFonts w:ascii="Arial" w:hAnsi="Arial" w:cs="Arial"/>
          <w:color w:val="555555"/>
          <w:sz w:val="21"/>
          <w:szCs w:val="21"/>
          <w:shd w:val="clear" w:color="auto" w:fill="FFFFFF"/>
        </w:rPr>
      </w:pPr>
    </w:p>
    <w:p w14:paraId="21904E43" w14:textId="6267EA16" w:rsidR="00377EF7" w:rsidRPr="00D91161" w:rsidRDefault="00377EF7" w:rsidP="00C56AB2">
      <w:pPr>
        <w:ind w:left="720"/>
        <w:rPr>
          <w:rStyle w:val="Hyperlink"/>
          <w:rFonts w:ascii="Arial" w:hAnsi="Arial" w:cs="Arial"/>
          <w:sz w:val="21"/>
          <w:szCs w:val="21"/>
          <w:shd w:val="clear" w:color="auto" w:fill="FFFFFF"/>
        </w:rPr>
      </w:pPr>
      <w:r w:rsidRPr="00D91161">
        <w:rPr>
          <w:rFonts w:ascii="Arial" w:hAnsi="Arial" w:cs="Arial"/>
          <w:color w:val="555555"/>
          <w:sz w:val="21"/>
          <w:szCs w:val="21"/>
          <w:shd w:val="clear" w:color="auto" w:fill="FFFFFF"/>
        </w:rPr>
        <w:t xml:space="preserve">More here: </w:t>
      </w:r>
      <w:hyperlink r:id="rId31" w:history="1">
        <w:r w:rsidRPr="00D91161">
          <w:rPr>
            <w:rStyle w:val="Hyperlink"/>
            <w:rFonts w:ascii="Arial" w:hAnsi="Arial" w:cs="Arial"/>
            <w:sz w:val="21"/>
            <w:szCs w:val="21"/>
            <w:shd w:val="clear" w:color="auto" w:fill="FFFFFF"/>
          </w:rPr>
          <w:t>https://benefitcomply.com/hhs-issues-proposed-modifications-to-the-hipaa-privacy-rule/</w:t>
        </w:r>
      </w:hyperlink>
    </w:p>
    <w:p w14:paraId="6E147179" w14:textId="733425A6" w:rsidR="00377EF7" w:rsidRPr="00D91161" w:rsidRDefault="00377EF7" w:rsidP="00C56AB2">
      <w:pPr>
        <w:ind w:left="720"/>
        <w:rPr>
          <w:rFonts w:ascii="Arial" w:hAnsi="Arial" w:cs="Arial"/>
          <w:color w:val="555555"/>
          <w:sz w:val="21"/>
          <w:szCs w:val="21"/>
          <w:shd w:val="clear" w:color="auto" w:fill="FFFFFF"/>
        </w:rPr>
      </w:pPr>
    </w:p>
    <w:p w14:paraId="46CBB956" w14:textId="3F758E3A" w:rsidR="00377EF7" w:rsidRPr="00D91161" w:rsidRDefault="00377EF7" w:rsidP="00C56AB2">
      <w:pPr>
        <w:ind w:left="720"/>
        <w:rPr>
          <w:rFonts w:ascii="Arial" w:eastAsia="Times New Roman" w:hAnsi="Arial" w:cs="Arial"/>
          <w:b/>
          <w:bCs/>
          <w:color w:val="555555"/>
          <w:sz w:val="21"/>
          <w:szCs w:val="21"/>
        </w:rPr>
      </w:pPr>
    </w:p>
    <w:p w14:paraId="3587B741" w14:textId="652AAFD5" w:rsidR="00D9295E" w:rsidRPr="00D91161" w:rsidRDefault="00EC6689" w:rsidP="006B1A52">
      <w:pPr>
        <w:ind w:left="720"/>
        <w:rPr>
          <w:rFonts w:ascii="Arial" w:hAnsi="Arial" w:cs="Arial"/>
          <w:b/>
          <w:bCs/>
          <w:color w:val="555555"/>
          <w:sz w:val="21"/>
          <w:szCs w:val="21"/>
          <w:shd w:val="clear" w:color="auto" w:fill="FFFFFF"/>
        </w:rPr>
      </w:pPr>
      <w:r w:rsidRPr="00D91161">
        <w:rPr>
          <w:rFonts w:ascii="Arial" w:hAnsi="Arial" w:cs="Arial"/>
          <w:b/>
          <w:bCs/>
          <w:color w:val="555555"/>
          <w:sz w:val="21"/>
          <w:szCs w:val="21"/>
          <w:shd w:val="clear" w:color="auto" w:fill="FFFFFF"/>
        </w:rPr>
        <w:t>Enforcement Efforts for Mental Health Parity – New Comparative Analysis</w:t>
      </w:r>
    </w:p>
    <w:p w14:paraId="4FF7A8A3" w14:textId="7044CCB3" w:rsidR="0018238D" w:rsidRPr="00D91161" w:rsidRDefault="0018238D" w:rsidP="00C56AB2">
      <w:pPr>
        <w:ind w:left="720"/>
        <w:rPr>
          <w:rFonts w:ascii="Arial" w:hAnsi="Arial" w:cs="Arial"/>
          <w:color w:val="555555"/>
          <w:sz w:val="21"/>
          <w:szCs w:val="21"/>
          <w:shd w:val="clear" w:color="auto" w:fill="FFFFFF"/>
        </w:rPr>
      </w:pPr>
      <w:r w:rsidRPr="00D91161">
        <w:rPr>
          <w:rFonts w:ascii="Arial" w:hAnsi="Arial" w:cs="Arial"/>
          <w:color w:val="555555"/>
          <w:sz w:val="21"/>
          <w:szCs w:val="21"/>
          <w:shd w:val="clear" w:color="auto" w:fill="FFFFFF"/>
        </w:rPr>
        <w:t xml:space="preserve">Recent legislation prioritizes enforcement efforts for existing rules that require parity for group health plan coverage of mental health and substance use disorder benefits. Group health plans that provide coverage for mental health or </w:t>
      </w:r>
      <w:r w:rsidRPr="00D91161">
        <w:rPr>
          <w:rFonts w:ascii="Arial" w:hAnsi="Arial" w:cs="Arial"/>
          <w:color w:val="555555"/>
          <w:sz w:val="21"/>
          <w:szCs w:val="21"/>
          <w:shd w:val="clear" w:color="auto" w:fill="FFFFFF"/>
        </w:rPr>
        <w:lastRenderedPageBreak/>
        <w:t xml:space="preserve">substance use disorder benefits and are therefore subject to mental health parity rules will soon be required to prepare a comparative analysis and have it available upon request. The carrier will handle this responsibility on behalf of fully-insured group health plans, but employers offering a self-funded group health </w:t>
      </w:r>
      <w:r w:rsidR="00C77003" w:rsidRPr="00D91161">
        <w:rPr>
          <w:rFonts w:ascii="Arial" w:hAnsi="Arial" w:cs="Arial"/>
          <w:noProof/>
        </w:rPr>
        <mc:AlternateContent>
          <mc:Choice Requires="wps">
            <w:drawing>
              <wp:anchor distT="0" distB="0" distL="114300" distR="114300" simplePos="0" relativeHeight="251709440" behindDoc="1" locked="0" layoutInCell="1" allowOverlap="1" wp14:anchorId="246149A4" wp14:editId="06C47915">
                <wp:simplePos x="0" y="0"/>
                <wp:positionH relativeFrom="page">
                  <wp:posOffset>4502150</wp:posOffset>
                </wp:positionH>
                <wp:positionV relativeFrom="margin">
                  <wp:align>top</wp:align>
                </wp:positionV>
                <wp:extent cx="3008630" cy="7162800"/>
                <wp:effectExtent l="0" t="0" r="1270" b="0"/>
                <wp:wrapSquare wrapText="bothSides"/>
                <wp:docPr id="5" name="Text Box 5"/>
                <wp:cNvGraphicFramePr/>
                <a:graphic xmlns:a="http://schemas.openxmlformats.org/drawingml/2006/main">
                  <a:graphicData uri="http://schemas.microsoft.com/office/word/2010/wordprocessingShape">
                    <wps:wsp>
                      <wps:cNvSpPr txBox="1"/>
                      <wps:spPr>
                        <a:xfrm>
                          <a:off x="0" y="0"/>
                          <a:ext cx="3008630" cy="7162800"/>
                        </a:xfrm>
                        <a:prstGeom prst="rect">
                          <a:avLst/>
                        </a:prstGeom>
                        <a:solidFill>
                          <a:srgbClr val="61ADBF">
                            <a:lumMod val="20000"/>
                            <a:lumOff val="80000"/>
                          </a:srgbClr>
                        </a:solidFill>
                        <a:ln w="6350">
                          <a:noFill/>
                        </a:ln>
                      </wps:spPr>
                      <wps:txbx>
                        <w:txbxContent>
                          <w:p w14:paraId="0D829B69" w14:textId="77777777" w:rsidR="00D9295E" w:rsidRDefault="00D9295E" w:rsidP="00EC6689">
                            <w:pPr>
                              <w:spacing w:line="276" w:lineRule="auto"/>
                              <w:ind w:left="360"/>
                              <w:rPr>
                                <w:rFonts w:ascii="Arial" w:hAnsi="Arial" w:cs="Arial"/>
                                <w:b/>
                                <w:bCs/>
                                <w:color w:val="0070C0"/>
                                <w:sz w:val="26"/>
                                <w:szCs w:val="26"/>
                              </w:rPr>
                            </w:pPr>
                          </w:p>
                          <w:p w14:paraId="6690CBA8" w14:textId="77777777" w:rsidR="00D9295E" w:rsidRPr="003005AF" w:rsidRDefault="00D9295E" w:rsidP="00EC6689">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3AD8AFFD" w14:textId="74BD747C" w:rsidR="00D9295E" w:rsidRPr="00491992" w:rsidRDefault="00D9295E" w:rsidP="00D91161">
                            <w:pPr>
                              <w:numPr>
                                <w:ilvl w:val="0"/>
                                <w:numId w:val="10"/>
                              </w:numPr>
                              <w:spacing w:before="100" w:beforeAutospacing="1" w:after="100" w:afterAutospacing="1"/>
                              <w:rPr>
                                <w:rFonts w:ascii="Arial" w:hAnsi="Arial" w:cs="Arial"/>
                                <w:sz w:val="18"/>
                                <w:szCs w:val="18"/>
                              </w:rPr>
                            </w:pPr>
                            <w:r w:rsidRPr="00491992">
                              <w:rPr>
                                <w:rStyle w:val="Strong"/>
                                <w:rFonts w:ascii="Arial" w:hAnsi="Arial" w:cs="Arial"/>
                                <w:color w:val="auto"/>
                                <w:sz w:val="18"/>
                                <w:szCs w:val="18"/>
                              </w:rPr>
                              <w:t xml:space="preserve">The IRS </w:t>
                            </w:r>
                            <w:r w:rsidR="003D1591">
                              <w:rPr>
                                <w:rStyle w:val="Strong"/>
                                <w:rFonts w:ascii="Arial" w:hAnsi="Arial" w:cs="Arial"/>
                                <w:color w:val="auto"/>
                                <w:sz w:val="18"/>
                                <w:szCs w:val="18"/>
                              </w:rPr>
                              <w:t>has r</w:t>
                            </w:r>
                            <w:r w:rsidRPr="00491992">
                              <w:rPr>
                                <w:rStyle w:val="Strong"/>
                                <w:rFonts w:ascii="Arial" w:hAnsi="Arial" w:cs="Arial"/>
                                <w:color w:val="auto"/>
                                <w:sz w:val="18"/>
                                <w:szCs w:val="18"/>
                              </w:rPr>
                              <w:t xml:space="preserve">eleased an </w:t>
                            </w:r>
                            <w:hyperlink r:id="rId32" w:history="1">
                              <w:r w:rsidRPr="00491992">
                                <w:rPr>
                                  <w:rStyle w:val="Hyperlink"/>
                                  <w:rFonts w:ascii="Arial" w:hAnsi="Arial" w:cs="Arial"/>
                                  <w:color w:val="auto"/>
                                  <w:sz w:val="18"/>
                                  <w:szCs w:val="18"/>
                                </w:rPr>
                                <w:t>updated version of Publication 502</w:t>
                              </w:r>
                            </w:hyperlink>
                            <w:r w:rsidRPr="00491992">
                              <w:rPr>
                                <w:rFonts w:ascii="Arial" w:hAnsi="Arial" w:cs="Arial"/>
                                <w:sz w:val="18"/>
                                <w:szCs w:val="18"/>
                              </w:rPr>
                              <w:t>, which sets forth expenses that are considered “medical expenses” under Code § 213(d) and that may be eligible for reimbursement under a health FSA, HSA, HRA, or covered on a tax-favored basis under a group health plan.  </w:t>
                            </w:r>
                          </w:p>
                          <w:p w14:paraId="25E449B7" w14:textId="77777777" w:rsidR="00D9295E" w:rsidRPr="00491992" w:rsidRDefault="00D9295E" w:rsidP="00D91161">
                            <w:pPr>
                              <w:numPr>
                                <w:ilvl w:val="0"/>
                                <w:numId w:val="11"/>
                              </w:numPr>
                              <w:spacing w:before="100" w:beforeAutospacing="1" w:after="100" w:afterAutospacing="1"/>
                              <w:rPr>
                                <w:rFonts w:ascii="Arial" w:hAnsi="Arial" w:cs="Arial"/>
                                <w:sz w:val="18"/>
                                <w:szCs w:val="18"/>
                              </w:rPr>
                            </w:pPr>
                            <w:r w:rsidRPr="00491992">
                              <w:rPr>
                                <w:rStyle w:val="Strong"/>
                                <w:rFonts w:ascii="Arial" w:hAnsi="Arial" w:cs="Arial"/>
                                <w:color w:val="auto"/>
                                <w:sz w:val="18"/>
                                <w:szCs w:val="18"/>
                              </w:rPr>
                              <w:t xml:space="preserve">HHS has </w:t>
                            </w:r>
                            <w:hyperlink r:id="rId33" w:history="1">
                              <w:r w:rsidRPr="00491992">
                                <w:rPr>
                                  <w:rStyle w:val="Hyperlink"/>
                                  <w:rFonts w:ascii="Arial" w:hAnsi="Arial" w:cs="Arial"/>
                                  <w:color w:val="auto"/>
                                  <w:sz w:val="18"/>
                                  <w:szCs w:val="18"/>
                                </w:rPr>
                                <w:t>finalized</w:t>
                              </w:r>
                            </w:hyperlink>
                            <w:r w:rsidRPr="00491992">
                              <w:rPr>
                                <w:rStyle w:val="Strong"/>
                                <w:rFonts w:ascii="Arial" w:hAnsi="Arial" w:cs="Arial"/>
                                <w:color w:val="auto"/>
                                <w:sz w:val="18"/>
                                <w:szCs w:val="18"/>
                              </w:rPr>
                              <w:t xml:space="preserve"> portions of its proposed Notice of Benefits and Payments Parameters for 2022</w:t>
                            </w:r>
                            <w:r w:rsidRPr="00491992">
                              <w:rPr>
                                <w:rFonts w:ascii="Arial" w:hAnsi="Arial" w:cs="Arial"/>
                                <w:sz w:val="18"/>
                                <w:szCs w:val="18"/>
                              </w:rPr>
                              <w:t xml:space="preserve"> to address standards for individual coverage HRAs (ICHRAs) and qualified small employer health reimbursement arrangements (QSEHRAs). Under the final rules, individual market insurers will be required to: 1) accept payments of premiums that are received directly from an ICHRA or QSEHRA that are made on behalf of an enrollee covered by the ICHRA or QSEHRA; and 2) accept</w:t>
                            </w:r>
                            <w:r>
                              <w:rPr>
                                <w:rFonts w:ascii="Arial" w:hAnsi="Arial" w:cs="Arial"/>
                                <w:sz w:val="18"/>
                                <w:szCs w:val="18"/>
                              </w:rPr>
                              <w:t xml:space="preserve"> payments</w:t>
                            </w:r>
                            <w:r w:rsidRPr="00491992">
                              <w:rPr>
                                <w:rFonts w:ascii="Arial" w:hAnsi="Arial" w:cs="Arial"/>
                                <w:sz w:val="18"/>
                                <w:szCs w:val="18"/>
                              </w:rPr>
                              <w:t xml:space="preserve"> made directly by enrollees in connection with an ICHRA or QSEHRA. Issuers must accept such payments as long as they are made using one of the acceptable monthly premium payment methods under existing exchange standards.</w:t>
                            </w:r>
                          </w:p>
                          <w:p w14:paraId="33B4339A" w14:textId="5B321655" w:rsidR="00C77003" w:rsidRPr="00C77003" w:rsidRDefault="00D9295E" w:rsidP="00C77003">
                            <w:pPr>
                              <w:numPr>
                                <w:ilvl w:val="0"/>
                                <w:numId w:val="12"/>
                              </w:numPr>
                              <w:spacing w:before="100" w:beforeAutospacing="1" w:after="240"/>
                            </w:pPr>
                            <w:r w:rsidRPr="00491992">
                              <w:rPr>
                                <w:rStyle w:val="Strong"/>
                                <w:rFonts w:ascii="Arial" w:hAnsi="Arial" w:cs="Arial"/>
                                <w:color w:val="auto"/>
                                <w:sz w:val="18"/>
                                <w:szCs w:val="18"/>
                              </w:rPr>
                              <w:t xml:space="preserve">On January 28, the Biden administration issued an </w:t>
                            </w:r>
                            <w:hyperlink r:id="rId34" w:history="1">
                              <w:r w:rsidRPr="00491992">
                                <w:rPr>
                                  <w:rStyle w:val="Hyperlink"/>
                                  <w:rFonts w:ascii="Arial" w:hAnsi="Arial" w:cs="Arial"/>
                                  <w:color w:val="auto"/>
                                  <w:sz w:val="18"/>
                                  <w:szCs w:val="18"/>
                                </w:rPr>
                                <w:t>Executive Order</w:t>
                              </w:r>
                            </w:hyperlink>
                            <w:r w:rsidRPr="00491992">
                              <w:rPr>
                                <w:rStyle w:val="Strong"/>
                                <w:rFonts w:ascii="Arial" w:hAnsi="Arial" w:cs="Arial"/>
                                <w:color w:val="auto"/>
                                <w:sz w:val="18"/>
                                <w:szCs w:val="18"/>
                              </w:rPr>
                              <w:t xml:space="preserve"> </w:t>
                            </w:r>
                            <w:r w:rsidRPr="00491992">
                              <w:rPr>
                                <w:rFonts w:ascii="Arial" w:hAnsi="Arial" w:cs="Arial"/>
                                <w:sz w:val="18"/>
                                <w:szCs w:val="18"/>
                              </w:rPr>
                              <w:t>indicating that it would be opening a special enrollment period (SEP) for individuals in the Health Insurance Marketplace (federal exchange) from February 15, 2021 – May 15, 2021</w:t>
                            </w:r>
                            <w:r w:rsidR="00162B1E">
                              <w:rPr>
                                <w:rFonts w:ascii="Arial" w:hAnsi="Arial" w:cs="Arial"/>
                                <w:sz w:val="18"/>
                                <w:szCs w:val="18"/>
                              </w:rPr>
                              <w:t xml:space="preserve"> (now further extended to August 15, 2021)</w:t>
                            </w:r>
                            <w:r w:rsidRPr="00491992">
                              <w:rPr>
                                <w:rFonts w:ascii="Arial" w:hAnsi="Arial" w:cs="Arial"/>
                                <w:sz w:val="18"/>
                                <w:szCs w:val="18"/>
                              </w:rPr>
                              <w:t>. Individuals who are uninsured and those who are currently covered by a Marketplace plan and wish to change coverage are eligible to enroll. Individuals covered by COBRA will also be able to drop COBRA and enroll.</w:t>
                            </w:r>
                          </w:p>
                          <w:p w14:paraId="4FC0CD35" w14:textId="77777777" w:rsidR="00C77003" w:rsidRPr="008C34BB" w:rsidRDefault="00C77003" w:rsidP="00C77003">
                            <w:pPr>
                              <w:spacing w:before="100" w:beforeAutospacing="1"/>
                              <w:ind w:left="720"/>
                            </w:pPr>
                          </w:p>
                          <w:p w14:paraId="67B5B509" w14:textId="35DDF447" w:rsidR="00D91161" w:rsidRPr="00491992" w:rsidRDefault="00D91161" w:rsidP="008C34BB">
                            <w:pPr>
                              <w:spacing w:before="100" w:beforeAutospacing="1" w:after="100" w:afterAutospacing="1"/>
                              <w:ind w:left="720"/>
                            </w:pPr>
                          </w:p>
                          <w:p w14:paraId="32FEE8F2" w14:textId="77777777" w:rsidR="00D9295E" w:rsidRPr="00491992" w:rsidRDefault="00D9295E" w:rsidP="00EC6689">
                            <w:pPr>
                              <w:spacing w:before="100" w:beforeAutospacing="1" w:after="100" w:afterAutospacing="1"/>
                              <w:ind w:left="720"/>
                              <w:rPr>
                                <w:rFonts w:ascii="Arial" w:hAnsi="Arial" w:cs="Arial"/>
                                <w:sz w:val="18"/>
                                <w:szCs w:val="18"/>
                              </w:rPr>
                            </w:pPr>
                          </w:p>
                          <w:p w14:paraId="783B6680" w14:textId="77777777" w:rsidR="00D9295E" w:rsidRPr="004F62E7" w:rsidRDefault="00D9295E" w:rsidP="00EC6689">
                            <w:pPr>
                              <w:pStyle w:val="ListParagraph"/>
                              <w:spacing w:after="0"/>
                              <w:ind w:left="360"/>
                              <w:rPr>
                                <w:rFonts w:ascii="Arial" w:eastAsia="Times New Roman" w:hAnsi="Arial" w:cs="Arial"/>
                                <w:color w:val="000000" w:themeColor="text1"/>
                                <w:sz w:val="18"/>
                                <w:szCs w:val="18"/>
                                <w:lang w:eastAsia="en-US"/>
                              </w:rPr>
                            </w:pPr>
                          </w:p>
                          <w:p w14:paraId="19D82D7F" w14:textId="77777777" w:rsidR="00D9295E" w:rsidRPr="00D4084B" w:rsidRDefault="00D9295E" w:rsidP="00EC6689">
                            <w:pPr>
                              <w:rPr>
                                <w:rFonts w:ascii="Arial" w:eastAsia="Times New Roman" w:hAnsi="Arial" w:cs="Arial"/>
                                <w:color w:val="000000" w:themeColor="text1"/>
                                <w:sz w:val="18"/>
                                <w:szCs w:val="18"/>
                                <w:lang w:eastAsia="en-US"/>
                              </w:rPr>
                            </w:pPr>
                          </w:p>
                          <w:p w14:paraId="15561152" w14:textId="77777777" w:rsidR="00D9295E" w:rsidRPr="007B59C6" w:rsidRDefault="00D9295E" w:rsidP="00EC6689">
                            <w:pPr>
                              <w:pStyle w:val="ListParagraph"/>
                              <w:rPr>
                                <w:rFonts w:ascii="Arial" w:eastAsia="Times New Roman" w:hAnsi="Arial" w:cs="Arial"/>
                                <w:color w:val="000000" w:themeColor="text1"/>
                                <w:sz w:val="18"/>
                                <w:szCs w:val="18"/>
                                <w:lang w:eastAsia="en-US"/>
                              </w:rPr>
                            </w:pPr>
                          </w:p>
                          <w:p w14:paraId="21E32266" w14:textId="77777777" w:rsidR="00D9295E" w:rsidRPr="007B0C57" w:rsidRDefault="00D9295E" w:rsidP="00EC6689">
                            <w:pPr>
                              <w:rPr>
                                <w:rFonts w:ascii="Arial" w:eastAsia="Times New Roman" w:hAnsi="Arial" w:cs="Arial"/>
                                <w:color w:val="000000" w:themeColor="text1"/>
                                <w:sz w:val="18"/>
                                <w:szCs w:val="18"/>
                                <w:lang w:eastAsia="en-US"/>
                              </w:rPr>
                            </w:pPr>
                          </w:p>
                          <w:p w14:paraId="21AB71F5" w14:textId="77777777" w:rsidR="00D9295E" w:rsidRPr="005C7A6D" w:rsidRDefault="00D9295E" w:rsidP="00EC6689">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49A4" id="_x0000_t202" coordsize="21600,21600" o:spt="202" path="m,l,21600r21600,l21600,xe">
                <v:stroke joinstyle="miter"/>
                <v:path gradientshapeok="t" o:connecttype="rect"/>
              </v:shapetype>
              <v:shape id="Text Box 5" o:spid="_x0000_s1028" type="#_x0000_t202" style="position:absolute;left:0;text-align:left;margin-left:354.5pt;margin-top:0;width:236.9pt;height:564pt;z-index:-2516070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" fillcolor="#dfeff2" stroked="f" strokeweight=".5pt">
                <v:textbox>
                  <w:txbxContent>
                    <w:p w14:paraId="0D829B69" w14:textId="77777777" w:rsidR="00D9295E" w:rsidRDefault="00D9295E" w:rsidP="00EC6689">
                      <w:pPr>
                        <w:spacing w:line="276" w:lineRule="auto"/>
                        <w:ind w:left="360"/>
                        <w:rPr>
                          <w:rFonts w:ascii="Arial" w:hAnsi="Arial" w:cs="Arial"/>
                          <w:b/>
                          <w:bCs/>
                          <w:color w:val="0070C0"/>
                          <w:sz w:val="26"/>
                          <w:szCs w:val="26"/>
                        </w:rPr>
                      </w:pPr>
                    </w:p>
                    <w:p w14:paraId="6690CBA8" w14:textId="77777777" w:rsidR="00D9295E" w:rsidRPr="003005AF" w:rsidRDefault="00D9295E" w:rsidP="00EC6689">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3AD8AFFD" w14:textId="74BD747C" w:rsidR="00D9295E" w:rsidRPr="00491992" w:rsidRDefault="00D9295E" w:rsidP="00D91161">
                      <w:pPr>
                        <w:numPr>
                          <w:ilvl w:val="0"/>
                          <w:numId w:val="10"/>
                        </w:numPr>
                        <w:spacing w:before="100" w:beforeAutospacing="1" w:after="100" w:afterAutospacing="1"/>
                        <w:rPr>
                          <w:rFonts w:ascii="Arial" w:hAnsi="Arial" w:cs="Arial"/>
                          <w:sz w:val="18"/>
                          <w:szCs w:val="18"/>
                        </w:rPr>
                      </w:pPr>
                      <w:r w:rsidRPr="00491992">
                        <w:rPr>
                          <w:rStyle w:val="Strong"/>
                          <w:rFonts w:ascii="Arial" w:hAnsi="Arial" w:cs="Arial"/>
                          <w:color w:val="auto"/>
                          <w:sz w:val="18"/>
                          <w:szCs w:val="18"/>
                        </w:rPr>
                        <w:t xml:space="preserve">The IRS </w:t>
                      </w:r>
                      <w:r w:rsidR="003D1591">
                        <w:rPr>
                          <w:rStyle w:val="Strong"/>
                          <w:rFonts w:ascii="Arial" w:hAnsi="Arial" w:cs="Arial"/>
                          <w:color w:val="auto"/>
                          <w:sz w:val="18"/>
                          <w:szCs w:val="18"/>
                        </w:rPr>
                        <w:t>has r</w:t>
                      </w:r>
                      <w:r w:rsidRPr="00491992">
                        <w:rPr>
                          <w:rStyle w:val="Strong"/>
                          <w:rFonts w:ascii="Arial" w:hAnsi="Arial" w:cs="Arial"/>
                          <w:color w:val="auto"/>
                          <w:sz w:val="18"/>
                          <w:szCs w:val="18"/>
                        </w:rPr>
                        <w:t xml:space="preserve">eleased an </w:t>
                      </w:r>
                      <w:hyperlink r:id="rId35" w:history="1">
                        <w:r w:rsidRPr="00491992">
                          <w:rPr>
                            <w:rStyle w:val="Hyperlink"/>
                            <w:rFonts w:ascii="Arial" w:hAnsi="Arial" w:cs="Arial"/>
                            <w:color w:val="auto"/>
                            <w:sz w:val="18"/>
                            <w:szCs w:val="18"/>
                          </w:rPr>
                          <w:t>updated version of Publication 502</w:t>
                        </w:r>
                      </w:hyperlink>
                      <w:r w:rsidRPr="00491992">
                        <w:rPr>
                          <w:rFonts w:ascii="Arial" w:hAnsi="Arial" w:cs="Arial"/>
                          <w:sz w:val="18"/>
                          <w:szCs w:val="18"/>
                        </w:rPr>
                        <w:t>, which sets forth expenses that are considered “medical expenses” under Code § 213(d) and that may be eligible for reimbursement under a health FSA, HSA, HRA, or covered on a tax-favored basis under a group health plan.  </w:t>
                      </w:r>
                    </w:p>
                    <w:p w14:paraId="25E449B7" w14:textId="77777777" w:rsidR="00D9295E" w:rsidRPr="00491992" w:rsidRDefault="00D9295E" w:rsidP="00D91161">
                      <w:pPr>
                        <w:numPr>
                          <w:ilvl w:val="0"/>
                          <w:numId w:val="11"/>
                        </w:numPr>
                        <w:spacing w:before="100" w:beforeAutospacing="1" w:after="100" w:afterAutospacing="1"/>
                        <w:rPr>
                          <w:rFonts w:ascii="Arial" w:hAnsi="Arial" w:cs="Arial"/>
                          <w:sz w:val="18"/>
                          <w:szCs w:val="18"/>
                        </w:rPr>
                      </w:pPr>
                      <w:r w:rsidRPr="00491992">
                        <w:rPr>
                          <w:rStyle w:val="Strong"/>
                          <w:rFonts w:ascii="Arial" w:hAnsi="Arial" w:cs="Arial"/>
                          <w:color w:val="auto"/>
                          <w:sz w:val="18"/>
                          <w:szCs w:val="18"/>
                        </w:rPr>
                        <w:t xml:space="preserve">HHS has </w:t>
                      </w:r>
                      <w:hyperlink r:id="rId36" w:history="1">
                        <w:r w:rsidRPr="00491992">
                          <w:rPr>
                            <w:rStyle w:val="Hyperlink"/>
                            <w:rFonts w:ascii="Arial" w:hAnsi="Arial" w:cs="Arial"/>
                            <w:color w:val="auto"/>
                            <w:sz w:val="18"/>
                            <w:szCs w:val="18"/>
                          </w:rPr>
                          <w:t>finalized</w:t>
                        </w:r>
                      </w:hyperlink>
                      <w:r w:rsidRPr="00491992">
                        <w:rPr>
                          <w:rStyle w:val="Strong"/>
                          <w:rFonts w:ascii="Arial" w:hAnsi="Arial" w:cs="Arial"/>
                          <w:color w:val="auto"/>
                          <w:sz w:val="18"/>
                          <w:szCs w:val="18"/>
                        </w:rPr>
                        <w:t xml:space="preserve"> portions of its proposed Notice of Benefits and Payments Parameters for 2022</w:t>
                      </w:r>
                      <w:r w:rsidRPr="00491992">
                        <w:rPr>
                          <w:rFonts w:ascii="Arial" w:hAnsi="Arial" w:cs="Arial"/>
                          <w:sz w:val="18"/>
                          <w:szCs w:val="18"/>
                        </w:rPr>
                        <w:t xml:space="preserve"> to address standards for individual coverage HRAs (ICHRAs) and qualified small employer health reimbursement arrangements (QSEHRAs). Under the final rules, individual market insurers will be required to: 1) accept payments of premiums that are received directly from an ICHRA or QSEHRA that are made on behalf of an enrollee covered by the ICHRA or QSEHRA; and 2) accept</w:t>
                      </w:r>
                      <w:r>
                        <w:rPr>
                          <w:rFonts w:ascii="Arial" w:hAnsi="Arial" w:cs="Arial"/>
                          <w:sz w:val="18"/>
                          <w:szCs w:val="18"/>
                        </w:rPr>
                        <w:t xml:space="preserve"> payments</w:t>
                      </w:r>
                      <w:r w:rsidRPr="00491992">
                        <w:rPr>
                          <w:rFonts w:ascii="Arial" w:hAnsi="Arial" w:cs="Arial"/>
                          <w:sz w:val="18"/>
                          <w:szCs w:val="18"/>
                        </w:rPr>
                        <w:t xml:space="preserve"> made directly by enrollees in connection with an ICHRA or QSEHRA. Issuers must accept such payments as long as they are made using one of the acceptable monthly premium payment methods under existing exchange standards.</w:t>
                      </w:r>
                    </w:p>
                    <w:p w14:paraId="33B4339A" w14:textId="5B321655" w:rsidR="00C77003" w:rsidRPr="00C77003" w:rsidRDefault="00D9295E" w:rsidP="00C77003">
                      <w:pPr>
                        <w:numPr>
                          <w:ilvl w:val="0"/>
                          <w:numId w:val="12"/>
                        </w:numPr>
                        <w:spacing w:before="100" w:beforeAutospacing="1" w:after="240"/>
                      </w:pPr>
                      <w:r w:rsidRPr="00491992">
                        <w:rPr>
                          <w:rStyle w:val="Strong"/>
                          <w:rFonts w:ascii="Arial" w:hAnsi="Arial" w:cs="Arial"/>
                          <w:color w:val="auto"/>
                          <w:sz w:val="18"/>
                          <w:szCs w:val="18"/>
                        </w:rPr>
                        <w:t xml:space="preserve">On January 28, the Biden administration issued an </w:t>
                      </w:r>
                      <w:hyperlink r:id="rId37" w:history="1">
                        <w:r w:rsidRPr="00491992">
                          <w:rPr>
                            <w:rStyle w:val="Hyperlink"/>
                            <w:rFonts w:ascii="Arial" w:hAnsi="Arial" w:cs="Arial"/>
                            <w:color w:val="auto"/>
                            <w:sz w:val="18"/>
                            <w:szCs w:val="18"/>
                          </w:rPr>
                          <w:t>Executive Order</w:t>
                        </w:r>
                      </w:hyperlink>
                      <w:r w:rsidRPr="00491992">
                        <w:rPr>
                          <w:rStyle w:val="Strong"/>
                          <w:rFonts w:ascii="Arial" w:hAnsi="Arial" w:cs="Arial"/>
                          <w:color w:val="auto"/>
                          <w:sz w:val="18"/>
                          <w:szCs w:val="18"/>
                        </w:rPr>
                        <w:t xml:space="preserve"> </w:t>
                      </w:r>
                      <w:r w:rsidRPr="00491992">
                        <w:rPr>
                          <w:rFonts w:ascii="Arial" w:hAnsi="Arial" w:cs="Arial"/>
                          <w:sz w:val="18"/>
                          <w:szCs w:val="18"/>
                        </w:rPr>
                        <w:t>indicating that it would be opening a special enrollment period (SEP) for individuals in the Health Insurance Marketplace (federal exchange) from February 15, 2021 – May 15, 2021</w:t>
                      </w:r>
                      <w:r w:rsidR="00162B1E">
                        <w:rPr>
                          <w:rFonts w:ascii="Arial" w:hAnsi="Arial" w:cs="Arial"/>
                          <w:sz w:val="18"/>
                          <w:szCs w:val="18"/>
                        </w:rPr>
                        <w:t xml:space="preserve"> (now further extended to August 15, 2021)</w:t>
                      </w:r>
                      <w:r w:rsidRPr="00491992">
                        <w:rPr>
                          <w:rFonts w:ascii="Arial" w:hAnsi="Arial" w:cs="Arial"/>
                          <w:sz w:val="18"/>
                          <w:szCs w:val="18"/>
                        </w:rPr>
                        <w:t>. Individuals who are uninsured and those who are currently covered by a Marketplace plan and wish to change coverage are eligible to enroll. Individuals covered by COBRA will also be able to drop COBRA and enroll.</w:t>
                      </w:r>
                    </w:p>
                    <w:p w14:paraId="4FC0CD35" w14:textId="77777777" w:rsidR="00C77003" w:rsidRPr="008C34BB" w:rsidRDefault="00C77003" w:rsidP="00C77003">
                      <w:pPr>
                        <w:spacing w:before="100" w:beforeAutospacing="1"/>
                        <w:ind w:left="720"/>
                      </w:pPr>
                    </w:p>
                    <w:p w14:paraId="67B5B509" w14:textId="35DDF447" w:rsidR="00D91161" w:rsidRPr="00491992" w:rsidRDefault="00D91161" w:rsidP="008C34BB">
                      <w:pPr>
                        <w:spacing w:before="100" w:beforeAutospacing="1" w:after="100" w:afterAutospacing="1"/>
                        <w:ind w:left="720"/>
                      </w:pPr>
                    </w:p>
                    <w:p w14:paraId="32FEE8F2" w14:textId="77777777" w:rsidR="00D9295E" w:rsidRPr="00491992" w:rsidRDefault="00D9295E" w:rsidP="00EC6689">
                      <w:pPr>
                        <w:spacing w:before="100" w:beforeAutospacing="1" w:after="100" w:afterAutospacing="1"/>
                        <w:ind w:left="720"/>
                        <w:rPr>
                          <w:rFonts w:ascii="Arial" w:hAnsi="Arial" w:cs="Arial"/>
                          <w:sz w:val="18"/>
                          <w:szCs w:val="18"/>
                        </w:rPr>
                      </w:pPr>
                    </w:p>
                    <w:p w14:paraId="783B6680" w14:textId="77777777" w:rsidR="00D9295E" w:rsidRPr="004F62E7" w:rsidRDefault="00D9295E" w:rsidP="00EC6689">
                      <w:pPr>
                        <w:pStyle w:val="ListParagraph"/>
                        <w:spacing w:after="0"/>
                        <w:ind w:left="360"/>
                        <w:rPr>
                          <w:rFonts w:ascii="Arial" w:eastAsia="Times New Roman" w:hAnsi="Arial" w:cs="Arial"/>
                          <w:color w:val="000000" w:themeColor="text1"/>
                          <w:sz w:val="18"/>
                          <w:szCs w:val="18"/>
                          <w:lang w:eastAsia="en-US"/>
                        </w:rPr>
                      </w:pPr>
                    </w:p>
                    <w:p w14:paraId="19D82D7F" w14:textId="77777777" w:rsidR="00D9295E" w:rsidRPr="00D4084B" w:rsidRDefault="00D9295E" w:rsidP="00EC6689">
                      <w:pPr>
                        <w:rPr>
                          <w:rFonts w:ascii="Arial" w:eastAsia="Times New Roman" w:hAnsi="Arial" w:cs="Arial"/>
                          <w:color w:val="000000" w:themeColor="text1"/>
                          <w:sz w:val="18"/>
                          <w:szCs w:val="18"/>
                          <w:lang w:eastAsia="en-US"/>
                        </w:rPr>
                      </w:pPr>
                    </w:p>
                    <w:p w14:paraId="15561152" w14:textId="77777777" w:rsidR="00D9295E" w:rsidRPr="007B59C6" w:rsidRDefault="00D9295E" w:rsidP="00EC6689">
                      <w:pPr>
                        <w:pStyle w:val="ListParagraph"/>
                        <w:rPr>
                          <w:rFonts w:ascii="Arial" w:eastAsia="Times New Roman" w:hAnsi="Arial" w:cs="Arial"/>
                          <w:color w:val="000000" w:themeColor="text1"/>
                          <w:sz w:val="18"/>
                          <w:szCs w:val="18"/>
                          <w:lang w:eastAsia="en-US"/>
                        </w:rPr>
                      </w:pPr>
                    </w:p>
                    <w:p w14:paraId="21E32266" w14:textId="77777777" w:rsidR="00D9295E" w:rsidRPr="007B0C57" w:rsidRDefault="00D9295E" w:rsidP="00EC6689">
                      <w:pPr>
                        <w:rPr>
                          <w:rFonts w:ascii="Arial" w:eastAsia="Times New Roman" w:hAnsi="Arial" w:cs="Arial"/>
                          <w:color w:val="000000" w:themeColor="text1"/>
                          <w:sz w:val="18"/>
                          <w:szCs w:val="18"/>
                          <w:lang w:eastAsia="en-US"/>
                        </w:rPr>
                      </w:pPr>
                    </w:p>
                    <w:p w14:paraId="21AB71F5" w14:textId="77777777" w:rsidR="00D9295E" w:rsidRPr="005C7A6D" w:rsidRDefault="00D9295E" w:rsidP="00EC6689">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x="page" anchory="margin"/>
              </v:shape>
            </w:pict>
          </mc:Fallback>
        </mc:AlternateContent>
      </w:r>
      <w:r w:rsidRPr="00D91161">
        <w:rPr>
          <w:rFonts w:ascii="Arial" w:hAnsi="Arial" w:cs="Arial"/>
          <w:color w:val="555555"/>
          <w:sz w:val="21"/>
          <w:szCs w:val="21"/>
          <w:shd w:val="clear" w:color="auto" w:fill="FFFFFF"/>
        </w:rPr>
        <w:t>plan should coordinate with their third-party administrator (TPA) to determine compliance responsibilities for this new requirement.</w:t>
      </w:r>
    </w:p>
    <w:p w14:paraId="0CE2DAC9" w14:textId="6BC44CA5" w:rsidR="00D9295E" w:rsidRPr="00D91161" w:rsidRDefault="00D9295E" w:rsidP="00C56AB2">
      <w:pPr>
        <w:ind w:left="720"/>
        <w:rPr>
          <w:rFonts w:ascii="Arial" w:hAnsi="Arial" w:cs="Arial"/>
          <w:color w:val="555555"/>
          <w:sz w:val="21"/>
          <w:szCs w:val="21"/>
          <w:shd w:val="clear" w:color="auto" w:fill="FFFFFF"/>
        </w:rPr>
      </w:pPr>
    </w:p>
    <w:p w14:paraId="6B0D59C4" w14:textId="4DBCC1FB" w:rsidR="0018238D" w:rsidRPr="00D91161" w:rsidRDefault="0018238D" w:rsidP="00C56AB2">
      <w:pPr>
        <w:ind w:left="720"/>
        <w:rPr>
          <w:rStyle w:val="Hyperlink"/>
          <w:rFonts w:ascii="Arial" w:eastAsia="Times New Roman" w:hAnsi="Arial" w:cs="Arial"/>
          <w:sz w:val="21"/>
          <w:szCs w:val="21"/>
        </w:rPr>
      </w:pPr>
      <w:r w:rsidRPr="00D91161">
        <w:rPr>
          <w:rFonts w:ascii="Arial" w:eastAsia="Times New Roman" w:hAnsi="Arial" w:cs="Arial"/>
          <w:color w:val="555555"/>
          <w:sz w:val="21"/>
          <w:szCs w:val="21"/>
        </w:rPr>
        <w:t xml:space="preserve">More here: </w:t>
      </w:r>
      <w:hyperlink r:id="rId38" w:history="1">
        <w:r w:rsidRPr="00D91161">
          <w:rPr>
            <w:rStyle w:val="Hyperlink"/>
            <w:rFonts w:ascii="Arial" w:eastAsia="Times New Roman" w:hAnsi="Arial" w:cs="Arial"/>
            <w:sz w:val="21"/>
            <w:szCs w:val="21"/>
          </w:rPr>
          <w:t>https://benefitcomply.com/enforcement-efforts-for-mental-health-parity-new-comparative-analysis/</w:t>
        </w:r>
      </w:hyperlink>
    </w:p>
    <w:p w14:paraId="2804E6DC" w14:textId="77777777" w:rsidR="00EC6689" w:rsidRPr="00D91161" w:rsidRDefault="00EC6689" w:rsidP="00C56AB2">
      <w:pPr>
        <w:ind w:left="720"/>
        <w:rPr>
          <w:rFonts w:ascii="Arial" w:eastAsia="Times New Roman" w:hAnsi="Arial" w:cs="Arial"/>
          <w:color w:val="555555"/>
          <w:sz w:val="21"/>
          <w:szCs w:val="21"/>
        </w:rPr>
      </w:pPr>
    </w:p>
    <w:p w14:paraId="14340A73" w14:textId="31A87A03" w:rsidR="00D9295E" w:rsidRPr="00D91161" w:rsidRDefault="0018238D" w:rsidP="006B1A52">
      <w:pPr>
        <w:ind w:left="720"/>
        <w:rPr>
          <w:rFonts w:ascii="Arial" w:hAnsi="Arial" w:cs="Arial"/>
          <w:b/>
          <w:bCs/>
          <w:color w:val="333333"/>
          <w:sz w:val="20"/>
          <w:szCs w:val="20"/>
          <w:shd w:val="clear" w:color="auto" w:fill="FFFFFF"/>
        </w:rPr>
      </w:pPr>
      <w:r w:rsidRPr="00D91161">
        <w:rPr>
          <w:rFonts w:ascii="Arial" w:hAnsi="Arial" w:cs="Arial"/>
          <w:b/>
          <w:bCs/>
          <w:color w:val="333333"/>
          <w:sz w:val="20"/>
          <w:szCs w:val="20"/>
          <w:shd w:val="clear" w:color="auto" w:fill="FFFFFF"/>
        </w:rPr>
        <w:t>IRS Guidance on COVID-Related Cafeteria Plan Flexibility</w:t>
      </w:r>
    </w:p>
    <w:p w14:paraId="116C1B4F" w14:textId="21FA4178" w:rsidR="0018238D" w:rsidRPr="00D91161" w:rsidRDefault="0018238D" w:rsidP="00C56AB2">
      <w:pPr>
        <w:ind w:left="720"/>
        <w:rPr>
          <w:rFonts w:ascii="Arial" w:hAnsi="Arial" w:cs="Arial"/>
          <w:color w:val="555555"/>
          <w:sz w:val="21"/>
          <w:szCs w:val="21"/>
          <w:shd w:val="clear" w:color="auto" w:fill="FFFFFF"/>
        </w:rPr>
      </w:pPr>
      <w:r w:rsidRPr="00D91161">
        <w:rPr>
          <w:rFonts w:ascii="Arial" w:hAnsi="Arial" w:cs="Arial"/>
          <w:color w:val="555555"/>
          <w:sz w:val="21"/>
          <w:szCs w:val="21"/>
          <w:shd w:val="clear" w:color="auto" w:fill="FFFFFF"/>
        </w:rPr>
        <w:t>In mid-February, the IRS released guidance further clarifying items in the recently passed Consolidated Appropriations Act of 2021 (CAA) permitting flexibility for health flexible spending arrangements (FSAs), dependent care account plans (DCAPs) and cafeteria plan election change rules. None of these changes are required. Employers have the option to implement some or all of the changes, or employers could choose not to change their plans at all. For employers who are willing to allow some additional flexibility, IRS Notice 2021-15 provides further details on exactly what is permitted and how it may impact things such as annual contribution limits, HSA-eligibility, COBRA continuation, and nondiscrimination rules. The notice also added some additional election change flexibility around health coverage similar to what was available in 2020 under Notice 2020-29.</w:t>
      </w:r>
    </w:p>
    <w:p w14:paraId="25CDAF5B" w14:textId="5E84D54E" w:rsidR="00D9295E" w:rsidRPr="00D91161" w:rsidRDefault="00D9295E" w:rsidP="00C56AB2">
      <w:pPr>
        <w:ind w:left="720"/>
        <w:rPr>
          <w:rFonts w:ascii="Arial" w:hAnsi="Arial" w:cs="Arial"/>
          <w:color w:val="555555"/>
          <w:sz w:val="21"/>
          <w:szCs w:val="21"/>
          <w:shd w:val="clear" w:color="auto" w:fill="FFFFFF"/>
        </w:rPr>
      </w:pPr>
    </w:p>
    <w:p w14:paraId="7B6063D0" w14:textId="3AD70A27" w:rsidR="0018238D" w:rsidRPr="00D91161" w:rsidRDefault="0018238D" w:rsidP="00C56AB2">
      <w:pPr>
        <w:ind w:left="720"/>
        <w:rPr>
          <w:rStyle w:val="Hyperlink"/>
          <w:rFonts w:ascii="Arial" w:hAnsi="Arial" w:cs="Arial"/>
          <w:sz w:val="21"/>
          <w:szCs w:val="21"/>
          <w:shd w:val="clear" w:color="auto" w:fill="FFFFFF"/>
        </w:rPr>
      </w:pPr>
      <w:r w:rsidRPr="00D91161">
        <w:rPr>
          <w:rFonts w:ascii="Arial" w:hAnsi="Arial" w:cs="Arial"/>
          <w:color w:val="555555"/>
          <w:sz w:val="21"/>
          <w:szCs w:val="21"/>
          <w:shd w:val="clear" w:color="auto" w:fill="FFFFFF"/>
        </w:rPr>
        <w:t xml:space="preserve">More here: </w:t>
      </w:r>
      <w:hyperlink r:id="rId39" w:history="1">
        <w:r w:rsidRPr="00D91161">
          <w:rPr>
            <w:rStyle w:val="Hyperlink"/>
            <w:rFonts w:ascii="Arial" w:hAnsi="Arial" w:cs="Arial"/>
            <w:sz w:val="21"/>
            <w:szCs w:val="21"/>
            <w:shd w:val="clear" w:color="auto" w:fill="FFFFFF"/>
          </w:rPr>
          <w:t>https://benefitcomply.com/irs-guidance-on-covid-related-cafeteria-plan-flexibility/</w:t>
        </w:r>
      </w:hyperlink>
    </w:p>
    <w:p w14:paraId="3A0E939F" w14:textId="24FD9379" w:rsidR="00EC6689" w:rsidRPr="00D91161" w:rsidRDefault="00EC6689" w:rsidP="00C56AB2">
      <w:pPr>
        <w:ind w:left="720"/>
        <w:rPr>
          <w:rFonts w:ascii="Arial" w:hAnsi="Arial" w:cs="Arial"/>
          <w:color w:val="555555"/>
          <w:sz w:val="21"/>
          <w:szCs w:val="21"/>
          <w:shd w:val="clear" w:color="auto" w:fill="FFFFFF"/>
        </w:rPr>
      </w:pPr>
    </w:p>
    <w:p w14:paraId="77922E25" w14:textId="152B5ABE" w:rsidR="00D9295E" w:rsidRPr="00D91161" w:rsidRDefault="00D9295E" w:rsidP="00C56AB2">
      <w:pPr>
        <w:ind w:left="720"/>
        <w:rPr>
          <w:rFonts w:ascii="Arial" w:hAnsi="Arial" w:cs="Arial"/>
          <w:b/>
          <w:bCs/>
          <w:color w:val="333333"/>
          <w:sz w:val="20"/>
          <w:szCs w:val="20"/>
          <w:shd w:val="clear" w:color="auto" w:fill="FFFFFF"/>
        </w:rPr>
      </w:pPr>
    </w:p>
    <w:p w14:paraId="1302307F" w14:textId="275D93B1" w:rsidR="00D9295E" w:rsidRPr="00D91161" w:rsidRDefault="0018238D" w:rsidP="006B1A52">
      <w:pPr>
        <w:ind w:left="720"/>
        <w:rPr>
          <w:rFonts w:ascii="Arial" w:hAnsi="Arial" w:cs="Arial"/>
          <w:b/>
          <w:bCs/>
          <w:color w:val="333333"/>
          <w:sz w:val="20"/>
          <w:szCs w:val="20"/>
          <w:shd w:val="clear" w:color="auto" w:fill="FFFFFF"/>
        </w:rPr>
      </w:pPr>
      <w:r w:rsidRPr="00D91161">
        <w:rPr>
          <w:rFonts w:ascii="Arial" w:hAnsi="Arial" w:cs="Arial"/>
          <w:b/>
          <w:bCs/>
          <w:color w:val="333333"/>
          <w:sz w:val="20"/>
          <w:szCs w:val="20"/>
          <w:shd w:val="clear" w:color="auto" w:fill="FFFFFF"/>
        </w:rPr>
        <w:t>New DOL Outbreak Period and Extended Time Frames Guidance</w:t>
      </w:r>
    </w:p>
    <w:p w14:paraId="6AF286AD" w14:textId="1D055BCB" w:rsidR="0018238D" w:rsidRPr="00D91161" w:rsidRDefault="0018238D" w:rsidP="00C56AB2">
      <w:pPr>
        <w:ind w:left="720"/>
        <w:rPr>
          <w:rFonts w:ascii="Arial" w:eastAsia="Times New Roman" w:hAnsi="Arial" w:cs="Arial"/>
          <w:color w:val="555555"/>
          <w:sz w:val="21"/>
          <w:szCs w:val="21"/>
        </w:rPr>
      </w:pPr>
      <w:r w:rsidRPr="00D91161">
        <w:rPr>
          <w:rFonts w:ascii="Arial" w:hAnsi="Arial" w:cs="Arial"/>
          <w:color w:val="555555"/>
          <w:sz w:val="21"/>
          <w:szCs w:val="21"/>
          <w:shd w:val="clear" w:color="auto" w:fill="FFFFFF"/>
        </w:rPr>
        <w:t>The Department of Labor (DOL) has issued new guidance regarding notice and disclosure timeframe relief for employee benefit plans and plan participants due to COVID-19. EBSA Disaster Relief Notice 2021-01 (The Joint Notice) clarifies that the deadline for extended timeframes, such as a COBRA election, are based on each participant’s individual circumstances, rather than on a fixed period applicable to all notices and disclosures. This interpretation will create significant administrative challenges for plan sponsors and administrators.</w:t>
      </w:r>
    </w:p>
    <w:p w14:paraId="08C552FB" w14:textId="24931C0C" w:rsidR="00D9295E" w:rsidRPr="00D91161" w:rsidRDefault="00D9295E" w:rsidP="00C56AB2">
      <w:pPr>
        <w:ind w:left="720"/>
        <w:rPr>
          <w:rFonts w:ascii="Arial" w:eastAsia="Times New Roman" w:hAnsi="Arial" w:cs="Arial"/>
          <w:color w:val="555555"/>
          <w:sz w:val="21"/>
          <w:szCs w:val="21"/>
        </w:rPr>
      </w:pPr>
    </w:p>
    <w:p w14:paraId="75259E45" w14:textId="1E2FC58E" w:rsidR="0018238D" w:rsidRPr="00D91161" w:rsidRDefault="0018238D" w:rsidP="00C56AB2">
      <w:pPr>
        <w:ind w:left="720"/>
        <w:rPr>
          <w:rStyle w:val="Hyperlink"/>
          <w:rFonts w:ascii="Arial" w:eastAsia="Times New Roman" w:hAnsi="Arial" w:cs="Arial"/>
          <w:sz w:val="21"/>
          <w:szCs w:val="21"/>
        </w:rPr>
      </w:pPr>
      <w:r w:rsidRPr="00D91161">
        <w:rPr>
          <w:rFonts w:ascii="Arial" w:eastAsia="Times New Roman" w:hAnsi="Arial" w:cs="Arial"/>
          <w:color w:val="555555"/>
          <w:sz w:val="21"/>
          <w:szCs w:val="21"/>
        </w:rPr>
        <w:t xml:space="preserve">More here: </w:t>
      </w:r>
      <w:hyperlink r:id="rId40" w:history="1">
        <w:r w:rsidRPr="00D91161">
          <w:rPr>
            <w:rStyle w:val="Hyperlink"/>
            <w:rFonts w:ascii="Arial" w:eastAsia="Times New Roman" w:hAnsi="Arial" w:cs="Arial"/>
            <w:sz w:val="21"/>
            <w:szCs w:val="21"/>
          </w:rPr>
          <w:t>https://benefitcomply.com/new-dol-outbreak-period-and-extended-time-frames-guidance/</w:t>
        </w:r>
      </w:hyperlink>
    </w:p>
    <w:p w14:paraId="14256A35" w14:textId="4701407B" w:rsidR="00EC6689" w:rsidRPr="00D91161" w:rsidRDefault="00EC6689" w:rsidP="00C56AB2">
      <w:pPr>
        <w:ind w:left="720"/>
        <w:rPr>
          <w:rFonts w:ascii="Arial" w:eastAsia="Times New Roman" w:hAnsi="Arial" w:cs="Arial"/>
          <w:color w:val="555555"/>
          <w:sz w:val="21"/>
          <w:szCs w:val="21"/>
        </w:rPr>
      </w:pPr>
    </w:p>
    <w:p w14:paraId="39D0F34D" w14:textId="7903CD3B" w:rsidR="00EC6689" w:rsidRPr="00D91161" w:rsidRDefault="00EC6689" w:rsidP="00C56AB2">
      <w:pPr>
        <w:ind w:left="720"/>
        <w:rPr>
          <w:rFonts w:ascii="Arial" w:hAnsi="Arial" w:cs="Arial"/>
          <w:sz w:val="20"/>
          <w:szCs w:val="20"/>
        </w:rPr>
      </w:pPr>
    </w:p>
    <w:p w14:paraId="2F87FCBB" w14:textId="4BF7B588" w:rsidR="00D9295E" w:rsidRPr="006B1A52" w:rsidRDefault="0018238D" w:rsidP="006B1A52">
      <w:pPr>
        <w:ind w:left="720"/>
        <w:rPr>
          <w:rFonts w:ascii="Arial" w:hAnsi="Arial" w:cs="Arial"/>
          <w:sz w:val="21"/>
          <w:szCs w:val="21"/>
        </w:rPr>
      </w:pPr>
      <w:r w:rsidRPr="00D91161">
        <w:rPr>
          <w:rStyle w:val="Strong"/>
          <w:rFonts w:ascii="Arial" w:hAnsi="Arial" w:cs="Arial"/>
          <w:b/>
          <w:bCs/>
          <w:color w:val="333333"/>
          <w:sz w:val="21"/>
          <w:szCs w:val="21"/>
        </w:rPr>
        <w:lastRenderedPageBreak/>
        <w:t>Significant Employee Benefit Changes Contained in the American Rescue Plan Act (ARPA)</w:t>
      </w:r>
    </w:p>
    <w:p w14:paraId="15E3ABEC" w14:textId="30E8342B" w:rsidR="0018238D" w:rsidRPr="00D91161" w:rsidRDefault="0018238D" w:rsidP="00C56AB2">
      <w:pPr>
        <w:ind w:left="720"/>
        <w:rPr>
          <w:rFonts w:ascii="Arial" w:hAnsi="Arial" w:cs="Arial"/>
          <w:color w:val="555555"/>
          <w:sz w:val="21"/>
          <w:szCs w:val="21"/>
        </w:rPr>
      </w:pPr>
      <w:r w:rsidRPr="00D91161">
        <w:rPr>
          <w:rFonts w:ascii="Arial" w:hAnsi="Arial" w:cs="Arial"/>
          <w:color w:val="555555"/>
          <w:sz w:val="21"/>
          <w:szCs w:val="21"/>
        </w:rPr>
        <w:t>Congress passed the $1.9 trillion COVID relief bill, the American Rescue Plan Act of 2021 (ARPA). The bill includes significant employee benefits related provisions including a federal subsidy that will cover 100% of the cost of COBRA continuation coverage for up to 6 months for individuals who have had an involuntary termination of employment or reduction in hours. The bill also includes an increase in the amount an employee can elect to contribute tax-free to a §129 Dependent Care Assistance Program (DCAP).</w:t>
      </w:r>
    </w:p>
    <w:p w14:paraId="402B9370" w14:textId="0CBCB16E" w:rsidR="00D9295E" w:rsidRPr="00D91161" w:rsidRDefault="00EF4EFF" w:rsidP="00C56AB2">
      <w:pPr>
        <w:ind w:left="720"/>
        <w:rPr>
          <w:rFonts w:ascii="Arial" w:hAnsi="Arial" w:cs="Arial"/>
          <w:color w:val="555555"/>
          <w:sz w:val="21"/>
          <w:szCs w:val="21"/>
        </w:rPr>
      </w:pPr>
      <w:r w:rsidRPr="00D91161">
        <w:rPr>
          <w:rFonts w:ascii="Arial" w:hAnsi="Arial" w:cs="Arial"/>
          <w:noProof/>
        </w:rPr>
        <mc:AlternateContent>
          <mc:Choice Requires="wps">
            <w:drawing>
              <wp:anchor distT="0" distB="0" distL="114300" distR="114300" simplePos="0" relativeHeight="251711488" behindDoc="1" locked="0" layoutInCell="1" allowOverlap="1" wp14:anchorId="7C99EBA5" wp14:editId="6E9CE23F">
                <wp:simplePos x="0" y="0"/>
                <wp:positionH relativeFrom="margin">
                  <wp:posOffset>3562350</wp:posOffset>
                </wp:positionH>
                <wp:positionV relativeFrom="margin">
                  <wp:posOffset>-438150</wp:posOffset>
                </wp:positionV>
                <wp:extent cx="3008630" cy="4394200"/>
                <wp:effectExtent l="0" t="0" r="1270" b="6350"/>
                <wp:wrapSquare wrapText="bothSides"/>
                <wp:docPr id="6" name="Text Box 6"/>
                <wp:cNvGraphicFramePr/>
                <a:graphic xmlns:a="http://schemas.openxmlformats.org/drawingml/2006/main">
                  <a:graphicData uri="http://schemas.microsoft.com/office/word/2010/wordprocessingShape">
                    <wps:wsp>
                      <wps:cNvSpPr txBox="1"/>
                      <wps:spPr>
                        <a:xfrm>
                          <a:off x="0" y="0"/>
                          <a:ext cx="3008630" cy="4394200"/>
                        </a:xfrm>
                        <a:prstGeom prst="rect">
                          <a:avLst/>
                        </a:prstGeom>
                        <a:solidFill>
                          <a:srgbClr val="61ADBF">
                            <a:lumMod val="20000"/>
                            <a:lumOff val="80000"/>
                          </a:srgbClr>
                        </a:solidFill>
                        <a:ln w="6350">
                          <a:noFill/>
                        </a:ln>
                      </wps:spPr>
                      <wps:txbx>
                        <w:txbxContent>
                          <w:p w14:paraId="38557B82" w14:textId="77777777" w:rsidR="00D91161" w:rsidRDefault="00D91161" w:rsidP="00D91161">
                            <w:pPr>
                              <w:spacing w:line="276" w:lineRule="auto"/>
                              <w:ind w:left="360"/>
                              <w:rPr>
                                <w:rFonts w:ascii="Arial" w:hAnsi="Arial" w:cs="Arial"/>
                                <w:b/>
                                <w:bCs/>
                                <w:color w:val="0070C0"/>
                                <w:sz w:val="26"/>
                                <w:szCs w:val="26"/>
                              </w:rPr>
                            </w:pPr>
                          </w:p>
                          <w:p w14:paraId="426FF215" w14:textId="77777777" w:rsidR="00D91161" w:rsidRPr="003005AF" w:rsidRDefault="00D91161" w:rsidP="00D91161">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5CEE096E" w14:textId="39B5322B" w:rsidR="00A0158A" w:rsidRPr="00A0158A" w:rsidRDefault="00A0158A" w:rsidP="00A0158A">
                            <w:pPr>
                              <w:pStyle w:val="NormalWeb"/>
                              <w:numPr>
                                <w:ilvl w:val="0"/>
                                <w:numId w:val="13"/>
                              </w:numPr>
                              <w:spacing w:after="0" w:afterAutospacing="0"/>
                              <w:rPr>
                                <w:rStyle w:val="Strong"/>
                                <w:rFonts w:ascii="Arial" w:hAnsi="Arial" w:cs="Arial"/>
                                <w:color w:val="auto"/>
                                <w:sz w:val="18"/>
                                <w:szCs w:val="18"/>
                              </w:rPr>
                            </w:pPr>
                            <w:r>
                              <w:rPr>
                                <w:rStyle w:val="Strong"/>
                                <w:rFonts w:ascii="Arial" w:hAnsi="Arial" w:cs="Arial"/>
                                <w:color w:val="auto"/>
                                <w:sz w:val="18"/>
                                <w:szCs w:val="18"/>
                              </w:rPr>
                              <w:t xml:space="preserve">On </w:t>
                            </w:r>
                            <w:r w:rsidRPr="00D91161">
                              <w:rPr>
                                <w:rStyle w:val="Strong"/>
                                <w:rFonts w:ascii="Arial" w:hAnsi="Arial" w:cs="Arial"/>
                                <w:color w:val="auto"/>
                                <w:sz w:val="18"/>
                                <w:szCs w:val="18"/>
                              </w:rPr>
                              <w:t xml:space="preserve">February 26, the DOL, Internal Revenue Service (IRS), and Department of Health and Human Services (HHS) issued a new set of </w:t>
                            </w:r>
                            <w:hyperlink r:id="rId41" w:history="1">
                              <w:r w:rsidRPr="00D91161">
                                <w:rPr>
                                  <w:rStyle w:val="Hyperlink"/>
                                  <w:rFonts w:ascii="Arial" w:eastAsiaTheme="majorEastAsia" w:hAnsi="Arial" w:cs="Arial"/>
                                  <w:b/>
                                  <w:bCs/>
                                  <w:color w:val="auto"/>
                                  <w:sz w:val="18"/>
                                  <w:szCs w:val="18"/>
                                </w:rPr>
                                <w:t>FAQs</w:t>
                              </w:r>
                            </w:hyperlink>
                            <w:r w:rsidRPr="00D91161">
                              <w:rPr>
                                <w:rFonts w:ascii="Arial" w:hAnsi="Arial" w:cs="Arial"/>
                                <w:sz w:val="18"/>
                                <w:szCs w:val="18"/>
                              </w:rPr>
                              <w:t xml:space="preserve"> regarding the Families First </w:t>
                            </w:r>
                            <w:r w:rsidRPr="00A0158A">
                              <w:rPr>
                                <w:rFonts w:ascii="Arial" w:hAnsi="Arial" w:cs="Arial"/>
                                <w:sz w:val="18"/>
                                <w:szCs w:val="18"/>
                              </w:rPr>
                              <w:t>Coronavirus Response Act (FFCRA) and the Coronavirus Aid, Relief, and Economic Security Act (CARES Act) for group health plans. This FAQ further clarifies requirement to cover COVID-related diagnostic testing and vaccinations with no cost-sharing.</w:t>
                            </w:r>
                            <w:r>
                              <w:t xml:space="preserve"> </w:t>
                            </w:r>
                            <w:r w:rsidR="00F5132B">
                              <w:br/>
                            </w:r>
                          </w:p>
                          <w:p w14:paraId="0143B7FC" w14:textId="77525FCE" w:rsidR="00A0158A" w:rsidRPr="00A0158A" w:rsidRDefault="00D91161" w:rsidP="00A0158A">
                            <w:pPr>
                              <w:pStyle w:val="NormalWeb"/>
                              <w:numPr>
                                <w:ilvl w:val="0"/>
                                <w:numId w:val="13"/>
                              </w:numPr>
                              <w:spacing w:after="0" w:afterAutospacing="0"/>
                              <w:rPr>
                                <w:rFonts w:ascii="Arial" w:hAnsi="Arial" w:cs="Arial"/>
                                <w:sz w:val="18"/>
                                <w:szCs w:val="18"/>
                              </w:rPr>
                            </w:pPr>
                            <w:r w:rsidRPr="00D91161">
                              <w:rPr>
                                <w:rStyle w:val="Strong"/>
                                <w:rFonts w:ascii="Arial" w:hAnsi="Arial" w:cs="Arial"/>
                                <w:color w:val="auto"/>
                                <w:sz w:val="18"/>
                                <w:szCs w:val="18"/>
                              </w:rPr>
                              <w:t xml:space="preserve">Thomson Reuters provides </w:t>
                            </w:r>
                            <w:hyperlink r:id="rId42" w:history="1">
                              <w:r w:rsidRPr="00D91161">
                                <w:rPr>
                                  <w:rStyle w:val="Hyperlink"/>
                                  <w:rFonts w:ascii="Arial" w:eastAsiaTheme="majorEastAsia" w:hAnsi="Arial" w:cs="Arial"/>
                                  <w:b/>
                                  <w:bCs/>
                                  <w:color w:val="auto"/>
                                  <w:sz w:val="18"/>
                                  <w:szCs w:val="18"/>
                                </w:rPr>
                                <w:t>a summary</w:t>
                              </w:r>
                            </w:hyperlink>
                            <w:r w:rsidRPr="00D91161">
                              <w:rPr>
                                <w:rStyle w:val="Strong"/>
                                <w:rFonts w:ascii="Arial" w:hAnsi="Arial" w:cs="Arial"/>
                                <w:color w:val="auto"/>
                                <w:sz w:val="18"/>
                                <w:szCs w:val="18"/>
                              </w:rPr>
                              <w:t xml:space="preserve"> of a recent district court finding</w:t>
                            </w:r>
                            <w:r w:rsidRPr="00D91161">
                              <w:rPr>
                                <w:rFonts w:ascii="Arial" w:hAnsi="Arial" w:cs="Arial"/>
                                <w:sz w:val="18"/>
                                <w:szCs w:val="18"/>
                              </w:rPr>
                              <w:t xml:space="preserve"> that a health plan’s exclusion for Applied Behavioral Analysis (ABA) therapy for autism violated the Mental Health Parity and Addiction Equity Act of 2008 (MHPAEA) because it imposed a separate treatment limit that applied only to a mental health condition and it excluded coverage for a primary treatment for autism without a comparable exclusion for medical benefits.</w:t>
                            </w:r>
                            <w:r w:rsidR="00F5132B">
                              <w:rPr>
                                <w:rFonts w:ascii="Arial" w:hAnsi="Arial" w:cs="Arial"/>
                                <w:sz w:val="18"/>
                                <w:szCs w:val="18"/>
                              </w:rPr>
                              <w:br/>
                            </w:r>
                          </w:p>
                          <w:p w14:paraId="79200413" w14:textId="13E2CEE8" w:rsidR="00D91161" w:rsidRPr="00D91161" w:rsidRDefault="00D91161" w:rsidP="00D91161">
                            <w:pPr>
                              <w:pStyle w:val="NormalWeb"/>
                              <w:numPr>
                                <w:ilvl w:val="0"/>
                                <w:numId w:val="13"/>
                              </w:numPr>
                              <w:spacing w:after="0" w:afterAutospacing="0"/>
                              <w:rPr>
                                <w:rFonts w:ascii="Arial" w:hAnsi="Arial" w:cs="Arial"/>
                                <w:sz w:val="18"/>
                                <w:szCs w:val="18"/>
                              </w:rPr>
                            </w:pPr>
                            <w:r w:rsidRPr="00D91161">
                              <w:rPr>
                                <w:rFonts w:ascii="Arial" w:hAnsi="Arial" w:cs="Arial"/>
                                <w:sz w:val="18"/>
                                <w:szCs w:val="18"/>
                              </w:rPr>
                              <w:t xml:space="preserve">In March, the IRS released </w:t>
                            </w:r>
                            <w:hyperlink r:id="rId43" w:history="1">
                              <w:r w:rsidRPr="00D91161">
                                <w:rPr>
                                  <w:rStyle w:val="Hyperlink"/>
                                  <w:rFonts w:ascii="Arial" w:hAnsi="Arial" w:cs="Arial"/>
                                  <w:sz w:val="18"/>
                                  <w:szCs w:val="18"/>
                                </w:rPr>
                                <w:t>Notice 2021-21</w:t>
                              </w:r>
                            </w:hyperlink>
                            <w:r w:rsidRPr="00D91161">
                              <w:rPr>
                                <w:rFonts w:ascii="Arial" w:hAnsi="Arial" w:cs="Arial"/>
                                <w:sz w:val="18"/>
                                <w:szCs w:val="18"/>
                              </w:rPr>
                              <w:t>, which among other things extends the HSA contribution deadline for 2020 contributions until May 17, 2021.</w:t>
                            </w:r>
                          </w:p>
                          <w:p w14:paraId="448D002B" w14:textId="6B565118" w:rsidR="00D91161" w:rsidRDefault="00D91161" w:rsidP="00D91161">
                            <w:pPr>
                              <w:pStyle w:val="NormalWeb"/>
                              <w:spacing w:after="0" w:afterAutospacing="0"/>
                              <w:ind w:left="720"/>
                              <w:rPr>
                                <w:rFonts w:ascii="Arial" w:hAnsi="Arial" w:cs="Arial"/>
                                <w:sz w:val="18"/>
                                <w:szCs w:val="18"/>
                              </w:rPr>
                            </w:pPr>
                          </w:p>
                          <w:p w14:paraId="5D67138B" w14:textId="77777777" w:rsidR="00D91161" w:rsidRDefault="00D91161" w:rsidP="00D91161">
                            <w:pPr>
                              <w:pStyle w:val="NormalWeb"/>
                              <w:spacing w:after="0" w:afterAutospacing="0"/>
                              <w:rPr>
                                <w:rFonts w:ascii="Arial" w:hAnsi="Arial" w:cs="Arial"/>
                                <w:sz w:val="18"/>
                                <w:szCs w:val="18"/>
                              </w:rPr>
                            </w:pPr>
                          </w:p>
                          <w:p w14:paraId="525DDB34" w14:textId="77777777" w:rsidR="00D91161" w:rsidRPr="00491992" w:rsidRDefault="00D91161" w:rsidP="00D91161">
                            <w:pPr>
                              <w:spacing w:before="100" w:beforeAutospacing="1" w:after="100" w:afterAutospacing="1"/>
                              <w:ind w:left="720"/>
                            </w:pPr>
                          </w:p>
                          <w:p w14:paraId="75AF2CE9" w14:textId="77777777" w:rsidR="00D91161" w:rsidRPr="00491992" w:rsidRDefault="00D91161" w:rsidP="00D91161">
                            <w:pPr>
                              <w:spacing w:before="100" w:beforeAutospacing="1" w:after="100" w:afterAutospacing="1"/>
                              <w:ind w:left="720"/>
                              <w:rPr>
                                <w:rFonts w:ascii="Arial" w:hAnsi="Arial" w:cs="Arial"/>
                                <w:sz w:val="18"/>
                                <w:szCs w:val="18"/>
                              </w:rPr>
                            </w:pPr>
                          </w:p>
                          <w:p w14:paraId="5C5ACA5F" w14:textId="77777777" w:rsidR="00D91161" w:rsidRPr="004F62E7" w:rsidRDefault="00D91161" w:rsidP="00D91161">
                            <w:pPr>
                              <w:pStyle w:val="ListParagraph"/>
                              <w:spacing w:after="0"/>
                              <w:ind w:left="360"/>
                              <w:rPr>
                                <w:rFonts w:ascii="Arial" w:eastAsia="Times New Roman" w:hAnsi="Arial" w:cs="Arial"/>
                                <w:color w:val="000000" w:themeColor="text1"/>
                                <w:sz w:val="18"/>
                                <w:szCs w:val="18"/>
                                <w:lang w:eastAsia="en-US"/>
                              </w:rPr>
                            </w:pPr>
                          </w:p>
                          <w:p w14:paraId="221295BA" w14:textId="77777777" w:rsidR="00D91161" w:rsidRPr="00D4084B" w:rsidRDefault="00D91161" w:rsidP="00D91161">
                            <w:pPr>
                              <w:rPr>
                                <w:rFonts w:ascii="Arial" w:eastAsia="Times New Roman" w:hAnsi="Arial" w:cs="Arial"/>
                                <w:color w:val="000000" w:themeColor="text1"/>
                                <w:sz w:val="18"/>
                                <w:szCs w:val="18"/>
                                <w:lang w:eastAsia="en-US"/>
                              </w:rPr>
                            </w:pPr>
                          </w:p>
                          <w:p w14:paraId="3E06B3AC" w14:textId="77777777" w:rsidR="00D91161" w:rsidRPr="007B59C6" w:rsidRDefault="00D91161" w:rsidP="00D91161">
                            <w:pPr>
                              <w:pStyle w:val="ListParagraph"/>
                              <w:rPr>
                                <w:rFonts w:ascii="Arial" w:eastAsia="Times New Roman" w:hAnsi="Arial" w:cs="Arial"/>
                                <w:color w:val="000000" w:themeColor="text1"/>
                                <w:sz w:val="18"/>
                                <w:szCs w:val="18"/>
                                <w:lang w:eastAsia="en-US"/>
                              </w:rPr>
                            </w:pPr>
                          </w:p>
                          <w:p w14:paraId="2227A2AE" w14:textId="77777777" w:rsidR="00D91161" w:rsidRPr="007B0C57" w:rsidRDefault="00D91161" w:rsidP="00D91161">
                            <w:pPr>
                              <w:rPr>
                                <w:rFonts w:ascii="Arial" w:eastAsia="Times New Roman" w:hAnsi="Arial" w:cs="Arial"/>
                                <w:color w:val="000000" w:themeColor="text1"/>
                                <w:sz w:val="18"/>
                                <w:szCs w:val="18"/>
                                <w:lang w:eastAsia="en-US"/>
                              </w:rPr>
                            </w:pPr>
                          </w:p>
                          <w:p w14:paraId="6598B4D7" w14:textId="77777777" w:rsidR="00D91161" w:rsidRPr="005C7A6D" w:rsidRDefault="00D91161" w:rsidP="00D91161">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EBA5" id="Text Box 6" o:spid="_x0000_s1029" type="#_x0000_t202" style="position:absolute;left:0;text-align:left;margin-left:280.5pt;margin-top:-34.5pt;width:236.9pt;height:34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" fillcolor="#dfeff2" stroked="f" strokeweight=".5pt">
                <v:textbox>
                  <w:txbxContent>
                    <w:p w14:paraId="38557B82" w14:textId="77777777" w:rsidR="00D91161" w:rsidRDefault="00D91161" w:rsidP="00D91161">
                      <w:pPr>
                        <w:spacing w:line="276" w:lineRule="auto"/>
                        <w:ind w:left="360"/>
                        <w:rPr>
                          <w:rFonts w:ascii="Arial" w:hAnsi="Arial" w:cs="Arial"/>
                          <w:b/>
                          <w:bCs/>
                          <w:color w:val="0070C0"/>
                          <w:sz w:val="26"/>
                          <w:szCs w:val="26"/>
                        </w:rPr>
                      </w:pPr>
                    </w:p>
                    <w:p w14:paraId="426FF215" w14:textId="77777777" w:rsidR="00D91161" w:rsidRPr="003005AF" w:rsidRDefault="00D91161" w:rsidP="00D91161">
                      <w:pPr>
                        <w:spacing w:line="276" w:lineRule="auto"/>
                        <w:ind w:left="360"/>
                        <w:rPr>
                          <w:rFonts w:ascii="Arial" w:hAnsi="Arial" w:cs="Arial"/>
                          <w:b/>
                          <w:bCs/>
                          <w:color w:val="0070C0"/>
                          <w:sz w:val="26"/>
                          <w:szCs w:val="26"/>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p>
                    <w:p w14:paraId="5CEE096E" w14:textId="39B5322B" w:rsidR="00A0158A" w:rsidRPr="00A0158A" w:rsidRDefault="00A0158A" w:rsidP="00A0158A">
                      <w:pPr>
                        <w:pStyle w:val="NormalWeb"/>
                        <w:numPr>
                          <w:ilvl w:val="0"/>
                          <w:numId w:val="13"/>
                        </w:numPr>
                        <w:spacing w:after="0" w:afterAutospacing="0"/>
                        <w:rPr>
                          <w:rStyle w:val="Strong"/>
                          <w:rFonts w:ascii="Arial" w:hAnsi="Arial" w:cs="Arial"/>
                          <w:color w:val="auto"/>
                          <w:sz w:val="18"/>
                          <w:szCs w:val="18"/>
                        </w:rPr>
                      </w:pPr>
                      <w:r>
                        <w:rPr>
                          <w:rStyle w:val="Strong"/>
                          <w:rFonts w:ascii="Arial" w:hAnsi="Arial" w:cs="Arial"/>
                          <w:color w:val="auto"/>
                          <w:sz w:val="18"/>
                          <w:szCs w:val="18"/>
                        </w:rPr>
                        <w:t xml:space="preserve">On </w:t>
                      </w:r>
                      <w:r w:rsidRPr="00D91161">
                        <w:rPr>
                          <w:rStyle w:val="Strong"/>
                          <w:rFonts w:ascii="Arial" w:hAnsi="Arial" w:cs="Arial"/>
                          <w:color w:val="auto"/>
                          <w:sz w:val="18"/>
                          <w:szCs w:val="18"/>
                        </w:rPr>
                        <w:t xml:space="preserve">February 26, the DOL, Internal Revenue Service (IRS), and Department of Health and Human Services (HHS) issued a new set of </w:t>
                      </w:r>
                      <w:hyperlink r:id="rId44" w:history="1">
                        <w:r w:rsidRPr="00D91161">
                          <w:rPr>
                            <w:rStyle w:val="Hyperlink"/>
                            <w:rFonts w:ascii="Arial" w:eastAsiaTheme="majorEastAsia" w:hAnsi="Arial" w:cs="Arial"/>
                            <w:b/>
                            <w:bCs/>
                            <w:color w:val="auto"/>
                            <w:sz w:val="18"/>
                            <w:szCs w:val="18"/>
                          </w:rPr>
                          <w:t>FAQs</w:t>
                        </w:r>
                      </w:hyperlink>
                      <w:r w:rsidRPr="00D91161">
                        <w:rPr>
                          <w:rFonts w:ascii="Arial" w:hAnsi="Arial" w:cs="Arial"/>
                          <w:sz w:val="18"/>
                          <w:szCs w:val="18"/>
                        </w:rPr>
                        <w:t xml:space="preserve"> regarding the Families First </w:t>
                      </w:r>
                      <w:r w:rsidRPr="00A0158A">
                        <w:rPr>
                          <w:rFonts w:ascii="Arial" w:hAnsi="Arial" w:cs="Arial"/>
                          <w:sz w:val="18"/>
                          <w:szCs w:val="18"/>
                        </w:rPr>
                        <w:t>Coronavirus Response Act (FFCRA) and the Coronavirus Aid, Relief, and Economic Security Act (CARES Act) for group health plans. This FAQ further clarifies requirement to cover COVID-related diagnostic testing and vaccinations with no cost-sharing.</w:t>
                      </w:r>
                      <w:r>
                        <w:t xml:space="preserve"> </w:t>
                      </w:r>
                      <w:r w:rsidR="00F5132B">
                        <w:br/>
                      </w:r>
                    </w:p>
                    <w:p w14:paraId="0143B7FC" w14:textId="77525FCE" w:rsidR="00A0158A" w:rsidRPr="00A0158A" w:rsidRDefault="00D91161" w:rsidP="00A0158A">
                      <w:pPr>
                        <w:pStyle w:val="NormalWeb"/>
                        <w:numPr>
                          <w:ilvl w:val="0"/>
                          <w:numId w:val="13"/>
                        </w:numPr>
                        <w:spacing w:after="0" w:afterAutospacing="0"/>
                        <w:rPr>
                          <w:rFonts w:ascii="Arial" w:hAnsi="Arial" w:cs="Arial"/>
                          <w:sz w:val="18"/>
                          <w:szCs w:val="18"/>
                        </w:rPr>
                      </w:pPr>
                      <w:r w:rsidRPr="00D91161">
                        <w:rPr>
                          <w:rStyle w:val="Strong"/>
                          <w:rFonts w:ascii="Arial" w:hAnsi="Arial" w:cs="Arial"/>
                          <w:color w:val="auto"/>
                          <w:sz w:val="18"/>
                          <w:szCs w:val="18"/>
                        </w:rPr>
                        <w:t xml:space="preserve">Thomson Reuters provides </w:t>
                      </w:r>
                      <w:hyperlink r:id="rId45" w:history="1">
                        <w:r w:rsidRPr="00D91161">
                          <w:rPr>
                            <w:rStyle w:val="Hyperlink"/>
                            <w:rFonts w:ascii="Arial" w:eastAsiaTheme="majorEastAsia" w:hAnsi="Arial" w:cs="Arial"/>
                            <w:b/>
                            <w:bCs/>
                            <w:color w:val="auto"/>
                            <w:sz w:val="18"/>
                            <w:szCs w:val="18"/>
                          </w:rPr>
                          <w:t>a summary</w:t>
                        </w:r>
                      </w:hyperlink>
                      <w:r w:rsidRPr="00D91161">
                        <w:rPr>
                          <w:rStyle w:val="Strong"/>
                          <w:rFonts w:ascii="Arial" w:hAnsi="Arial" w:cs="Arial"/>
                          <w:color w:val="auto"/>
                          <w:sz w:val="18"/>
                          <w:szCs w:val="18"/>
                        </w:rPr>
                        <w:t xml:space="preserve"> of a recent district court finding</w:t>
                      </w:r>
                      <w:r w:rsidRPr="00D91161">
                        <w:rPr>
                          <w:rFonts w:ascii="Arial" w:hAnsi="Arial" w:cs="Arial"/>
                          <w:sz w:val="18"/>
                          <w:szCs w:val="18"/>
                        </w:rPr>
                        <w:t xml:space="preserve"> that a health plan’s exclusion for Applied Behavioral Analysis (ABA) therapy for autism violated the Mental Health Parity and Addiction Equity Act of 2008 (MHPAEA) because it imposed a separate treatment limit that applied only to a mental health condition and it excluded coverage for a primary treatment for autism without a comparable exclusion for medical benefits.</w:t>
                      </w:r>
                      <w:r w:rsidR="00F5132B">
                        <w:rPr>
                          <w:rFonts w:ascii="Arial" w:hAnsi="Arial" w:cs="Arial"/>
                          <w:sz w:val="18"/>
                          <w:szCs w:val="18"/>
                        </w:rPr>
                        <w:br/>
                      </w:r>
                    </w:p>
                    <w:p w14:paraId="79200413" w14:textId="13E2CEE8" w:rsidR="00D91161" w:rsidRPr="00D91161" w:rsidRDefault="00D91161" w:rsidP="00D91161">
                      <w:pPr>
                        <w:pStyle w:val="NormalWeb"/>
                        <w:numPr>
                          <w:ilvl w:val="0"/>
                          <w:numId w:val="13"/>
                        </w:numPr>
                        <w:spacing w:after="0" w:afterAutospacing="0"/>
                        <w:rPr>
                          <w:rFonts w:ascii="Arial" w:hAnsi="Arial" w:cs="Arial"/>
                          <w:sz w:val="18"/>
                          <w:szCs w:val="18"/>
                        </w:rPr>
                      </w:pPr>
                      <w:r w:rsidRPr="00D91161">
                        <w:rPr>
                          <w:rFonts w:ascii="Arial" w:hAnsi="Arial" w:cs="Arial"/>
                          <w:sz w:val="18"/>
                          <w:szCs w:val="18"/>
                        </w:rPr>
                        <w:t xml:space="preserve">In March, the IRS released </w:t>
                      </w:r>
                      <w:hyperlink r:id="rId46" w:history="1">
                        <w:r w:rsidRPr="00D91161">
                          <w:rPr>
                            <w:rStyle w:val="Hyperlink"/>
                            <w:rFonts w:ascii="Arial" w:hAnsi="Arial" w:cs="Arial"/>
                            <w:sz w:val="18"/>
                            <w:szCs w:val="18"/>
                          </w:rPr>
                          <w:t>Notice 2021-21</w:t>
                        </w:r>
                      </w:hyperlink>
                      <w:r w:rsidRPr="00D91161">
                        <w:rPr>
                          <w:rFonts w:ascii="Arial" w:hAnsi="Arial" w:cs="Arial"/>
                          <w:sz w:val="18"/>
                          <w:szCs w:val="18"/>
                        </w:rPr>
                        <w:t>, which among other things extends the HSA contribution deadline for 2020 contributions until May 17, 2021.</w:t>
                      </w:r>
                    </w:p>
                    <w:p w14:paraId="448D002B" w14:textId="6B565118" w:rsidR="00D91161" w:rsidRDefault="00D91161" w:rsidP="00D91161">
                      <w:pPr>
                        <w:pStyle w:val="NormalWeb"/>
                        <w:spacing w:after="0" w:afterAutospacing="0"/>
                        <w:ind w:left="720"/>
                        <w:rPr>
                          <w:rFonts w:ascii="Arial" w:hAnsi="Arial" w:cs="Arial"/>
                          <w:sz w:val="18"/>
                          <w:szCs w:val="18"/>
                        </w:rPr>
                      </w:pPr>
                    </w:p>
                    <w:p w14:paraId="5D67138B" w14:textId="77777777" w:rsidR="00D91161" w:rsidRDefault="00D91161" w:rsidP="00D91161">
                      <w:pPr>
                        <w:pStyle w:val="NormalWeb"/>
                        <w:spacing w:after="0" w:afterAutospacing="0"/>
                        <w:rPr>
                          <w:rFonts w:ascii="Arial" w:hAnsi="Arial" w:cs="Arial"/>
                          <w:sz w:val="18"/>
                          <w:szCs w:val="18"/>
                        </w:rPr>
                      </w:pPr>
                    </w:p>
                    <w:p w14:paraId="525DDB34" w14:textId="77777777" w:rsidR="00D91161" w:rsidRPr="00491992" w:rsidRDefault="00D91161" w:rsidP="00D91161">
                      <w:pPr>
                        <w:spacing w:before="100" w:beforeAutospacing="1" w:after="100" w:afterAutospacing="1"/>
                        <w:ind w:left="720"/>
                      </w:pPr>
                    </w:p>
                    <w:p w14:paraId="75AF2CE9" w14:textId="77777777" w:rsidR="00D91161" w:rsidRPr="00491992" w:rsidRDefault="00D91161" w:rsidP="00D91161">
                      <w:pPr>
                        <w:spacing w:before="100" w:beforeAutospacing="1" w:after="100" w:afterAutospacing="1"/>
                        <w:ind w:left="720"/>
                        <w:rPr>
                          <w:rFonts w:ascii="Arial" w:hAnsi="Arial" w:cs="Arial"/>
                          <w:sz w:val="18"/>
                          <w:szCs w:val="18"/>
                        </w:rPr>
                      </w:pPr>
                    </w:p>
                    <w:p w14:paraId="5C5ACA5F" w14:textId="77777777" w:rsidR="00D91161" w:rsidRPr="004F62E7" w:rsidRDefault="00D91161" w:rsidP="00D91161">
                      <w:pPr>
                        <w:pStyle w:val="ListParagraph"/>
                        <w:spacing w:after="0"/>
                        <w:ind w:left="360"/>
                        <w:rPr>
                          <w:rFonts w:ascii="Arial" w:eastAsia="Times New Roman" w:hAnsi="Arial" w:cs="Arial"/>
                          <w:color w:val="000000" w:themeColor="text1"/>
                          <w:sz w:val="18"/>
                          <w:szCs w:val="18"/>
                          <w:lang w:eastAsia="en-US"/>
                        </w:rPr>
                      </w:pPr>
                    </w:p>
                    <w:p w14:paraId="221295BA" w14:textId="77777777" w:rsidR="00D91161" w:rsidRPr="00D4084B" w:rsidRDefault="00D91161" w:rsidP="00D91161">
                      <w:pPr>
                        <w:rPr>
                          <w:rFonts w:ascii="Arial" w:eastAsia="Times New Roman" w:hAnsi="Arial" w:cs="Arial"/>
                          <w:color w:val="000000" w:themeColor="text1"/>
                          <w:sz w:val="18"/>
                          <w:szCs w:val="18"/>
                          <w:lang w:eastAsia="en-US"/>
                        </w:rPr>
                      </w:pPr>
                    </w:p>
                    <w:p w14:paraId="3E06B3AC" w14:textId="77777777" w:rsidR="00D91161" w:rsidRPr="007B59C6" w:rsidRDefault="00D91161" w:rsidP="00D91161">
                      <w:pPr>
                        <w:pStyle w:val="ListParagraph"/>
                        <w:rPr>
                          <w:rFonts w:ascii="Arial" w:eastAsia="Times New Roman" w:hAnsi="Arial" w:cs="Arial"/>
                          <w:color w:val="000000" w:themeColor="text1"/>
                          <w:sz w:val="18"/>
                          <w:szCs w:val="18"/>
                          <w:lang w:eastAsia="en-US"/>
                        </w:rPr>
                      </w:pPr>
                    </w:p>
                    <w:p w14:paraId="2227A2AE" w14:textId="77777777" w:rsidR="00D91161" w:rsidRPr="007B0C57" w:rsidRDefault="00D91161" w:rsidP="00D91161">
                      <w:pPr>
                        <w:rPr>
                          <w:rFonts w:ascii="Arial" w:eastAsia="Times New Roman" w:hAnsi="Arial" w:cs="Arial"/>
                          <w:color w:val="000000" w:themeColor="text1"/>
                          <w:sz w:val="18"/>
                          <w:szCs w:val="18"/>
                          <w:lang w:eastAsia="en-US"/>
                        </w:rPr>
                      </w:pPr>
                    </w:p>
                    <w:p w14:paraId="6598B4D7" w14:textId="77777777" w:rsidR="00D91161" w:rsidRPr="005C7A6D" w:rsidRDefault="00D91161" w:rsidP="00D91161">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anchorx="margin" anchory="margin"/>
              </v:shape>
            </w:pict>
          </mc:Fallback>
        </mc:AlternateContent>
      </w:r>
    </w:p>
    <w:p w14:paraId="1D6F7620" w14:textId="3896D02A" w:rsidR="0018238D" w:rsidRPr="00D91161" w:rsidRDefault="0018238D" w:rsidP="00C56AB2">
      <w:pPr>
        <w:ind w:left="720"/>
        <w:rPr>
          <w:rFonts w:ascii="Arial" w:hAnsi="Arial" w:cs="Arial"/>
          <w:color w:val="555555"/>
          <w:sz w:val="21"/>
          <w:szCs w:val="21"/>
        </w:rPr>
      </w:pPr>
      <w:r w:rsidRPr="00D91161">
        <w:rPr>
          <w:rFonts w:ascii="Arial" w:hAnsi="Arial" w:cs="Arial"/>
          <w:color w:val="555555"/>
          <w:sz w:val="21"/>
          <w:szCs w:val="21"/>
        </w:rPr>
        <w:t xml:space="preserve">More here: </w:t>
      </w:r>
      <w:hyperlink r:id="rId47" w:history="1">
        <w:r w:rsidRPr="00D91161">
          <w:rPr>
            <w:rStyle w:val="Hyperlink"/>
            <w:rFonts w:ascii="Arial" w:hAnsi="Arial" w:cs="Arial"/>
            <w:sz w:val="21"/>
            <w:szCs w:val="21"/>
          </w:rPr>
          <w:t>https://benefitcomply.com/significant-employee-benefit-changes-contained-in-the-american-rescue-plan-act-arpa/</w:t>
        </w:r>
      </w:hyperlink>
    </w:p>
    <w:p w14:paraId="5E1CC7E7" w14:textId="77777777" w:rsidR="00D9295E" w:rsidRPr="00D91161" w:rsidRDefault="00D9295E" w:rsidP="00C56AB2">
      <w:pPr>
        <w:ind w:left="720"/>
        <w:rPr>
          <w:rFonts w:ascii="Arial" w:hAnsi="Arial" w:cs="Arial"/>
          <w:color w:val="555555"/>
          <w:sz w:val="21"/>
          <w:szCs w:val="21"/>
        </w:rPr>
      </w:pPr>
    </w:p>
    <w:p w14:paraId="04B81B09" w14:textId="77777777" w:rsidR="0080069A" w:rsidRDefault="0080069A" w:rsidP="00C56AB2">
      <w:pPr>
        <w:ind w:left="720"/>
        <w:rPr>
          <w:rStyle w:val="Strong"/>
          <w:rFonts w:ascii="Arial" w:hAnsi="Arial" w:cs="Arial"/>
          <w:b/>
          <w:bCs/>
          <w:color w:val="333333"/>
          <w:sz w:val="21"/>
          <w:szCs w:val="21"/>
        </w:rPr>
      </w:pPr>
    </w:p>
    <w:p w14:paraId="0D2609FA" w14:textId="77777777" w:rsidR="006B1A52" w:rsidRDefault="0018238D" w:rsidP="006B1A52">
      <w:pPr>
        <w:ind w:left="720"/>
        <w:rPr>
          <w:rStyle w:val="Strong"/>
          <w:rFonts w:ascii="Arial" w:hAnsi="Arial" w:cs="Arial"/>
          <w:b/>
          <w:bCs/>
          <w:color w:val="333333"/>
          <w:sz w:val="21"/>
          <w:szCs w:val="21"/>
        </w:rPr>
      </w:pPr>
      <w:r w:rsidRPr="00D91161">
        <w:rPr>
          <w:rStyle w:val="Strong"/>
          <w:rFonts w:ascii="Arial" w:hAnsi="Arial" w:cs="Arial"/>
          <w:b/>
          <w:bCs/>
          <w:color w:val="333333"/>
          <w:sz w:val="21"/>
          <w:szCs w:val="21"/>
        </w:rPr>
        <w:t>OCR Releases Report of Second Phase HIPAA Audit Findings</w:t>
      </w:r>
    </w:p>
    <w:p w14:paraId="4B9BEB48" w14:textId="179D6B32" w:rsidR="0018238D" w:rsidRPr="006B1A52" w:rsidRDefault="0018238D" w:rsidP="006B1A52">
      <w:pPr>
        <w:ind w:left="720"/>
        <w:rPr>
          <w:rFonts w:ascii="Arial" w:hAnsi="Arial" w:cs="Arial"/>
          <w:sz w:val="21"/>
          <w:szCs w:val="21"/>
        </w:rPr>
      </w:pPr>
      <w:r w:rsidRPr="00D91161">
        <w:rPr>
          <w:rFonts w:ascii="Arial" w:hAnsi="Arial" w:cs="Arial"/>
          <w:color w:val="555555"/>
          <w:sz w:val="21"/>
          <w:szCs w:val="21"/>
        </w:rPr>
        <w:t xml:space="preserve">Late </w:t>
      </w:r>
      <w:r w:rsidR="006B1A52">
        <w:rPr>
          <w:rFonts w:ascii="Arial" w:hAnsi="Arial" w:cs="Arial"/>
          <w:color w:val="555555"/>
          <w:sz w:val="21"/>
          <w:szCs w:val="21"/>
        </w:rPr>
        <w:t>l</w:t>
      </w:r>
      <w:r w:rsidRPr="00D91161">
        <w:rPr>
          <w:rFonts w:ascii="Arial" w:hAnsi="Arial" w:cs="Arial"/>
          <w:color w:val="555555"/>
          <w:sz w:val="21"/>
          <w:szCs w:val="21"/>
        </w:rPr>
        <w:t>ast year, the Office for Civil Rights (OCR) released its findings from the series of HIPAA privacy and security audits it conducted of approximately 200 covered entities and business associates in 2016 and 2017. OCR is the division of the Department of Health and Human Services (HHS) responsible for overseeing and enforcing compliance with HIPAA’s requirements. The purpose of the report is to describe OCR’s findings and recommend assistance for covered entities and business associates in areas where deficiencies were common.</w:t>
      </w:r>
    </w:p>
    <w:p w14:paraId="0A26A38C" w14:textId="10733262" w:rsidR="00D91161" w:rsidRPr="00D9295E" w:rsidRDefault="0018238D" w:rsidP="00C56AB2">
      <w:pPr>
        <w:pStyle w:val="NormalWeb"/>
        <w:shd w:val="clear" w:color="auto" w:fill="FFFFFF"/>
        <w:ind w:left="720"/>
        <w:rPr>
          <w:rFonts w:ascii="Arial" w:hAnsi="Arial" w:cs="Arial"/>
          <w:color w:val="555555"/>
          <w:sz w:val="21"/>
          <w:szCs w:val="21"/>
        </w:rPr>
      </w:pPr>
      <w:r w:rsidRPr="00D91161">
        <w:rPr>
          <w:rFonts w:ascii="Arial" w:hAnsi="Arial" w:cs="Arial"/>
          <w:color w:val="555555"/>
          <w:sz w:val="21"/>
          <w:szCs w:val="21"/>
        </w:rPr>
        <w:t xml:space="preserve">More here: </w:t>
      </w:r>
      <w:hyperlink r:id="rId48" w:history="1">
        <w:r w:rsidRPr="00D91161">
          <w:rPr>
            <w:rStyle w:val="Hyperlink"/>
            <w:rFonts w:ascii="Arial" w:hAnsi="Arial" w:cs="Arial"/>
            <w:sz w:val="21"/>
            <w:szCs w:val="21"/>
          </w:rPr>
          <w:t>https://benefitcomply.com/ocr-releases-report-of-second-phase-hipaa-audit-findings/</w:t>
        </w:r>
      </w:hyperlink>
    </w:p>
    <w:p w14:paraId="136B4EB9" w14:textId="77777777" w:rsidR="00A40BDA" w:rsidRDefault="00A40BDA" w:rsidP="00D91161">
      <w:pPr>
        <w:pStyle w:val="Heading1"/>
        <w:rPr>
          <w:sz w:val="32"/>
          <w:szCs w:val="32"/>
        </w:rPr>
      </w:pPr>
    </w:p>
    <w:p w14:paraId="7E8700E9" w14:textId="77777777" w:rsidR="00B52272" w:rsidRDefault="00B52272" w:rsidP="00D91161">
      <w:pPr>
        <w:pStyle w:val="Heading1"/>
        <w:rPr>
          <w:sz w:val="32"/>
          <w:szCs w:val="32"/>
        </w:rPr>
      </w:pPr>
    </w:p>
    <w:p w14:paraId="380B4372" w14:textId="77777777" w:rsidR="00B52272" w:rsidRDefault="00B52272" w:rsidP="00D91161">
      <w:pPr>
        <w:pStyle w:val="Heading1"/>
        <w:rPr>
          <w:sz w:val="32"/>
          <w:szCs w:val="32"/>
        </w:rPr>
      </w:pPr>
    </w:p>
    <w:p w14:paraId="363A6C37" w14:textId="77777777" w:rsidR="00B52272" w:rsidRDefault="00B52272" w:rsidP="00D91161">
      <w:pPr>
        <w:pStyle w:val="Heading1"/>
        <w:rPr>
          <w:sz w:val="32"/>
          <w:szCs w:val="32"/>
        </w:rPr>
      </w:pPr>
    </w:p>
    <w:p w14:paraId="7277E8B0" w14:textId="77777777" w:rsidR="00B52272" w:rsidRDefault="00B52272" w:rsidP="00D91161">
      <w:pPr>
        <w:pStyle w:val="Heading1"/>
        <w:rPr>
          <w:sz w:val="32"/>
          <w:szCs w:val="32"/>
        </w:rPr>
      </w:pPr>
    </w:p>
    <w:p w14:paraId="4F46BC3D" w14:textId="77777777" w:rsidR="00B52272" w:rsidRDefault="00B52272" w:rsidP="00D91161">
      <w:pPr>
        <w:pStyle w:val="Heading1"/>
        <w:rPr>
          <w:sz w:val="32"/>
          <w:szCs w:val="32"/>
        </w:rPr>
      </w:pPr>
    </w:p>
    <w:p w14:paraId="7136321E" w14:textId="77777777" w:rsidR="00B52272" w:rsidRDefault="00B52272" w:rsidP="00D91161">
      <w:pPr>
        <w:pStyle w:val="Heading1"/>
        <w:rPr>
          <w:sz w:val="32"/>
          <w:szCs w:val="32"/>
        </w:rPr>
      </w:pPr>
    </w:p>
    <w:p w14:paraId="3C02701C" w14:textId="77777777" w:rsidR="00B52272" w:rsidRDefault="00B52272" w:rsidP="00D91161">
      <w:pPr>
        <w:pStyle w:val="Heading1"/>
        <w:rPr>
          <w:sz w:val="32"/>
          <w:szCs w:val="32"/>
        </w:rPr>
      </w:pPr>
    </w:p>
    <w:p w14:paraId="70FA03C5" w14:textId="77777777" w:rsidR="00B52272" w:rsidRDefault="00B52272" w:rsidP="00D91161">
      <w:pPr>
        <w:pStyle w:val="Heading1"/>
        <w:rPr>
          <w:sz w:val="32"/>
          <w:szCs w:val="32"/>
        </w:rPr>
      </w:pPr>
    </w:p>
    <w:p w14:paraId="4D993200" w14:textId="77777777" w:rsidR="00B52272" w:rsidRDefault="00B52272" w:rsidP="00D91161">
      <w:pPr>
        <w:pStyle w:val="Heading1"/>
        <w:rPr>
          <w:sz w:val="32"/>
          <w:szCs w:val="32"/>
        </w:rPr>
      </w:pPr>
    </w:p>
    <w:p w14:paraId="2E5A12D7" w14:textId="77777777" w:rsidR="00B52272" w:rsidRDefault="00B52272" w:rsidP="00D91161">
      <w:pPr>
        <w:pStyle w:val="Heading1"/>
        <w:rPr>
          <w:sz w:val="32"/>
          <w:szCs w:val="32"/>
        </w:rPr>
      </w:pPr>
    </w:p>
    <w:p w14:paraId="59D75A32" w14:textId="77777777" w:rsidR="00F5132B" w:rsidRDefault="00F5132B" w:rsidP="00D91161">
      <w:pPr>
        <w:pStyle w:val="Heading1"/>
        <w:rPr>
          <w:sz w:val="32"/>
          <w:szCs w:val="32"/>
        </w:rPr>
      </w:pPr>
      <w:bookmarkStart w:id="7" w:name="_Toc68530278"/>
    </w:p>
    <w:p w14:paraId="245BF649" w14:textId="77777777" w:rsidR="00F5132B" w:rsidRDefault="00F5132B" w:rsidP="00D91161">
      <w:pPr>
        <w:pStyle w:val="Heading1"/>
        <w:rPr>
          <w:sz w:val="32"/>
          <w:szCs w:val="32"/>
        </w:rPr>
      </w:pPr>
    </w:p>
    <w:p w14:paraId="586EC243" w14:textId="35AC0C2D" w:rsidR="00D91161" w:rsidRPr="00D91161" w:rsidRDefault="00D91161" w:rsidP="00D91161">
      <w:pPr>
        <w:pStyle w:val="Heading1"/>
        <w:rPr>
          <w:sz w:val="32"/>
          <w:szCs w:val="32"/>
        </w:rPr>
      </w:pPr>
      <w:r w:rsidRPr="00D91161">
        <w:rPr>
          <w:sz w:val="32"/>
          <w:szCs w:val="32"/>
        </w:rPr>
        <w:lastRenderedPageBreak/>
        <w:t>Quarterly Q&amp;A</w:t>
      </w:r>
      <w:bookmarkEnd w:id="7"/>
    </w:p>
    <w:p w14:paraId="0E2ED4CC" w14:textId="55067487"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b/>
          <w:bCs/>
          <w:sz w:val="21"/>
          <w:szCs w:val="21"/>
          <w:lang w:eastAsia="en-US"/>
        </w:rPr>
        <w:t>Question: If a person is out on an FMLA l</w:t>
      </w:r>
      <w:r>
        <w:rPr>
          <w:rFonts w:ascii="Arial" w:eastAsia="Times New Roman" w:hAnsi="Arial" w:cs="Arial"/>
          <w:b/>
          <w:bCs/>
          <w:sz w:val="21"/>
          <w:szCs w:val="21"/>
          <w:lang w:eastAsia="en-US"/>
        </w:rPr>
        <w:t>e</w:t>
      </w:r>
      <w:r w:rsidRPr="00D91161">
        <w:rPr>
          <w:rFonts w:ascii="Arial" w:eastAsia="Times New Roman" w:hAnsi="Arial" w:cs="Arial"/>
          <w:b/>
          <w:bCs/>
          <w:sz w:val="21"/>
          <w:szCs w:val="21"/>
          <w:lang w:eastAsia="en-US"/>
        </w:rPr>
        <w:t>ave of absence and then fail</w:t>
      </w:r>
      <w:r>
        <w:rPr>
          <w:rFonts w:ascii="Arial" w:eastAsia="Times New Roman" w:hAnsi="Arial" w:cs="Arial"/>
          <w:b/>
          <w:bCs/>
          <w:sz w:val="21"/>
          <w:szCs w:val="21"/>
          <w:lang w:eastAsia="en-US"/>
        </w:rPr>
        <w:t>s</w:t>
      </w:r>
      <w:r w:rsidRPr="00D91161">
        <w:rPr>
          <w:rFonts w:ascii="Arial" w:eastAsia="Times New Roman" w:hAnsi="Arial" w:cs="Arial"/>
          <w:b/>
          <w:bCs/>
          <w:sz w:val="21"/>
          <w:szCs w:val="21"/>
          <w:lang w:eastAsia="en-US"/>
        </w:rPr>
        <w:t xml:space="preserve"> to return to work after FMLA is exhausted (but is not fired), is that person eligible for COBRA?</w:t>
      </w:r>
    </w:p>
    <w:p w14:paraId="35A65713" w14:textId="75DFC67C"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b/>
          <w:bCs/>
          <w:sz w:val="21"/>
          <w:szCs w:val="21"/>
          <w:lang w:eastAsia="en-US"/>
        </w:rPr>
        <w:t xml:space="preserve">Answer: </w:t>
      </w:r>
      <w:r w:rsidRPr="00D91161">
        <w:rPr>
          <w:rFonts w:ascii="Arial" w:eastAsia="Times New Roman" w:hAnsi="Arial" w:cs="Arial"/>
          <w:sz w:val="21"/>
          <w:szCs w:val="21"/>
          <w:lang w:eastAsia="en-US"/>
        </w:rPr>
        <w:t>Under the current statute</w:t>
      </w:r>
      <w:r w:rsidR="00246A18">
        <w:rPr>
          <w:rFonts w:ascii="Arial" w:eastAsia="Times New Roman" w:hAnsi="Arial" w:cs="Arial"/>
          <w:sz w:val="21"/>
          <w:szCs w:val="21"/>
          <w:lang w:eastAsia="en-US"/>
        </w:rPr>
        <w:t>,</w:t>
      </w:r>
      <w:r w:rsidRPr="00D91161">
        <w:rPr>
          <w:rFonts w:ascii="Arial" w:eastAsia="Times New Roman" w:hAnsi="Arial" w:cs="Arial"/>
          <w:sz w:val="21"/>
          <w:szCs w:val="21"/>
          <w:lang w:eastAsia="en-US"/>
        </w:rPr>
        <w:t xml:space="preserve"> all "reductions of hours" make an individual eligible for the COBRA subsidy, so this would qualify someone for the subsidy. There is no requirement that the reduction of hours is involuntary for subsidy eligibility.</w:t>
      </w:r>
    </w:p>
    <w:p w14:paraId="496739E3" w14:textId="77777777"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A leave of absence is generally considered a reduction of hours for COBRA purposes (assuming the individual loses eligibility for active coverage). Therefore, a leave of absence that results in loss of active coverage would make an individual eligible for the COBRA subsidy.</w:t>
      </w:r>
    </w:p>
    <w:p w14:paraId="182485F8" w14:textId="74E9ECA0"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If an employer has a full-time requirement to be eligible for benefits and a person goes on leave and exhausts their FMLA protection (or their leave was never covered by the FMLA), they will likely not be considered eligible for benefits since they won’t be working full-time hours. The Americans with Disabilities Act (ADA) does not provide benefit protection. (One exception to this general rule applies when the employer utilizes the look-back measurement method and the employee has qualified for a stability period during the most recent measurement period.)</w:t>
      </w:r>
    </w:p>
    <w:p w14:paraId="4C344007" w14:textId="36219D4A"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 xml:space="preserve">Essentially, once a person exhausts their FMLA protection, they have experienced the COBRA qualifying event “reduction of hours.” Therefore, unless the employer has a policy in their plan document or SPD extending benefit eligibility when a person goes out on unprotected leave, the individual’s active coverage should be terminated and they should be offered COBRA. This is important for </w:t>
      </w:r>
      <w:r w:rsidR="0080069A" w:rsidRPr="00D91161">
        <w:rPr>
          <w:rFonts w:ascii="Arial" w:eastAsia="Times New Roman" w:hAnsi="Arial" w:cs="Arial"/>
          <w:sz w:val="21"/>
          <w:szCs w:val="21"/>
          <w:lang w:eastAsia="en-US"/>
        </w:rPr>
        <w:t>several</w:t>
      </w:r>
      <w:r w:rsidRPr="00D91161">
        <w:rPr>
          <w:rFonts w:ascii="Arial" w:eastAsia="Times New Roman" w:hAnsi="Arial" w:cs="Arial"/>
          <w:sz w:val="21"/>
          <w:szCs w:val="21"/>
          <w:lang w:eastAsia="en-US"/>
        </w:rPr>
        <w:t xml:space="preserve"> reasons, including:</w:t>
      </w:r>
    </w:p>
    <w:p w14:paraId="0B892A95" w14:textId="77777777" w:rsidR="00D91161" w:rsidRPr="00D91161" w:rsidRDefault="00D91161" w:rsidP="00D91161">
      <w:pPr>
        <w:numPr>
          <w:ilvl w:val="0"/>
          <w:numId w:val="14"/>
        </w:num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The carrier/stop-loss vendor could refuse to cover the individual’s claims if they are left as active employees, and the employer would be responsible for covering those claims; and</w:t>
      </w:r>
    </w:p>
    <w:p w14:paraId="28334808" w14:textId="60CAE64E" w:rsidR="00D91161" w:rsidRPr="00D91161" w:rsidRDefault="00D91161" w:rsidP="00D91161">
      <w:pPr>
        <w:numPr>
          <w:ilvl w:val="0"/>
          <w:numId w:val="14"/>
        </w:num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If the employer does not offer COBRA in compliance with the COBRA regulations, they could subject to fines.</w:t>
      </w:r>
    </w:p>
    <w:p w14:paraId="525F33B2" w14:textId="24FB3FDA" w:rsidR="00D91161" w:rsidRPr="00D91161" w:rsidRDefault="00D91161" w:rsidP="00D91161">
      <w:pPr>
        <w:spacing w:before="100" w:beforeAutospacing="1" w:after="100" w:afterAutospacing="1"/>
        <w:rPr>
          <w:rFonts w:ascii="Arial" w:eastAsia="Times New Roman" w:hAnsi="Arial" w:cs="Arial"/>
          <w:sz w:val="21"/>
          <w:szCs w:val="21"/>
          <w:lang w:eastAsia="en-US"/>
        </w:rPr>
      </w:pPr>
      <w:r w:rsidRPr="00D91161">
        <w:rPr>
          <w:rFonts w:ascii="Arial" w:eastAsia="Times New Roman" w:hAnsi="Arial" w:cs="Arial"/>
          <w:sz w:val="21"/>
          <w:szCs w:val="21"/>
          <w:lang w:eastAsia="en-US"/>
        </w:rPr>
        <w:t>What happens if an employee informs their employer that they will not be returning from an FMLA leave of absence? In this case, an employer is permitted to terminate that employee's employment</w:t>
      </w:r>
      <w:r w:rsidR="0086245A">
        <w:rPr>
          <w:rFonts w:ascii="Arial" w:eastAsia="Times New Roman" w:hAnsi="Arial" w:cs="Arial"/>
          <w:sz w:val="21"/>
          <w:szCs w:val="21"/>
          <w:lang w:eastAsia="en-US"/>
        </w:rPr>
        <w:t xml:space="preserve">, </w:t>
      </w:r>
      <w:r w:rsidRPr="00D91161">
        <w:rPr>
          <w:rFonts w:ascii="Arial" w:eastAsia="Times New Roman" w:hAnsi="Arial" w:cs="Arial"/>
          <w:sz w:val="21"/>
          <w:szCs w:val="21"/>
          <w:lang w:eastAsia="en-US"/>
        </w:rPr>
        <w:t xml:space="preserve">which </w:t>
      </w:r>
      <w:r w:rsidR="0086245A">
        <w:rPr>
          <w:rFonts w:ascii="Arial" w:eastAsia="Times New Roman" w:hAnsi="Arial" w:cs="Arial"/>
          <w:sz w:val="21"/>
          <w:szCs w:val="21"/>
          <w:lang w:eastAsia="en-US"/>
        </w:rPr>
        <w:t xml:space="preserve">generally </w:t>
      </w:r>
      <w:r w:rsidRPr="00D91161">
        <w:rPr>
          <w:rFonts w:ascii="Arial" w:eastAsia="Times New Roman" w:hAnsi="Arial" w:cs="Arial"/>
          <w:sz w:val="21"/>
          <w:szCs w:val="21"/>
          <w:lang w:eastAsia="en-US"/>
        </w:rPr>
        <w:t>would not result in COBRA subsidy eligibility</w:t>
      </w:r>
      <w:r w:rsidR="0086245A">
        <w:rPr>
          <w:rFonts w:ascii="Arial" w:eastAsia="Times New Roman" w:hAnsi="Arial" w:cs="Arial"/>
          <w:sz w:val="21"/>
          <w:szCs w:val="21"/>
          <w:lang w:eastAsia="en-US"/>
        </w:rPr>
        <w:t xml:space="preserve">. </w:t>
      </w:r>
      <w:r w:rsidRPr="00D91161">
        <w:rPr>
          <w:rFonts w:ascii="Arial" w:eastAsia="Times New Roman" w:hAnsi="Arial" w:cs="Arial"/>
          <w:sz w:val="21"/>
          <w:szCs w:val="21"/>
          <w:lang w:eastAsia="en-US"/>
        </w:rPr>
        <w:t>However, we do not have guidance regarding what is considered a voluntary termination versus an involuntary termination for COBRA subsidy eligibility purposes, so the matter is far from settled. Unless further guidance is provided indicating otherwise, it is likely that termination of employment will be considered involuntary unless an employee affirmatively quits.  </w:t>
      </w:r>
    </w:p>
    <w:p w14:paraId="212F13D9" w14:textId="77777777" w:rsidR="004F62E7" w:rsidRDefault="004F62E7" w:rsidP="004F62E7">
      <w:pPr>
        <w:spacing w:line="276" w:lineRule="auto"/>
        <w:rPr>
          <w:rStyle w:val="Strong"/>
          <w:rFonts w:ascii="Arial" w:hAnsi="Arial" w:cs="Arial"/>
          <w:b/>
          <w:bCs/>
          <w:color w:val="333333"/>
          <w:sz w:val="20"/>
          <w:szCs w:val="20"/>
        </w:rPr>
      </w:pPr>
    </w:p>
    <w:p w14:paraId="6684DBF7" w14:textId="1F2140A5" w:rsidR="002F4F46" w:rsidRPr="0080069A" w:rsidRDefault="002F4F46" w:rsidP="0080069A">
      <w:pPr>
        <w:spacing w:after="320" w:line="300" w:lineRule="auto"/>
        <w:rPr>
          <w:rFonts w:ascii="Arial" w:hAnsi="Arial" w:cs="Arial"/>
          <w:b/>
          <w:color w:val="2F528F"/>
          <w:spacing w:val="20"/>
          <w:sz w:val="32"/>
          <w:szCs w:val="32"/>
        </w:rPr>
      </w:pPr>
    </w:p>
    <w:sectPr w:rsidR="002F4F46" w:rsidRPr="0080069A" w:rsidSect="002B4808">
      <w:footerReference w:type="default" r:id="rId49"/>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4A46" w14:textId="77777777" w:rsidR="00F12509" w:rsidRDefault="00F12509" w:rsidP="00790E63">
      <w:r>
        <w:separator/>
      </w:r>
    </w:p>
  </w:endnote>
  <w:endnote w:type="continuationSeparator" w:id="0">
    <w:p w14:paraId="22EAB115" w14:textId="77777777" w:rsidR="00F12509" w:rsidRDefault="00F12509"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91A" w14:textId="39B41724" w:rsidR="00D9295E" w:rsidRPr="008D1681" w:rsidRDefault="00D9295E"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w:t>
    </w:r>
    <w:r w:rsidR="00D91161">
      <w:t xml:space="preserve">6 </w:t>
    </w:r>
    <w:r>
      <w:t>| Q</w:t>
    </w:r>
    <w:r w:rsidR="00D91161">
      <w:t>1</w:t>
    </w:r>
    <w:r>
      <w:t xml:space="preserve"> | 202</w:t>
    </w:r>
    <w:r w:rsidR="00D91161">
      <w:t>1</w:t>
    </w:r>
  </w:p>
  <w:p w14:paraId="5736781F" w14:textId="21A838BD" w:rsidR="00D9295E" w:rsidRDefault="00D9295E"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Pr>
        <w:noProof/>
        <w:color w:val="61ADBF" w:themeColor="accent4"/>
      </w:rPr>
      <w:t>1</w:t>
    </w:r>
    <w:r w:rsidRPr="009E6E6B">
      <w:rPr>
        <w:noProof/>
        <w:color w:val="61ADBF" w:themeColor="accent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1F0" w14:textId="363E0E10" w:rsidR="00D9295E" w:rsidRPr="008D1681" w:rsidRDefault="00D9295E" w:rsidP="005A10A7">
    <w:pPr>
      <w:pStyle w:val="IssueInfo"/>
      <w:ind w:left="0" w:right="3996"/>
      <w:jc w:val="both"/>
    </w:pPr>
    <w:r>
      <w:t xml:space="preserve"> </w:t>
    </w:r>
    <w:sdt>
      <w:sdtPr>
        <w:id w:val="1116948728"/>
        <w:placeholder>
          <w:docPart w:val="77DD6E8A713ED24886BA01C76841B757"/>
        </w:placeholder>
        <w:temporary/>
        <w:showingPlcHdr/>
        <w15:appearance w15:val="hidden"/>
      </w:sdtPr>
      <w:sdtEndPr/>
      <w:sdtContent>
        <w:r w:rsidRPr="005075CA">
          <w:t>ISSUE</w:t>
        </w:r>
      </w:sdtContent>
    </w:sdt>
    <w:r>
      <w:t xml:space="preserve"> 6 | Q1 | 2021</w:t>
    </w:r>
  </w:p>
  <w:p w14:paraId="0126C8DC" w14:textId="77777777" w:rsidR="00D9295E" w:rsidRDefault="00D9295E"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26E1" w14:textId="77777777" w:rsidR="00F12509" w:rsidRDefault="00F12509" w:rsidP="00790E63">
      <w:r>
        <w:separator/>
      </w:r>
    </w:p>
  </w:footnote>
  <w:footnote w:type="continuationSeparator" w:id="0">
    <w:p w14:paraId="7DBAF192" w14:textId="77777777" w:rsidR="00F12509" w:rsidRDefault="00F12509" w:rsidP="0079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4B24D3"/>
    <w:multiLevelType w:val="multilevel"/>
    <w:tmpl w:val="B51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76B13"/>
    <w:multiLevelType w:val="multilevel"/>
    <w:tmpl w:val="0C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75836"/>
    <w:multiLevelType w:val="multilevel"/>
    <w:tmpl w:val="A61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D1E29"/>
    <w:multiLevelType w:val="multilevel"/>
    <w:tmpl w:val="69A8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32FDA"/>
    <w:multiLevelType w:val="multilevel"/>
    <w:tmpl w:val="0BE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D1ED2"/>
    <w:multiLevelType w:val="multilevel"/>
    <w:tmpl w:val="326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37110"/>
    <w:multiLevelType w:val="multilevel"/>
    <w:tmpl w:val="73C4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01F80"/>
    <w:multiLevelType w:val="multilevel"/>
    <w:tmpl w:val="56EA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F5DED"/>
    <w:multiLevelType w:val="multilevel"/>
    <w:tmpl w:val="425E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870F7"/>
    <w:multiLevelType w:val="multilevel"/>
    <w:tmpl w:val="E74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43022"/>
    <w:multiLevelType w:val="hybridMultilevel"/>
    <w:tmpl w:val="88D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8"/>
  </w:num>
  <w:num w:numId="6">
    <w:abstractNumId w:val="1"/>
  </w:num>
  <w:num w:numId="7">
    <w:abstractNumId w:val="7"/>
  </w:num>
  <w:num w:numId="8">
    <w:abstractNumId w:val="2"/>
  </w:num>
  <w:num w:numId="9">
    <w:abstractNumId w:val="5"/>
  </w:num>
  <w:num w:numId="10">
    <w:abstractNumId w:val="12"/>
  </w:num>
  <w:num w:numId="11">
    <w:abstractNumId w:val="6"/>
  </w:num>
  <w:num w:numId="12">
    <w:abstractNumId w:val="9"/>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2CDA"/>
    <w:rsid w:val="00005732"/>
    <w:rsid w:val="000106D7"/>
    <w:rsid w:val="00011B8A"/>
    <w:rsid w:val="0001225A"/>
    <w:rsid w:val="00014204"/>
    <w:rsid w:val="000154E5"/>
    <w:rsid w:val="00015E79"/>
    <w:rsid w:val="000221EE"/>
    <w:rsid w:val="00023A1B"/>
    <w:rsid w:val="00025991"/>
    <w:rsid w:val="00025B4C"/>
    <w:rsid w:val="00032EF5"/>
    <w:rsid w:val="000345BB"/>
    <w:rsid w:val="00037F4F"/>
    <w:rsid w:val="00041675"/>
    <w:rsid w:val="00041CFA"/>
    <w:rsid w:val="00044AD3"/>
    <w:rsid w:val="000518EE"/>
    <w:rsid w:val="0006238D"/>
    <w:rsid w:val="00062C5A"/>
    <w:rsid w:val="00062F13"/>
    <w:rsid w:val="000668D8"/>
    <w:rsid w:val="00066D53"/>
    <w:rsid w:val="00072EB5"/>
    <w:rsid w:val="0008151C"/>
    <w:rsid w:val="0008177F"/>
    <w:rsid w:val="00082AE1"/>
    <w:rsid w:val="00083A30"/>
    <w:rsid w:val="000929E6"/>
    <w:rsid w:val="0009587D"/>
    <w:rsid w:val="000962F5"/>
    <w:rsid w:val="00097300"/>
    <w:rsid w:val="000A6609"/>
    <w:rsid w:val="000A7618"/>
    <w:rsid w:val="000B23AB"/>
    <w:rsid w:val="000B2A02"/>
    <w:rsid w:val="000B2DA7"/>
    <w:rsid w:val="000C462E"/>
    <w:rsid w:val="000D29A8"/>
    <w:rsid w:val="000D2BC5"/>
    <w:rsid w:val="000D60F7"/>
    <w:rsid w:val="000E21E5"/>
    <w:rsid w:val="000E5CA9"/>
    <w:rsid w:val="000F4E7A"/>
    <w:rsid w:val="000F53EE"/>
    <w:rsid w:val="000F59F3"/>
    <w:rsid w:val="001003D3"/>
    <w:rsid w:val="0010069B"/>
    <w:rsid w:val="0010204F"/>
    <w:rsid w:val="001029D9"/>
    <w:rsid w:val="00103408"/>
    <w:rsid w:val="00105934"/>
    <w:rsid w:val="00106354"/>
    <w:rsid w:val="0011016B"/>
    <w:rsid w:val="0011434B"/>
    <w:rsid w:val="001179ED"/>
    <w:rsid w:val="00117BD9"/>
    <w:rsid w:val="00121172"/>
    <w:rsid w:val="0012276C"/>
    <w:rsid w:val="00125316"/>
    <w:rsid w:val="00126F49"/>
    <w:rsid w:val="001355F5"/>
    <w:rsid w:val="001433B3"/>
    <w:rsid w:val="0014471F"/>
    <w:rsid w:val="001501CB"/>
    <w:rsid w:val="001503BD"/>
    <w:rsid w:val="0015726B"/>
    <w:rsid w:val="001600D5"/>
    <w:rsid w:val="00161DD0"/>
    <w:rsid w:val="00162742"/>
    <w:rsid w:val="00162B1E"/>
    <w:rsid w:val="00162E67"/>
    <w:rsid w:val="00164089"/>
    <w:rsid w:val="00167BE4"/>
    <w:rsid w:val="001727D6"/>
    <w:rsid w:val="00176485"/>
    <w:rsid w:val="00177C33"/>
    <w:rsid w:val="00181D4C"/>
    <w:rsid w:val="0018238D"/>
    <w:rsid w:val="00184359"/>
    <w:rsid w:val="00186996"/>
    <w:rsid w:val="00196381"/>
    <w:rsid w:val="001A08AE"/>
    <w:rsid w:val="001A14F7"/>
    <w:rsid w:val="001A5D1F"/>
    <w:rsid w:val="001A5FEA"/>
    <w:rsid w:val="001A6F61"/>
    <w:rsid w:val="001A7F9F"/>
    <w:rsid w:val="001B2E28"/>
    <w:rsid w:val="001C1A6D"/>
    <w:rsid w:val="001C1C37"/>
    <w:rsid w:val="001D2EB5"/>
    <w:rsid w:val="001D3A41"/>
    <w:rsid w:val="001D3D71"/>
    <w:rsid w:val="001D5400"/>
    <w:rsid w:val="001E026E"/>
    <w:rsid w:val="001E09CF"/>
    <w:rsid w:val="001E3FA2"/>
    <w:rsid w:val="001E50B1"/>
    <w:rsid w:val="001F0364"/>
    <w:rsid w:val="001F3227"/>
    <w:rsid w:val="001F39C6"/>
    <w:rsid w:val="001F5D04"/>
    <w:rsid w:val="00200C32"/>
    <w:rsid w:val="0020660C"/>
    <w:rsid w:val="00212781"/>
    <w:rsid w:val="00213545"/>
    <w:rsid w:val="00217731"/>
    <w:rsid w:val="00223A51"/>
    <w:rsid w:val="00226A7E"/>
    <w:rsid w:val="00246A10"/>
    <w:rsid w:val="00246A18"/>
    <w:rsid w:val="00246F43"/>
    <w:rsid w:val="00250745"/>
    <w:rsid w:val="00251315"/>
    <w:rsid w:val="00254637"/>
    <w:rsid w:val="00257FE2"/>
    <w:rsid w:val="0026121F"/>
    <w:rsid w:val="00261647"/>
    <w:rsid w:val="00262AE9"/>
    <w:rsid w:val="00264284"/>
    <w:rsid w:val="00271A31"/>
    <w:rsid w:val="00272438"/>
    <w:rsid w:val="00273D63"/>
    <w:rsid w:val="00275866"/>
    <w:rsid w:val="00280E29"/>
    <w:rsid w:val="00287F34"/>
    <w:rsid w:val="0029520D"/>
    <w:rsid w:val="0029541A"/>
    <w:rsid w:val="002957B7"/>
    <w:rsid w:val="00295C14"/>
    <w:rsid w:val="002978C5"/>
    <w:rsid w:val="002A0550"/>
    <w:rsid w:val="002A0B57"/>
    <w:rsid w:val="002A4B74"/>
    <w:rsid w:val="002A70F7"/>
    <w:rsid w:val="002B137D"/>
    <w:rsid w:val="002B223B"/>
    <w:rsid w:val="002B4808"/>
    <w:rsid w:val="002B69F0"/>
    <w:rsid w:val="002B7607"/>
    <w:rsid w:val="002C17ED"/>
    <w:rsid w:val="002C3D19"/>
    <w:rsid w:val="002D4A94"/>
    <w:rsid w:val="002D4C25"/>
    <w:rsid w:val="002E10CF"/>
    <w:rsid w:val="002E4717"/>
    <w:rsid w:val="002E6F08"/>
    <w:rsid w:val="002F33C8"/>
    <w:rsid w:val="002F3CA3"/>
    <w:rsid w:val="002F4F46"/>
    <w:rsid w:val="003005AF"/>
    <w:rsid w:val="003044C8"/>
    <w:rsid w:val="0030621D"/>
    <w:rsid w:val="00314D57"/>
    <w:rsid w:val="0031604A"/>
    <w:rsid w:val="0031647E"/>
    <w:rsid w:val="0031707C"/>
    <w:rsid w:val="00320CFF"/>
    <w:rsid w:val="003246EE"/>
    <w:rsid w:val="00326A75"/>
    <w:rsid w:val="00330A73"/>
    <w:rsid w:val="0033447C"/>
    <w:rsid w:val="0034187C"/>
    <w:rsid w:val="0034308A"/>
    <w:rsid w:val="003532E0"/>
    <w:rsid w:val="003551A3"/>
    <w:rsid w:val="00356AB6"/>
    <w:rsid w:val="003600C6"/>
    <w:rsid w:val="003625E3"/>
    <w:rsid w:val="00364595"/>
    <w:rsid w:val="003646E8"/>
    <w:rsid w:val="0036714C"/>
    <w:rsid w:val="003672F0"/>
    <w:rsid w:val="00367C3A"/>
    <w:rsid w:val="00367FF9"/>
    <w:rsid w:val="00373911"/>
    <w:rsid w:val="00377EF7"/>
    <w:rsid w:val="00382A04"/>
    <w:rsid w:val="00392D38"/>
    <w:rsid w:val="003A21D4"/>
    <w:rsid w:val="003A2DA0"/>
    <w:rsid w:val="003B1180"/>
    <w:rsid w:val="003B647D"/>
    <w:rsid w:val="003B6AD4"/>
    <w:rsid w:val="003C0852"/>
    <w:rsid w:val="003C0B47"/>
    <w:rsid w:val="003C6878"/>
    <w:rsid w:val="003C6AE1"/>
    <w:rsid w:val="003D1327"/>
    <w:rsid w:val="003D1591"/>
    <w:rsid w:val="003D299D"/>
    <w:rsid w:val="003D2DFE"/>
    <w:rsid w:val="003D3826"/>
    <w:rsid w:val="003D72FA"/>
    <w:rsid w:val="003E00B3"/>
    <w:rsid w:val="003E00E7"/>
    <w:rsid w:val="003F3D8F"/>
    <w:rsid w:val="003F631E"/>
    <w:rsid w:val="003F78DB"/>
    <w:rsid w:val="00402329"/>
    <w:rsid w:val="00402376"/>
    <w:rsid w:val="0041158D"/>
    <w:rsid w:val="004115DF"/>
    <w:rsid w:val="00411F35"/>
    <w:rsid w:val="004120F7"/>
    <w:rsid w:val="00416DBA"/>
    <w:rsid w:val="00417ED7"/>
    <w:rsid w:val="004214A6"/>
    <w:rsid w:val="0042356B"/>
    <w:rsid w:val="00424FAB"/>
    <w:rsid w:val="00426B00"/>
    <w:rsid w:val="00430CBD"/>
    <w:rsid w:val="0044045F"/>
    <w:rsid w:val="00440F16"/>
    <w:rsid w:val="004441FA"/>
    <w:rsid w:val="00447296"/>
    <w:rsid w:val="00453449"/>
    <w:rsid w:val="00454939"/>
    <w:rsid w:val="00454CEF"/>
    <w:rsid w:val="00456D89"/>
    <w:rsid w:val="00460DA0"/>
    <w:rsid w:val="004618A9"/>
    <w:rsid w:val="00462068"/>
    <w:rsid w:val="004643CF"/>
    <w:rsid w:val="00467CC1"/>
    <w:rsid w:val="00470974"/>
    <w:rsid w:val="00472FC4"/>
    <w:rsid w:val="0047422F"/>
    <w:rsid w:val="00480245"/>
    <w:rsid w:val="0048544B"/>
    <w:rsid w:val="0049094F"/>
    <w:rsid w:val="0049185D"/>
    <w:rsid w:val="00491992"/>
    <w:rsid w:val="00492196"/>
    <w:rsid w:val="00493283"/>
    <w:rsid w:val="004950EE"/>
    <w:rsid w:val="0049577E"/>
    <w:rsid w:val="004967AF"/>
    <w:rsid w:val="004A1819"/>
    <w:rsid w:val="004A2F62"/>
    <w:rsid w:val="004A34E3"/>
    <w:rsid w:val="004A3FAC"/>
    <w:rsid w:val="004A73AE"/>
    <w:rsid w:val="004A73F8"/>
    <w:rsid w:val="004B5C8F"/>
    <w:rsid w:val="004C0268"/>
    <w:rsid w:val="004C1F64"/>
    <w:rsid w:val="004C5DAD"/>
    <w:rsid w:val="004D4130"/>
    <w:rsid w:val="004E5D02"/>
    <w:rsid w:val="004F62E7"/>
    <w:rsid w:val="00506C0F"/>
    <w:rsid w:val="00507514"/>
    <w:rsid w:val="005079AE"/>
    <w:rsid w:val="00510E05"/>
    <w:rsid w:val="00511DB3"/>
    <w:rsid w:val="00513E92"/>
    <w:rsid w:val="00524914"/>
    <w:rsid w:val="00527B3F"/>
    <w:rsid w:val="005314C6"/>
    <w:rsid w:val="00534D14"/>
    <w:rsid w:val="005360D0"/>
    <w:rsid w:val="00542C15"/>
    <w:rsid w:val="005431BE"/>
    <w:rsid w:val="00544D1F"/>
    <w:rsid w:val="0054516F"/>
    <w:rsid w:val="0054528E"/>
    <w:rsid w:val="00546DAB"/>
    <w:rsid w:val="00547DAC"/>
    <w:rsid w:val="00550362"/>
    <w:rsid w:val="0055096F"/>
    <w:rsid w:val="00552E23"/>
    <w:rsid w:val="005635D3"/>
    <w:rsid w:val="00567CCE"/>
    <w:rsid w:val="005723A0"/>
    <w:rsid w:val="00576F96"/>
    <w:rsid w:val="005809DA"/>
    <w:rsid w:val="00583DDE"/>
    <w:rsid w:val="00592262"/>
    <w:rsid w:val="00593C4D"/>
    <w:rsid w:val="005A0881"/>
    <w:rsid w:val="005A10A7"/>
    <w:rsid w:val="005A2CAD"/>
    <w:rsid w:val="005A6D2A"/>
    <w:rsid w:val="005A6FAC"/>
    <w:rsid w:val="005A7998"/>
    <w:rsid w:val="005B6C11"/>
    <w:rsid w:val="005C01C7"/>
    <w:rsid w:val="005C0E3D"/>
    <w:rsid w:val="005C1CBC"/>
    <w:rsid w:val="005C3316"/>
    <w:rsid w:val="005C38B2"/>
    <w:rsid w:val="005C5F9A"/>
    <w:rsid w:val="005C7A6D"/>
    <w:rsid w:val="005D0F2E"/>
    <w:rsid w:val="005D3563"/>
    <w:rsid w:val="005D7827"/>
    <w:rsid w:val="005E3726"/>
    <w:rsid w:val="005F14B5"/>
    <w:rsid w:val="005F31F2"/>
    <w:rsid w:val="005F5EAD"/>
    <w:rsid w:val="005F7075"/>
    <w:rsid w:val="006000F7"/>
    <w:rsid w:val="006118C4"/>
    <w:rsid w:val="00612CEA"/>
    <w:rsid w:val="00613002"/>
    <w:rsid w:val="00615015"/>
    <w:rsid w:val="006236EF"/>
    <w:rsid w:val="00630EB6"/>
    <w:rsid w:val="00633C48"/>
    <w:rsid w:val="00634A1E"/>
    <w:rsid w:val="006371F5"/>
    <w:rsid w:val="0063763B"/>
    <w:rsid w:val="00650E55"/>
    <w:rsid w:val="0065208D"/>
    <w:rsid w:val="0065394F"/>
    <w:rsid w:val="00654986"/>
    <w:rsid w:val="00654C07"/>
    <w:rsid w:val="0065523B"/>
    <w:rsid w:val="00660B36"/>
    <w:rsid w:val="00662D0F"/>
    <w:rsid w:val="006721C5"/>
    <w:rsid w:val="00672378"/>
    <w:rsid w:val="006723BB"/>
    <w:rsid w:val="006751C9"/>
    <w:rsid w:val="006751E5"/>
    <w:rsid w:val="00684F44"/>
    <w:rsid w:val="006874B4"/>
    <w:rsid w:val="00693FE5"/>
    <w:rsid w:val="006979BA"/>
    <w:rsid w:val="006A1940"/>
    <w:rsid w:val="006A7A3B"/>
    <w:rsid w:val="006B1A52"/>
    <w:rsid w:val="006B313B"/>
    <w:rsid w:val="006B5869"/>
    <w:rsid w:val="006B68A9"/>
    <w:rsid w:val="006C4790"/>
    <w:rsid w:val="006D3FC1"/>
    <w:rsid w:val="006D4A21"/>
    <w:rsid w:val="006E32EC"/>
    <w:rsid w:val="006E751A"/>
    <w:rsid w:val="006E7A0B"/>
    <w:rsid w:val="006F40D0"/>
    <w:rsid w:val="006F5AB9"/>
    <w:rsid w:val="006F5EC0"/>
    <w:rsid w:val="00703AE7"/>
    <w:rsid w:val="00706A2D"/>
    <w:rsid w:val="007073A2"/>
    <w:rsid w:val="00711609"/>
    <w:rsid w:val="0071628A"/>
    <w:rsid w:val="00720027"/>
    <w:rsid w:val="007207CB"/>
    <w:rsid w:val="00721E3D"/>
    <w:rsid w:val="007237C6"/>
    <w:rsid w:val="00723D69"/>
    <w:rsid w:val="007252DA"/>
    <w:rsid w:val="0073154D"/>
    <w:rsid w:val="00733C58"/>
    <w:rsid w:val="0073704E"/>
    <w:rsid w:val="007419D6"/>
    <w:rsid w:val="00742BA7"/>
    <w:rsid w:val="00744A71"/>
    <w:rsid w:val="00745D78"/>
    <w:rsid w:val="00746720"/>
    <w:rsid w:val="00760EF4"/>
    <w:rsid w:val="00762A7F"/>
    <w:rsid w:val="007633AE"/>
    <w:rsid w:val="00763DC8"/>
    <w:rsid w:val="00764FED"/>
    <w:rsid w:val="00771AA8"/>
    <w:rsid w:val="00772B29"/>
    <w:rsid w:val="00772C29"/>
    <w:rsid w:val="00772F9E"/>
    <w:rsid w:val="00783703"/>
    <w:rsid w:val="007845E3"/>
    <w:rsid w:val="007863B9"/>
    <w:rsid w:val="00790676"/>
    <w:rsid w:val="00790E63"/>
    <w:rsid w:val="00796EAE"/>
    <w:rsid w:val="007A6C33"/>
    <w:rsid w:val="007A7423"/>
    <w:rsid w:val="007A76A5"/>
    <w:rsid w:val="007B0C57"/>
    <w:rsid w:val="007B5968"/>
    <w:rsid w:val="007B59C6"/>
    <w:rsid w:val="007C074B"/>
    <w:rsid w:val="007C2BC6"/>
    <w:rsid w:val="007C5CDF"/>
    <w:rsid w:val="007C5F9B"/>
    <w:rsid w:val="007D017A"/>
    <w:rsid w:val="007D1F3D"/>
    <w:rsid w:val="007D25F4"/>
    <w:rsid w:val="007D3787"/>
    <w:rsid w:val="007D3C91"/>
    <w:rsid w:val="007E006C"/>
    <w:rsid w:val="007E3DD4"/>
    <w:rsid w:val="007E68BA"/>
    <w:rsid w:val="007E6D0E"/>
    <w:rsid w:val="007E7565"/>
    <w:rsid w:val="007F0D31"/>
    <w:rsid w:val="0080069A"/>
    <w:rsid w:val="00800AE2"/>
    <w:rsid w:val="008011AC"/>
    <w:rsid w:val="00806DF2"/>
    <w:rsid w:val="00810BF4"/>
    <w:rsid w:val="00814189"/>
    <w:rsid w:val="0082150F"/>
    <w:rsid w:val="00821E16"/>
    <w:rsid w:val="0082709E"/>
    <w:rsid w:val="0082755A"/>
    <w:rsid w:val="00827E84"/>
    <w:rsid w:val="00831BDB"/>
    <w:rsid w:val="0084247A"/>
    <w:rsid w:val="00846F77"/>
    <w:rsid w:val="00854BC8"/>
    <w:rsid w:val="00855C70"/>
    <w:rsid w:val="0086245A"/>
    <w:rsid w:val="0086482F"/>
    <w:rsid w:val="00875550"/>
    <w:rsid w:val="00876509"/>
    <w:rsid w:val="0089260A"/>
    <w:rsid w:val="00893053"/>
    <w:rsid w:val="00894AB6"/>
    <w:rsid w:val="00897FDD"/>
    <w:rsid w:val="008A484C"/>
    <w:rsid w:val="008A4B11"/>
    <w:rsid w:val="008A59DE"/>
    <w:rsid w:val="008A6375"/>
    <w:rsid w:val="008B4435"/>
    <w:rsid w:val="008B6FE8"/>
    <w:rsid w:val="008C34BB"/>
    <w:rsid w:val="008D2CD8"/>
    <w:rsid w:val="008D5101"/>
    <w:rsid w:val="008E0DA7"/>
    <w:rsid w:val="008E11C0"/>
    <w:rsid w:val="008E2A0E"/>
    <w:rsid w:val="008E2E8A"/>
    <w:rsid w:val="008E47FD"/>
    <w:rsid w:val="008F3B97"/>
    <w:rsid w:val="008F6701"/>
    <w:rsid w:val="008F7536"/>
    <w:rsid w:val="009010CA"/>
    <w:rsid w:val="00910FB7"/>
    <w:rsid w:val="009124FD"/>
    <w:rsid w:val="0091357A"/>
    <w:rsid w:val="00913C00"/>
    <w:rsid w:val="00913DD7"/>
    <w:rsid w:val="00914850"/>
    <w:rsid w:val="00917383"/>
    <w:rsid w:val="0092085F"/>
    <w:rsid w:val="009214C5"/>
    <w:rsid w:val="00923F9B"/>
    <w:rsid w:val="0092623B"/>
    <w:rsid w:val="00926F35"/>
    <w:rsid w:val="0093229E"/>
    <w:rsid w:val="00933B91"/>
    <w:rsid w:val="009353DF"/>
    <w:rsid w:val="00940032"/>
    <w:rsid w:val="0094024B"/>
    <w:rsid w:val="00942529"/>
    <w:rsid w:val="009500CC"/>
    <w:rsid w:val="00951A34"/>
    <w:rsid w:val="0095220C"/>
    <w:rsid w:val="00962BC0"/>
    <w:rsid w:val="00963DF9"/>
    <w:rsid w:val="00967099"/>
    <w:rsid w:val="00970C55"/>
    <w:rsid w:val="00971667"/>
    <w:rsid w:val="009729B0"/>
    <w:rsid w:val="0098066D"/>
    <w:rsid w:val="00981027"/>
    <w:rsid w:val="00982B3D"/>
    <w:rsid w:val="00990AFB"/>
    <w:rsid w:val="00996320"/>
    <w:rsid w:val="009A217A"/>
    <w:rsid w:val="009A2C1C"/>
    <w:rsid w:val="009A49BF"/>
    <w:rsid w:val="009A5676"/>
    <w:rsid w:val="009A6796"/>
    <w:rsid w:val="009A7A75"/>
    <w:rsid w:val="009B3E99"/>
    <w:rsid w:val="009B3EEA"/>
    <w:rsid w:val="009B4166"/>
    <w:rsid w:val="009B4F01"/>
    <w:rsid w:val="009B545A"/>
    <w:rsid w:val="009B5B71"/>
    <w:rsid w:val="009B74E4"/>
    <w:rsid w:val="009C7682"/>
    <w:rsid w:val="009D4089"/>
    <w:rsid w:val="009D47D0"/>
    <w:rsid w:val="009D53B7"/>
    <w:rsid w:val="009D7B3B"/>
    <w:rsid w:val="009E15ED"/>
    <w:rsid w:val="009E454E"/>
    <w:rsid w:val="009E5CED"/>
    <w:rsid w:val="009E6E6B"/>
    <w:rsid w:val="009E7CC8"/>
    <w:rsid w:val="009F0DA3"/>
    <w:rsid w:val="00A00736"/>
    <w:rsid w:val="00A0158A"/>
    <w:rsid w:val="00A151F0"/>
    <w:rsid w:val="00A162E5"/>
    <w:rsid w:val="00A17AA9"/>
    <w:rsid w:val="00A215D9"/>
    <w:rsid w:val="00A233DE"/>
    <w:rsid w:val="00A23535"/>
    <w:rsid w:val="00A2440F"/>
    <w:rsid w:val="00A25C80"/>
    <w:rsid w:val="00A40BDA"/>
    <w:rsid w:val="00A46240"/>
    <w:rsid w:val="00A53ABC"/>
    <w:rsid w:val="00A56A02"/>
    <w:rsid w:val="00A61F56"/>
    <w:rsid w:val="00A709A9"/>
    <w:rsid w:val="00A70AF4"/>
    <w:rsid w:val="00A71C91"/>
    <w:rsid w:val="00A77FE6"/>
    <w:rsid w:val="00A81A7D"/>
    <w:rsid w:val="00A83224"/>
    <w:rsid w:val="00A83834"/>
    <w:rsid w:val="00A853FD"/>
    <w:rsid w:val="00A904FF"/>
    <w:rsid w:val="00A925C6"/>
    <w:rsid w:val="00AA0B10"/>
    <w:rsid w:val="00AB11F8"/>
    <w:rsid w:val="00AB4DA0"/>
    <w:rsid w:val="00AB4EFB"/>
    <w:rsid w:val="00AC58F5"/>
    <w:rsid w:val="00AC5DBA"/>
    <w:rsid w:val="00AD00DF"/>
    <w:rsid w:val="00AD2FD5"/>
    <w:rsid w:val="00AD44D9"/>
    <w:rsid w:val="00AD4D40"/>
    <w:rsid w:val="00AD5CE9"/>
    <w:rsid w:val="00AE4B6B"/>
    <w:rsid w:val="00AE4B73"/>
    <w:rsid w:val="00AE4C42"/>
    <w:rsid w:val="00AF423D"/>
    <w:rsid w:val="00AF6D05"/>
    <w:rsid w:val="00B00E97"/>
    <w:rsid w:val="00B027A8"/>
    <w:rsid w:val="00B04EDA"/>
    <w:rsid w:val="00B06F14"/>
    <w:rsid w:val="00B10215"/>
    <w:rsid w:val="00B138FD"/>
    <w:rsid w:val="00B1461A"/>
    <w:rsid w:val="00B22787"/>
    <w:rsid w:val="00B23F65"/>
    <w:rsid w:val="00B30C6A"/>
    <w:rsid w:val="00B30ED1"/>
    <w:rsid w:val="00B32CFE"/>
    <w:rsid w:val="00B35EA0"/>
    <w:rsid w:val="00B43DAE"/>
    <w:rsid w:val="00B52272"/>
    <w:rsid w:val="00B53FF9"/>
    <w:rsid w:val="00B56046"/>
    <w:rsid w:val="00B56285"/>
    <w:rsid w:val="00B62E66"/>
    <w:rsid w:val="00B6401E"/>
    <w:rsid w:val="00B64844"/>
    <w:rsid w:val="00B70C8A"/>
    <w:rsid w:val="00B73C01"/>
    <w:rsid w:val="00B7435E"/>
    <w:rsid w:val="00B77AC2"/>
    <w:rsid w:val="00B87F35"/>
    <w:rsid w:val="00B97384"/>
    <w:rsid w:val="00BA18F8"/>
    <w:rsid w:val="00BA32D5"/>
    <w:rsid w:val="00BA3DE1"/>
    <w:rsid w:val="00BA4A3C"/>
    <w:rsid w:val="00BB0219"/>
    <w:rsid w:val="00BB3AEB"/>
    <w:rsid w:val="00BB44A0"/>
    <w:rsid w:val="00BB7EDB"/>
    <w:rsid w:val="00BC0DE4"/>
    <w:rsid w:val="00BC5452"/>
    <w:rsid w:val="00BC56BB"/>
    <w:rsid w:val="00BC6E32"/>
    <w:rsid w:val="00BD2304"/>
    <w:rsid w:val="00BD2A1C"/>
    <w:rsid w:val="00BD3F02"/>
    <w:rsid w:val="00BD6B22"/>
    <w:rsid w:val="00BE1BBF"/>
    <w:rsid w:val="00BE1CA1"/>
    <w:rsid w:val="00BE464A"/>
    <w:rsid w:val="00BE5529"/>
    <w:rsid w:val="00BF7CDD"/>
    <w:rsid w:val="00C03DEA"/>
    <w:rsid w:val="00C06E5B"/>
    <w:rsid w:val="00C10FBA"/>
    <w:rsid w:val="00C110BA"/>
    <w:rsid w:val="00C12F10"/>
    <w:rsid w:val="00C144E1"/>
    <w:rsid w:val="00C2344E"/>
    <w:rsid w:val="00C3686A"/>
    <w:rsid w:val="00C411DC"/>
    <w:rsid w:val="00C44579"/>
    <w:rsid w:val="00C47D05"/>
    <w:rsid w:val="00C51225"/>
    <w:rsid w:val="00C5197D"/>
    <w:rsid w:val="00C56AB2"/>
    <w:rsid w:val="00C574FB"/>
    <w:rsid w:val="00C57C98"/>
    <w:rsid w:val="00C62225"/>
    <w:rsid w:val="00C63295"/>
    <w:rsid w:val="00C65FEF"/>
    <w:rsid w:val="00C70647"/>
    <w:rsid w:val="00C716AB"/>
    <w:rsid w:val="00C74A2B"/>
    <w:rsid w:val="00C77003"/>
    <w:rsid w:val="00C775C3"/>
    <w:rsid w:val="00C815C2"/>
    <w:rsid w:val="00C81A56"/>
    <w:rsid w:val="00C82988"/>
    <w:rsid w:val="00C84AD5"/>
    <w:rsid w:val="00C84C84"/>
    <w:rsid w:val="00C922F5"/>
    <w:rsid w:val="00C92D7B"/>
    <w:rsid w:val="00C952BD"/>
    <w:rsid w:val="00C978DD"/>
    <w:rsid w:val="00CA23ED"/>
    <w:rsid w:val="00CA2AE2"/>
    <w:rsid w:val="00CB595C"/>
    <w:rsid w:val="00CB6756"/>
    <w:rsid w:val="00CC6110"/>
    <w:rsid w:val="00CD2ACF"/>
    <w:rsid w:val="00CD7C64"/>
    <w:rsid w:val="00CE07F2"/>
    <w:rsid w:val="00CE0E87"/>
    <w:rsid w:val="00CE3F9B"/>
    <w:rsid w:val="00CE696A"/>
    <w:rsid w:val="00CE77C7"/>
    <w:rsid w:val="00CF05F3"/>
    <w:rsid w:val="00CF3B31"/>
    <w:rsid w:val="00CF56A6"/>
    <w:rsid w:val="00D039D0"/>
    <w:rsid w:val="00D056FF"/>
    <w:rsid w:val="00D10BC1"/>
    <w:rsid w:val="00D10FED"/>
    <w:rsid w:val="00D13746"/>
    <w:rsid w:val="00D14EA3"/>
    <w:rsid w:val="00D176FE"/>
    <w:rsid w:val="00D312AA"/>
    <w:rsid w:val="00D35526"/>
    <w:rsid w:val="00D36A32"/>
    <w:rsid w:val="00D379C7"/>
    <w:rsid w:val="00D40305"/>
    <w:rsid w:val="00D403BC"/>
    <w:rsid w:val="00D405F6"/>
    <w:rsid w:val="00D4084B"/>
    <w:rsid w:val="00D41E7B"/>
    <w:rsid w:val="00D474BE"/>
    <w:rsid w:val="00D500B6"/>
    <w:rsid w:val="00D51254"/>
    <w:rsid w:val="00D53242"/>
    <w:rsid w:val="00D63369"/>
    <w:rsid w:val="00D648C3"/>
    <w:rsid w:val="00D650AE"/>
    <w:rsid w:val="00D65FCB"/>
    <w:rsid w:val="00D666CB"/>
    <w:rsid w:val="00D71E1A"/>
    <w:rsid w:val="00D74A6F"/>
    <w:rsid w:val="00D76DBE"/>
    <w:rsid w:val="00D77C5D"/>
    <w:rsid w:val="00D84DCC"/>
    <w:rsid w:val="00D863E9"/>
    <w:rsid w:val="00D8656C"/>
    <w:rsid w:val="00D91161"/>
    <w:rsid w:val="00D9295E"/>
    <w:rsid w:val="00D97457"/>
    <w:rsid w:val="00DA1573"/>
    <w:rsid w:val="00DA1E86"/>
    <w:rsid w:val="00DA7B28"/>
    <w:rsid w:val="00DB0F8D"/>
    <w:rsid w:val="00DB148D"/>
    <w:rsid w:val="00DB506C"/>
    <w:rsid w:val="00DC0063"/>
    <w:rsid w:val="00DD19D9"/>
    <w:rsid w:val="00DD4EFC"/>
    <w:rsid w:val="00DD7BDE"/>
    <w:rsid w:val="00DE49AD"/>
    <w:rsid w:val="00DE4ACC"/>
    <w:rsid w:val="00DE50BB"/>
    <w:rsid w:val="00DE54ED"/>
    <w:rsid w:val="00DE61D6"/>
    <w:rsid w:val="00DF1B8E"/>
    <w:rsid w:val="00DF1D7C"/>
    <w:rsid w:val="00DF3D01"/>
    <w:rsid w:val="00DF60BE"/>
    <w:rsid w:val="00DF75C1"/>
    <w:rsid w:val="00E00437"/>
    <w:rsid w:val="00E130DE"/>
    <w:rsid w:val="00E150B4"/>
    <w:rsid w:val="00E20BEB"/>
    <w:rsid w:val="00E325D6"/>
    <w:rsid w:val="00E423FA"/>
    <w:rsid w:val="00E45791"/>
    <w:rsid w:val="00E5241D"/>
    <w:rsid w:val="00E542C1"/>
    <w:rsid w:val="00E63217"/>
    <w:rsid w:val="00E63E92"/>
    <w:rsid w:val="00E704D0"/>
    <w:rsid w:val="00E72903"/>
    <w:rsid w:val="00E82FCA"/>
    <w:rsid w:val="00E84F1C"/>
    <w:rsid w:val="00E85322"/>
    <w:rsid w:val="00E859A6"/>
    <w:rsid w:val="00E85B26"/>
    <w:rsid w:val="00E87DC2"/>
    <w:rsid w:val="00EA3527"/>
    <w:rsid w:val="00EA364A"/>
    <w:rsid w:val="00EA3D7E"/>
    <w:rsid w:val="00EA7950"/>
    <w:rsid w:val="00EB016C"/>
    <w:rsid w:val="00EB3E2A"/>
    <w:rsid w:val="00EB3FBD"/>
    <w:rsid w:val="00EB6F83"/>
    <w:rsid w:val="00EC0DBF"/>
    <w:rsid w:val="00EC5ADE"/>
    <w:rsid w:val="00EC5E10"/>
    <w:rsid w:val="00EC6689"/>
    <w:rsid w:val="00EC7556"/>
    <w:rsid w:val="00ED0C88"/>
    <w:rsid w:val="00ED102F"/>
    <w:rsid w:val="00ED50B1"/>
    <w:rsid w:val="00ED5479"/>
    <w:rsid w:val="00EE09A5"/>
    <w:rsid w:val="00EE0AA2"/>
    <w:rsid w:val="00EF073A"/>
    <w:rsid w:val="00EF3652"/>
    <w:rsid w:val="00EF4EFF"/>
    <w:rsid w:val="00F00CE2"/>
    <w:rsid w:val="00F01CA5"/>
    <w:rsid w:val="00F029CC"/>
    <w:rsid w:val="00F049A6"/>
    <w:rsid w:val="00F05050"/>
    <w:rsid w:val="00F12509"/>
    <w:rsid w:val="00F1367B"/>
    <w:rsid w:val="00F1588E"/>
    <w:rsid w:val="00F24E66"/>
    <w:rsid w:val="00F2799F"/>
    <w:rsid w:val="00F31CF5"/>
    <w:rsid w:val="00F31F18"/>
    <w:rsid w:val="00F32074"/>
    <w:rsid w:val="00F37F4B"/>
    <w:rsid w:val="00F4013B"/>
    <w:rsid w:val="00F41D4A"/>
    <w:rsid w:val="00F43B42"/>
    <w:rsid w:val="00F478B5"/>
    <w:rsid w:val="00F5132B"/>
    <w:rsid w:val="00F61765"/>
    <w:rsid w:val="00F72394"/>
    <w:rsid w:val="00F74EF2"/>
    <w:rsid w:val="00F7782B"/>
    <w:rsid w:val="00F8362A"/>
    <w:rsid w:val="00F839A8"/>
    <w:rsid w:val="00F83A1E"/>
    <w:rsid w:val="00F8617E"/>
    <w:rsid w:val="00F9140C"/>
    <w:rsid w:val="00F93468"/>
    <w:rsid w:val="00F94537"/>
    <w:rsid w:val="00F96679"/>
    <w:rsid w:val="00F96924"/>
    <w:rsid w:val="00FA10DC"/>
    <w:rsid w:val="00FA12AA"/>
    <w:rsid w:val="00FB17B1"/>
    <w:rsid w:val="00FB38BA"/>
    <w:rsid w:val="00FB4101"/>
    <w:rsid w:val="00FB44D6"/>
    <w:rsid w:val="00FB4EA2"/>
    <w:rsid w:val="00FB5550"/>
    <w:rsid w:val="00FB5F3B"/>
    <w:rsid w:val="00FB73A3"/>
    <w:rsid w:val="00FC2025"/>
    <w:rsid w:val="00FC6C7D"/>
    <w:rsid w:val="00FD28E8"/>
    <w:rsid w:val="00FE1A58"/>
    <w:rsid w:val="00FE2BD6"/>
    <w:rsid w:val="00FE57FD"/>
    <w:rsid w:val="00FE6D8F"/>
    <w:rsid w:val="00FE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3"/>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660B36"/>
    <w:pPr>
      <w:spacing w:before="360"/>
      <w:ind w:right="3996"/>
    </w:pPr>
    <w:rPr>
      <w:rFonts w:ascii="Arial" w:hAnsi="Arial" w:cs="Arial"/>
      <w:b/>
      <w:bCs/>
      <w:sz w:val="32"/>
      <w:szCs w:val="32"/>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1"/>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22"/>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 w:type="paragraph" w:customStyle="1" w:styleId="rich-text">
    <w:name w:val="rich-text"/>
    <w:basedOn w:val="Normal"/>
    <w:rsid w:val="007419D6"/>
    <w:pPr>
      <w:spacing w:before="100" w:beforeAutospacing="1" w:after="100" w:afterAutospacing="1"/>
    </w:pPr>
    <w:rPr>
      <w:rFonts w:ascii="Times New Roman" w:eastAsia="Times New Roman" w:hAnsi="Times New Roman" w:cs="Times New Roman"/>
      <w:lang w:eastAsia="en-US"/>
    </w:rPr>
  </w:style>
  <w:style w:type="paragraph" w:customStyle="1" w:styleId="xmsonormal">
    <w:name w:val="x_msonormal"/>
    <w:basedOn w:val="Normal"/>
    <w:rsid w:val="009A49BF"/>
    <w:pPr>
      <w:spacing w:before="100" w:beforeAutospacing="1" w:after="100" w:afterAutospacing="1"/>
    </w:pPr>
    <w:rPr>
      <w:rFonts w:ascii="Calibri" w:eastAsiaTheme="minorHAnsi" w:hAnsi="Calibri" w:cs="Calibri"/>
      <w:sz w:val="22"/>
      <w:szCs w:val="22"/>
      <w:lang w:eastAsia="en-US"/>
    </w:rPr>
  </w:style>
  <w:style w:type="paragraph" w:customStyle="1" w:styleId="x-1238804399msolistparagraph">
    <w:name w:val="x_-1238804399msolistparagraph"/>
    <w:basedOn w:val="Normal"/>
    <w:rsid w:val="00827E84"/>
    <w:pPr>
      <w:spacing w:before="100" w:beforeAutospacing="1" w:after="100" w:afterAutospacing="1"/>
    </w:pPr>
    <w:rPr>
      <w:rFonts w:ascii="Times New Roman" w:eastAsia="Times New Roman" w:hAnsi="Times New Roman" w:cs="Times New Roman"/>
      <w:lang w:eastAsia="en-US"/>
    </w:rPr>
  </w:style>
  <w:style w:type="character" w:customStyle="1" w:styleId="elementor-switch-mode-off">
    <w:name w:val="elementor-switch-mode-off"/>
    <w:basedOn w:val="DefaultParagraphFont"/>
    <w:rsid w:val="00470974"/>
  </w:style>
  <w:style w:type="paragraph" w:customStyle="1" w:styleId="block-editor-rich-texteditable">
    <w:name w:val="block-editor-rich-text__editable"/>
    <w:basedOn w:val="Normal"/>
    <w:rsid w:val="00470974"/>
    <w:pPr>
      <w:spacing w:before="100" w:beforeAutospacing="1" w:after="100" w:afterAutospacing="1"/>
    </w:pPr>
    <w:rPr>
      <w:rFonts w:ascii="Times New Roman" w:eastAsia="Times New Roman" w:hAnsi="Times New Roman" w:cs="Times New Roman"/>
      <w:lang w:eastAsia="en-US"/>
    </w:rPr>
  </w:style>
  <w:style w:type="paragraph" w:customStyle="1" w:styleId="MediumGrid2-Accent11">
    <w:name w:val="Medium Grid 2 - Accent 11"/>
    <w:aliases w:val="Bob Comments"/>
    <w:basedOn w:val="Normal"/>
    <w:link w:val="MediumGrid2-Accent1Char"/>
    <w:uiPriority w:val="1"/>
    <w:qFormat/>
    <w:rsid w:val="00D91161"/>
    <w:rPr>
      <w:rFonts w:ascii="Arial" w:eastAsia="Calibri" w:hAnsi="Arial" w:cs="Arial"/>
      <w:sz w:val="20"/>
      <w:szCs w:val="20"/>
      <w:lang w:val="x-none" w:eastAsia="x-none" w:bidi="en-US"/>
    </w:rPr>
  </w:style>
  <w:style w:type="character" w:customStyle="1" w:styleId="MediumGrid2-Accent1Char">
    <w:name w:val="Medium Grid 2 - Accent 1 Char"/>
    <w:aliases w:val="Bob Comments Char"/>
    <w:link w:val="MediumGrid2-Accent11"/>
    <w:uiPriority w:val="1"/>
    <w:rsid w:val="00D91161"/>
    <w:rPr>
      <w:rFonts w:ascii="Arial" w:eastAsia="Calibri" w:hAnsi="Arial" w:cs="Arial"/>
      <w:color w:val="auto"/>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123">
      <w:bodyDiv w:val="1"/>
      <w:marLeft w:val="0"/>
      <w:marRight w:val="0"/>
      <w:marTop w:val="0"/>
      <w:marBottom w:val="0"/>
      <w:divBdr>
        <w:top w:val="none" w:sz="0" w:space="0" w:color="auto"/>
        <w:left w:val="none" w:sz="0" w:space="0" w:color="auto"/>
        <w:bottom w:val="none" w:sz="0" w:space="0" w:color="auto"/>
        <w:right w:val="none" w:sz="0" w:space="0" w:color="auto"/>
      </w:divBdr>
    </w:div>
    <w:div w:id="25910947">
      <w:bodyDiv w:val="1"/>
      <w:marLeft w:val="0"/>
      <w:marRight w:val="0"/>
      <w:marTop w:val="0"/>
      <w:marBottom w:val="0"/>
      <w:divBdr>
        <w:top w:val="none" w:sz="0" w:space="0" w:color="auto"/>
        <w:left w:val="none" w:sz="0" w:space="0" w:color="auto"/>
        <w:bottom w:val="none" w:sz="0" w:space="0" w:color="auto"/>
        <w:right w:val="none" w:sz="0" w:space="0" w:color="auto"/>
      </w:divBdr>
    </w:div>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19690640">
      <w:bodyDiv w:val="1"/>
      <w:marLeft w:val="0"/>
      <w:marRight w:val="0"/>
      <w:marTop w:val="0"/>
      <w:marBottom w:val="0"/>
      <w:divBdr>
        <w:top w:val="none" w:sz="0" w:space="0" w:color="auto"/>
        <w:left w:val="none" w:sz="0" w:space="0" w:color="auto"/>
        <w:bottom w:val="none" w:sz="0" w:space="0" w:color="auto"/>
        <w:right w:val="none" w:sz="0" w:space="0" w:color="auto"/>
      </w:divBdr>
    </w:div>
    <w:div w:id="127282827">
      <w:bodyDiv w:val="1"/>
      <w:marLeft w:val="0"/>
      <w:marRight w:val="0"/>
      <w:marTop w:val="0"/>
      <w:marBottom w:val="0"/>
      <w:divBdr>
        <w:top w:val="none" w:sz="0" w:space="0" w:color="auto"/>
        <w:left w:val="none" w:sz="0" w:space="0" w:color="auto"/>
        <w:bottom w:val="none" w:sz="0" w:space="0" w:color="auto"/>
        <w:right w:val="none" w:sz="0" w:space="0" w:color="auto"/>
      </w:divBdr>
    </w:div>
    <w:div w:id="171116233">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231015321">
      <w:bodyDiv w:val="1"/>
      <w:marLeft w:val="0"/>
      <w:marRight w:val="0"/>
      <w:marTop w:val="0"/>
      <w:marBottom w:val="0"/>
      <w:divBdr>
        <w:top w:val="none" w:sz="0" w:space="0" w:color="auto"/>
        <w:left w:val="none" w:sz="0" w:space="0" w:color="auto"/>
        <w:bottom w:val="none" w:sz="0" w:space="0" w:color="auto"/>
        <w:right w:val="none" w:sz="0" w:space="0" w:color="auto"/>
      </w:divBdr>
    </w:div>
    <w:div w:id="310790011">
      <w:bodyDiv w:val="1"/>
      <w:marLeft w:val="0"/>
      <w:marRight w:val="0"/>
      <w:marTop w:val="0"/>
      <w:marBottom w:val="0"/>
      <w:divBdr>
        <w:top w:val="none" w:sz="0" w:space="0" w:color="auto"/>
        <w:left w:val="none" w:sz="0" w:space="0" w:color="auto"/>
        <w:bottom w:val="none" w:sz="0" w:space="0" w:color="auto"/>
        <w:right w:val="none" w:sz="0" w:space="0" w:color="auto"/>
      </w:divBdr>
      <w:divsChild>
        <w:div w:id="901870737">
          <w:marLeft w:val="0"/>
          <w:marRight w:val="0"/>
          <w:marTop w:val="0"/>
          <w:marBottom w:val="0"/>
          <w:divBdr>
            <w:top w:val="none" w:sz="0" w:space="0" w:color="auto"/>
            <w:left w:val="none" w:sz="0" w:space="0" w:color="auto"/>
            <w:bottom w:val="none" w:sz="0" w:space="0" w:color="auto"/>
            <w:right w:val="none" w:sz="0" w:space="0" w:color="auto"/>
          </w:divBdr>
          <w:divsChild>
            <w:div w:id="1049765068">
              <w:marLeft w:val="0"/>
              <w:marRight w:val="0"/>
              <w:marTop w:val="0"/>
              <w:marBottom w:val="0"/>
              <w:divBdr>
                <w:top w:val="none" w:sz="0" w:space="0" w:color="auto"/>
                <w:left w:val="none" w:sz="0" w:space="0" w:color="auto"/>
                <w:bottom w:val="none" w:sz="0" w:space="0" w:color="auto"/>
                <w:right w:val="none" w:sz="0" w:space="0" w:color="auto"/>
              </w:divBdr>
              <w:divsChild>
                <w:div w:id="796028624">
                  <w:marLeft w:val="0"/>
                  <w:marRight w:val="0"/>
                  <w:marTop w:val="0"/>
                  <w:marBottom w:val="0"/>
                  <w:divBdr>
                    <w:top w:val="none" w:sz="0" w:space="0" w:color="auto"/>
                    <w:left w:val="none" w:sz="0" w:space="0" w:color="auto"/>
                    <w:bottom w:val="none" w:sz="0" w:space="0" w:color="auto"/>
                    <w:right w:val="none" w:sz="0" w:space="0" w:color="auto"/>
                  </w:divBdr>
                  <w:divsChild>
                    <w:div w:id="328363817">
                      <w:marLeft w:val="0"/>
                      <w:marRight w:val="0"/>
                      <w:marTop w:val="0"/>
                      <w:marBottom w:val="0"/>
                      <w:divBdr>
                        <w:top w:val="none" w:sz="0" w:space="0" w:color="auto"/>
                        <w:left w:val="none" w:sz="0" w:space="0" w:color="auto"/>
                        <w:bottom w:val="none" w:sz="0" w:space="0" w:color="auto"/>
                        <w:right w:val="none" w:sz="0" w:space="0" w:color="auto"/>
                      </w:divBdr>
                      <w:divsChild>
                        <w:div w:id="129715392">
                          <w:marLeft w:val="0"/>
                          <w:marRight w:val="0"/>
                          <w:marTop w:val="0"/>
                          <w:marBottom w:val="0"/>
                          <w:divBdr>
                            <w:top w:val="none" w:sz="0" w:space="0" w:color="auto"/>
                            <w:left w:val="none" w:sz="0" w:space="0" w:color="auto"/>
                            <w:bottom w:val="none" w:sz="0" w:space="0" w:color="auto"/>
                            <w:right w:val="none" w:sz="0" w:space="0" w:color="auto"/>
                          </w:divBdr>
                          <w:divsChild>
                            <w:div w:id="15116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64736703">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499543146">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24175480">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568855613">
      <w:bodyDiv w:val="1"/>
      <w:marLeft w:val="0"/>
      <w:marRight w:val="0"/>
      <w:marTop w:val="0"/>
      <w:marBottom w:val="0"/>
      <w:divBdr>
        <w:top w:val="none" w:sz="0" w:space="0" w:color="auto"/>
        <w:left w:val="none" w:sz="0" w:space="0" w:color="auto"/>
        <w:bottom w:val="none" w:sz="0" w:space="0" w:color="auto"/>
        <w:right w:val="none" w:sz="0" w:space="0" w:color="auto"/>
      </w:divBdr>
    </w:div>
    <w:div w:id="589627611">
      <w:bodyDiv w:val="1"/>
      <w:marLeft w:val="0"/>
      <w:marRight w:val="0"/>
      <w:marTop w:val="0"/>
      <w:marBottom w:val="0"/>
      <w:divBdr>
        <w:top w:val="none" w:sz="0" w:space="0" w:color="auto"/>
        <w:left w:val="none" w:sz="0" w:space="0" w:color="auto"/>
        <w:bottom w:val="none" w:sz="0" w:space="0" w:color="auto"/>
        <w:right w:val="none" w:sz="0" w:space="0" w:color="auto"/>
      </w:divBdr>
      <w:divsChild>
        <w:div w:id="2103985925">
          <w:marLeft w:val="0"/>
          <w:marRight w:val="0"/>
          <w:marTop w:val="0"/>
          <w:marBottom w:val="0"/>
          <w:divBdr>
            <w:top w:val="none" w:sz="0" w:space="0" w:color="auto"/>
            <w:left w:val="none" w:sz="0" w:space="0" w:color="auto"/>
            <w:bottom w:val="none" w:sz="0" w:space="0" w:color="auto"/>
            <w:right w:val="none" w:sz="0" w:space="0" w:color="auto"/>
          </w:divBdr>
          <w:divsChild>
            <w:div w:id="1472792827">
              <w:marLeft w:val="0"/>
              <w:marRight w:val="0"/>
              <w:marTop w:val="0"/>
              <w:marBottom w:val="0"/>
              <w:divBdr>
                <w:top w:val="none" w:sz="0" w:space="0" w:color="auto"/>
                <w:left w:val="none" w:sz="0" w:space="0" w:color="auto"/>
                <w:bottom w:val="none" w:sz="0" w:space="0" w:color="auto"/>
                <w:right w:val="none" w:sz="0" w:space="0" w:color="auto"/>
              </w:divBdr>
              <w:divsChild>
                <w:div w:id="1923903968">
                  <w:marLeft w:val="0"/>
                  <w:marRight w:val="0"/>
                  <w:marTop w:val="0"/>
                  <w:marBottom w:val="0"/>
                  <w:divBdr>
                    <w:top w:val="none" w:sz="0" w:space="0" w:color="auto"/>
                    <w:left w:val="none" w:sz="0" w:space="0" w:color="auto"/>
                    <w:bottom w:val="none" w:sz="0" w:space="0" w:color="auto"/>
                    <w:right w:val="none" w:sz="0" w:space="0" w:color="auto"/>
                  </w:divBdr>
                  <w:divsChild>
                    <w:div w:id="802425112">
                      <w:marLeft w:val="0"/>
                      <w:marRight w:val="0"/>
                      <w:marTop w:val="0"/>
                      <w:marBottom w:val="0"/>
                      <w:divBdr>
                        <w:top w:val="none" w:sz="0" w:space="0" w:color="auto"/>
                        <w:left w:val="none" w:sz="0" w:space="0" w:color="auto"/>
                        <w:bottom w:val="none" w:sz="0" w:space="0" w:color="auto"/>
                        <w:right w:val="none" w:sz="0" w:space="0" w:color="auto"/>
                      </w:divBdr>
                      <w:divsChild>
                        <w:div w:id="799303732">
                          <w:marLeft w:val="0"/>
                          <w:marRight w:val="0"/>
                          <w:marTop w:val="0"/>
                          <w:marBottom w:val="0"/>
                          <w:divBdr>
                            <w:top w:val="none" w:sz="0" w:space="0" w:color="auto"/>
                            <w:left w:val="none" w:sz="0" w:space="0" w:color="auto"/>
                            <w:bottom w:val="none" w:sz="0" w:space="0" w:color="auto"/>
                            <w:right w:val="none" w:sz="0" w:space="0" w:color="auto"/>
                          </w:divBdr>
                          <w:divsChild>
                            <w:div w:id="12942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8852">
      <w:bodyDiv w:val="1"/>
      <w:marLeft w:val="0"/>
      <w:marRight w:val="0"/>
      <w:marTop w:val="0"/>
      <w:marBottom w:val="0"/>
      <w:divBdr>
        <w:top w:val="none" w:sz="0" w:space="0" w:color="auto"/>
        <w:left w:val="none" w:sz="0" w:space="0" w:color="auto"/>
        <w:bottom w:val="none" w:sz="0" w:space="0" w:color="auto"/>
        <w:right w:val="none" w:sz="0" w:space="0" w:color="auto"/>
      </w:divBdr>
      <w:divsChild>
        <w:div w:id="1980765529">
          <w:marLeft w:val="0"/>
          <w:marRight w:val="0"/>
          <w:marTop w:val="0"/>
          <w:marBottom w:val="0"/>
          <w:divBdr>
            <w:top w:val="none" w:sz="0" w:space="0" w:color="auto"/>
            <w:left w:val="none" w:sz="0" w:space="0" w:color="auto"/>
            <w:bottom w:val="none" w:sz="0" w:space="0" w:color="auto"/>
            <w:right w:val="none" w:sz="0" w:space="0" w:color="auto"/>
          </w:divBdr>
        </w:div>
        <w:div w:id="1998802814">
          <w:marLeft w:val="0"/>
          <w:marRight w:val="0"/>
          <w:marTop w:val="0"/>
          <w:marBottom w:val="0"/>
          <w:divBdr>
            <w:top w:val="none" w:sz="0" w:space="0" w:color="auto"/>
            <w:left w:val="none" w:sz="0" w:space="0" w:color="auto"/>
            <w:bottom w:val="none" w:sz="0" w:space="0" w:color="auto"/>
            <w:right w:val="none" w:sz="0" w:space="0" w:color="auto"/>
          </w:divBdr>
        </w:div>
        <w:div w:id="665940571">
          <w:marLeft w:val="0"/>
          <w:marRight w:val="0"/>
          <w:marTop w:val="0"/>
          <w:marBottom w:val="0"/>
          <w:divBdr>
            <w:top w:val="none" w:sz="0" w:space="0" w:color="auto"/>
            <w:left w:val="none" w:sz="0" w:space="0" w:color="auto"/>
            <w:bottom w:val="none" w:sz="0" w:space="0" w:color="auto"/>
            <w:right w:val="none" w:sz="0" w:space="0" w:color="auto"/>
          </w:divBdr>
        </w:div>
      </w:divsChild>
    </w:div>
    <w:div w:id="687945955">
      <w:bodyDiv w:val="1"/>
      <w:marLeft w:val="0"/>
      <w:marRight w:val="0"/>
      <w:marTop w:val="0"/>
      <w:marBottom w:val="0"/>
      <w:divBdr>
        <w:top w:val="none" w:sz="0" w:space="0" w:color="auto"/>
        <w:left w:val="none" w:sz="0" w:space="0" w:color="auto"/>
        <w:bottom w:val="none" w:sz="0" w:space="0" w:color="auto"/>
        <w:right w:val="none" w:sz="0" w:space="0" w:color="auto"/>
      </w:divBdr>
    </w:div>
    <w:div w:id="690649418">
      <w:bodyDiv w:val="1"/>
      <w:marLeft w:val="0"/>
      <w:marRight w:val="0"/>
      <w:marTop w:val="0"/>
      <w:marBottom w:val="0"/>
      <w:divBdr>
        <w:top w:val="none" w:sz="0" w:space="0" w:color="auto"/>
        <w:left w:val="none" w:sz="0" w:space="0" w:color="auto"/>
        <w:bottom w:val="none" w:sz="0" w:space="0" w:color="auto"/>
        <w:right w:val="none" w:sz="0" w:space="0" w:color="auto"/>
      </w:divBdr>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695348456">
      <w:bodyDiv w:val="1"/>
      <w:marLeft w:val="0"/>
      <w:marRight w:val="0"/>
      <w:marTop w:val="0"/>
      <w:marBottom w:val="0"/>
      <w:divBdr>
        <w:top w:val="none" w:sz="0" w:space="0" w:color="auto"/>
        <w:left w:val="none" w:sz="0" w:space="0" w:color="auto"/>
        <w:bottom w:val="none" w:sz="0" w:space="0" w:color="auto"/>
        <w:right w:val="none" w:sz="0" w:space="0" w:color="auto"/>
      </w:divBdr>
    </w:div>
    <w:div w:id="696396973">
      <w:bodyDiv w:val="1"/>
      <w:marLeft w:val="0"/>
      <w:marRight w:val="0"/>
      <w:marTop w:val="0"/>
      <w:marBottom w:val="0"/>
      <w:divBdr>
        <w:top w:val="none" w:sz="0" w:space="0" w:color="auto"/>
        <w:left w:val="none" w:sz="0" w:space="0" w:color="auto"/>
        <w:bottom w:val="none" w:sz="0" w:space="0" w:color="auto"/>
        <w:right w:val="none" w:sz="0" w:space="0" w:color="auto"/>
      </w:divBdr>
    </w:div>
    <w:div w:id="721708430">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57021303">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775172057">
      <w:bodyDiv w:val="1"/>
      <w:marLeft w:val="0"/>
      <w:marRight w:val="0"/>
      <w:marTop w:val="0"/>
      <w:marBottom w:val="0"/>
      <w:divBdr>
        <w:top w:val="none" w:sz="0" w:space="0" w:color="auto"/>
        <w:left w:val="none" w:sz="0" w:space="0" w:color="auto"/>
        <w:bottom w:val="none" w:sz="0" w:space="0" w:color="auto"/>
        <w:right w:val="none" w:sz="0" w:space="0" w:color="auto"/>
      </w:divBdr>
    </w:div>
    <w:div w:id="808866858">
      <w:bodyDiv w:val="1"/>
      <w:marLeft w:val="0"/>
      <w:marRight w:val="0"/>
      <w:marTop w:val="0"/>
      <w:marBottom w:val="0"/>
      <w:divBdr>
        <w:top w:val="none" w:sz="0" w:space="0" w:color="auto"/>
        <w:left w:val="none" w:sz="0" w:space="0" w:color="auto"/>
        <w:bottom w:val="none" w:sz="0" w:space="0" w:color="auto"/>
        <w:right w:val="none" w:sz="0" w:space="0" w:color="auto"/>
      </w:divBdr>
    </w:div>
    <w:div w:id="809513857">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857735177">
      <w:bodyDiv w:val="1"/>
      <w:marLeft w:val="0"/>
      <w:marRight w:val="0"/>
      <w:marTop w:val="0"/>
      <w:marBottom w:val="0"/>
      <w:divBdr>
        <w:top w:val="none" w:sz="0" w:space="0" w:color="auto"/>
        <w:left w:val="none" w:sz="0" w:space="0" w:color="auto"/>
        <w:bottom w:val="none" w:sz="0" w:space="0" w:color="auto"/>
        <w:right w:val="none" w:sz="0" w:space="0" w:color="auto"/>
      </w:divBdr>
    </w:div>
    <w:div w:id="865799444">
      <w:bodyDiv w:val="1"/>
      <w:marLeft w:val="0"/>
      <w:marRight w:val="0"/>
      <w:marTop w:val="0"/>
      <w:marBottom w:val="0"/>
      <w:divBdr>
        <w:top w:val="none" w:sz="0" w:space="0" w:color="auto"/>
        <w:left w:val="none" w:sz="0" w:space="0" w:color="auto"/>
        <w:bottom w:val="none" w:sz="0" w:space="0" w:color="auto"/>
        <w:right w:val="none" w:sz="0" w:space="0" w:color="auto"/>
      </w:divBdr>
      <w:divsChild>
        <w:div w:id="1595899167">
          <w:marLeft w:val="0"/>
          <w:marRight w:val="0"/>
          <w:marTop w:val="0"/>
          <w:marBottom w:val="0"/>
          <w:divBdr>
            <w:top w:val="none" w:sz="0" w:space="0" w:color="auto"/>
            <w:left w:val="none" w:sz="0" w:space="0" w:color="auto"/>
            <w:bottom w:val="none" w:sz="0" w:space="0" w:color="auto"/>
            <w:right w:val="none" w:sz="0" w:space="0" w:color="auto"/>
          </w:divBdr>
          <w:divsChild>
            <w:div w:id="610015490">
              <w:marLeft w:val="0"/>
              <w:marRight w:val="0"/>
              <w:marTop w:val="0"/>
              <w:marBottom w:val="0"/>
              <w:divBdr>
                <w:top w:val="none" w:sz="0" w:space="0" w:color="auto"/>
                <w:left w:val="none" w:sz="0" w:space="0" w:color="auto"/>
                <w:bottom w:val="none" w:sz="0" w:space="0" w:color="auto"/>
                <w:right w:val="none" w:sz="0" w:space="0" w:color="auto"/>
              </w:divBdr>
              <w:divsChild>
                <w:div w:id="1091126931">
                  <w:marLeft w:val="0"/>
                  <w:marRight w:val="0"/>
                  <w:marTop w:val="0"/>
                  <w:marBottom w:val="0"/>
                  <w:divBdr>
                    <w:top w:val="none" w:sz="0" w:space="0" w:color="auto"/>
                    <w:left w:val="none" w:sz="0" w:space="0" w:color="auto"/>
                    <w:bottom w:val="none" w:sz="0" w:space="0" w:color="auto"/>
                    <w:right w:val="none" w:sz="0" w:space="0" w:color="auto"/>
                  </w:divBdr>
                  <w:divsChild>
                    <w:div w:id="144589587">
                      <w:marLeft w:val="0"/>
                      <w:marRight w:val="0"/>
                      <w:marTop w:val="0"/>
                      <w:marBottom w:val="0"/>
                      <w:divBdr>
                        <w:top w:val="none" w:sz="0" w:space="0" w:color="auto"/>
                        <w:left w:val="none" w:sz="0" w:space="0" w:color="auto"/>
                        <w:bottom w:val="none" w:sz="0" w:space="0" w:color="auto"/>
                        <w:right w:val="none" w:sz="0" w:space="0" w:color="auto"/>
                      </w:divBdr>
                      <w:divsChild>
                        <w:div w:id="921526295">
                          <w:marLeft w:val="0"/>
                          <w:marRight w:val="0"/>
                          <w:marTop w:val="0"/>
                          <w:marBottom w:val="0"/>
                          <w:divBdr>
                            <w:top w:val="none" w:sz="0" w:space="0" w:color="auto"/>
                            <w:left w:val="none" w:sz="0" w:space="0" w:color="auto"/>
                            <w:bottom w:val="none" w:sz="0" w:space="0" w:color="auto"/>
                            <w:right w:val="none" w:sz="0" w:space="0" w:color="auto"/>
                          </w:divBdr>
                          <w:divsChild>
                            <w:div w:id="1578633818">
                              <w:marLeft w:val="0"/>
                              <w:marRight w:val="0"/>
                              <w:marTop w:val="0"/>
                              <w:marBottom w:val="0"/>
                              <w:divBdr>
                                <w:top w:val="none" w:sz="0" w:space="0" w:color="auto"/>
                                <w:left w:val="none" w:sz="0" w:space="0" w:color="auto"/>
                                <w:bottom w:val="none" w:sz="0" w:space="0" w:color="auto"/>
                                <w:right w:val="none" w:sz="0" w:space="0" w:color="auto"/>
                              </w:divBdr>
                              <w:divsChild>
                                <w:div w:id="1759254053">
                                  <w:marLeft w:val="0"/>
                                  <w:marRight w:val="0"/>
                                  <w:marTop w:val="0"/>
                                  <w:marBottom w:val="0"/>
                                  <w:divBdr>
                                    <w:top w:val="none" w:sz="0" w:space="0" w:color="auto"/>
                                    <w:left w:val="none" w:sz="0" w:space="0" w:color="auto"/>
                                    <w:bottom w:val="single" w:sz="6" w:space="0" w:color="E0E0E0"/>
                                    <w:right w:val="none" w:sz="0" w:space="0" w:color="auto"/>
                                  </w:divBdr>
                                  <w:divsChild>
                                    <w:div w:id="1120339421">
                                      <w:marLeft w:val="0"/>
                                      <w:marRight w:val="0"/>
                                      <w:marTop w:val="0"/>
                                      <w:marBottom w:val="0"/>
                                      <w:divBdr>
                                        <w:top w:val="none" w:sz="0" w:space="0" w:color="auto"/>
                                        <w:left w:val="none" w:sz="0" w:space="0" w:color="auto"/>
                                        <w:bottom w:val="none" w:sz="0" w:space="0" w:color="auto"/>
                                        <w:right w:val="none" w:sz="0" w:space="0" w:color="auto"/>
                                      </w:divBdr>
                                      <w:divsChild>
                                        <w:div w:id="940723868">
                                          <w:marLeft w:val="0"/>
                                          <w:marRight w:val="0"/>
                                          <w:marTop w:val="0"/>
                                          <w:marBottom w:val="0"/>
                                          <w:divBdr>
                                            <w:top w:val="none" w:sz="0" w:space="0" w:color="auto"/>
                                            <w:left w:val="none" w:sz="0" w:space="0" w:color="auto"/>
                                            <w:bottom w:val="none" w:sz="0" w:space="0" w:color="auto"/>
                                            <w:right w:val="none" w:sz="0" w:space="0" w:color="auto"/>
                                          </w:divBdr>
                                          <w:divsChild>
                                            <w:div w:id="2013070644">
                                              <w:marLeft w:val="0"/>
                                              <w:marRight w:val="0"/>
                                              <w:marTop w:val="0"/>
                                              <w:marBottom w:val="0"/>
                                              <w:divBdr>
                                                <w:top w:val="none" w:sz="0" w:space="0" w:color="auto"/>
                                                <w:left w:val="none" w:sz="0" w:space="0" w:color="auto"/>
                                                <w:bottom w:val="none" w:sz="0" w:space="0" w:color="auto"/>
                                                <w:right w:val="none" w:sz="0" w:space="0" w:color="auto"/>
                                              </w:divBdr>
                                              <w:divsChild>
                                                <w:div w:id="16794978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07258359">
                                          <w:marLeft w:val="0"/>
                                          <w:marRight w:val="0"/>
                                          <w:marTop w:val="0"/>
                                          <w:marBottom w:val="0"/>
                                          <w:divBdr>
                                            <w:top w:val="none" w:sz="0" w:space="0" w:color="auto"/>
                                            <w:left w:val="none" w:sz="0" w:space="0" w:color="auto"/>
                                            <w:bottom w:val="none" w:sz="0" w:space="0" w:color="auto"/>
                                            <w:right w:val="none" w:sz="0" w:space="0" w:color="auto"/>
                                          </w:divBdr>
                                          <w:divsChild>
                                            <w:div w:id="1341925918">
                                              <w:marLeft w:val="0"/>
                                              <w:marRight w:val="0"/>
                                              <w:marTop w:val="0"/>
                                              <w:marBottom w:val="0"/>
                                              <w:divBdr>
                                                <w:top w:val="none" w:sz="0" w:space="0" w:color="auto"/>
                                                <w:left w:val="none" w:sz="0" w:space="0" w:color="auto"/>
                                                <w:bottom w:val="none" w:sz="0" w:space="0" w:color="auto"/>
                                                <w:right w:val="none" w:sz="0" w:space="0" w:color="auto"/>
                                              </w:divBdr>
                                            </w:div>
                                            <w:div w:id="17534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7971">
                                  <w:marLeft w:val="0"/>
                                  <w:marRight w:val="0"/>
                                  <w:marTop w:val="0"/>
                                  <w:marBottom w:val="0"/>
                                  <w:divBdr>
                                    <w:top w:val="none" w:sz="0" w:space="0" w:color="auto"/>
                                    <w:left w:val="none" w:sz="0" w:space="0" w:color="auto"/>
                                    <w:bottom w:val="none" w:sz="0" w:space="0" w:color="auto"/>
                                    <w:right w:val="none" w:sz="0" w:space="0" w:color="auto"/>
                                  </w:divBdr>
                                  <w:divsChild>
                                    <w:div w:id="1947544257">
                                      <w:marLeft w:val="0"/>
                                      <w:marRight w:val="0"/>
                                      <w:marTop w:val="0"/>
                                      <w:marBottom w:val="0"/>
                                      <w:divBdr>
                                        <w:top w:val="none" w:sz="0" w:space="0" w:color="auto"/>
                                        <w:left w:val="none" w:sz="0" w:space="0" w:color="auto"/>
                                        <w:bottom w:val="none" w:sz="0" w:space="0" w:color="auto"/>
                                        <w:right w:val="none" w:sz="0" w:space="0" w:color="auto"/>
                                      </w:divBdr>
                                      <w:divsChild>
                                        <w:div w:id="2037002056">
                                          <w:marLeft w:val="0"/>
                                          <w:marRight w:val="0"/>
                                          <w:marTop w:val="0"/>
                                          <w:marBottom w:val="0"/>
                                          <w:divBdr>
                                            <w:top w:val="none" w:sz="0" w:space="0" w:color="auto"/>
                                            <w:left w:val="none" w:sz="0" w:space="0" w:color="auto"/>
                                            <w:bottom w:val="none" w:sz="0" w:space="0" w:color="auto"/>
                                            <w:right w:val="none" w:sz="0" w:space="0" w:color="auto"/>
                                          </w:divBdr>
                                          <w:divsChild>
                                            <w:div w:id="2072533335">
                                              <w:marLeft w:val="0"/>
                                              <w:marRight w:val="0"/>
                                              <w:marTop w:val="0"/>
                                              <w:marBottom w:val="0"/>
                                              <w:divBdr>
                                                <w:top w:val="none" w:sz="0" w:space="0" w:color="auto"/>
                                                <w:left w:val="none" w:sz="0" w:space="0" w:color="auto"/>
                                                <w:bottom w:val="none" w:sz="0" w:space="0" w:color="auto"/>
                                                <w:right w:val="none" w:sz="0" w:space="0" w:color="auto"/>
                                              </w:divBdr>
                                              <w:divsChild>
                                                <w:div w:id="2110618179">
                                                  <w:marLeft w:val="0"/>
                                                  <w:marRight w:val="0"/>
                                                  <w:marTop w:val="0"/>
                                                  <w:marBottom w:val="0"/>
                                                  <w:divBdr>
                                                    <w:top w:val="none" w:sz="0" w:space="0" w:color="auto"/>
                                                    <w:left w:val="none" w:sz="0" w:space="0" w:color="auto"/>
                                                    <w:bottom w:val="none" w:sz="0" w:space="0" w:color="auto"/>
                                                    <w:right w:val="none" w:sz="0" w:space="0" w:color="auto"/>
                                                  </w:divBdr>
                                                  <w:divsChild>
                                                    <w:div w:id="1987317451">
                                                      <w:marLeft w:val="0"/>
                                                      <w:marRight w:val="0"/>
                                                      <w:marTop w:val="0"/>
                                                      <w:marBottom w:val="0"/>
                                                      <w:divBdr>
                                                        <w:top w:val="none" w:sz="0" w:space="0" w:color="auto"/>
                                                        <w:left w:val="none" w:sz="0" w:space="0" w:color="auto"/>
                                                        <w:bottom w:val="none" w:sz="0" w:space="0" w:color="auto"/>
                                                        <w:right w:val="none" w:sz="0" w:space="0" w:color="auto"/>
                                                      </w:divBdr>
                                                      <w:divsChild>
                                                        <w:div w:id="593904471">
                                                          <w:marLeft w:val="0"/>
                                                          <w:marRight w:val="0"/>
                                                          <w:marTop w:val="0"/>
                                                          <w:marBottom w:val="0"/>
                                                          <w:divBdr>
                                                            <w:top w:val="none" w:sz="0" w:space="0" w:color="auto"/>
                                                            <w:left w:val="none" w:sz="0" w:space="0" w:color="auto"/>
                                                            <w:bottom w:val="none" w:sz="0" w:space="0" w:color="auto"/>
                                                            <w:right w:val="none" w:sz="0" w:space="0" w:color="auto"/>
                                                          </w:divBdr>
                                                          <w:divsChild>
                                                            <w:div w:id="631906617">
                                                              <w:marLeft w:val="0"/>
                                                              <w:marRight w:val="0"/>
                                                              <w:marTop w:val="0"/>
                                                              <w:marBottom w:val="0"/>
                                                              <w:divBdr>
                                                                <w:top w:val="none" w:sz="0" w:space="0" w:color="auto"/>
                                                                <w:left w:val="none" w:sz="0" w:space="0" w:color="auto"/>
                                                                <w:bottom w:val="none" w:sz="0" w:space="0" w:color="auto"/>
                                                                <w:right w:val="none" w:sz="0" w:space="0" w:color="auto"/>
                                                              </w:divBdr>
                                                              <w:divsChild>
                                                                <w:div w:id="1876000327">
                                                                  <w:marLeft w:val="0"/>
                                                                  <w:marRight w:val="0"/>
                                                                  <w:marTop w:val="0"/>
                                                                  <w:marBottom w:val="0"/>
                                                                  <w:divBdr>
                                                                    <w:top w:val="none" w:sz="0" w:space="0" w:color="auto"/>
                                                                    <w:left w:val="none" w:sz="0" w:space="0" w:color="auto"/>
                                                                    <w:bottom w:val="none" w:sz="0" w:space="0" w:color="auto"/>
                                                                    <w:right w:val="none" w:sz="0" w:space="0" w:color="auto"/>
                                                                  </w:divBdr>
                                                                  <w:divsChild>
                                                                    <w:div w:id="277952816">
                                                                      <w:marLeft w:val="0"/>
                                                                      <w:marRight w:val="0"/>
                                                                      <w:marTop w:val="480"/>
                                                                      <w:marBottom w:val="480"/>
                                                                      <w:divBdr>
                                                                        <w:top w:val="none" w:sz="0" w:space="0" w:color="auto"/>
                                                                        <w:left w:val="none" w:sz="0" w:space="0" w:color="auto"/>
                                                                        <w:bottom w:val="none" w:sz="0" w:space="0" w:color="auto"/>
                                                                        <w:right w:val="none" w:sz="0" w:space="0" w:color="auto"/>
                                                                      </w:divBdr>
                                                                    </w:div>
                                                                  </w:divsChild>
                                                                </w:div>
                                                                <w:div w:id="861362767">
                                                                  <w:marLeft w:val="0"/>
                                                                  <w:marRight w:val="0"/>
                                                                  <w:marTop w:val="0"/>
                                                                  <w:marBottom w:val="0"/>
                                                                  <w:divBdr>
                                                                    <w:top w:val="none" w:sz="0" w:space="0" w:color="auto"/>
                                                                    <w:left w:val="none" w:sz="0" w:space="0" w:color="auto"/>
                                                                    <w:bottom w:val="none" w:sz="0" w:space="0" w:color="auto"/>
                                                                    <w:right w:val="none" w:sz="0" w:space="0" w:color="auto"/>
                                                                  </w:divBdr>
                                                                  <w:divsChild>
                                                                    <w:div w:id="10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2707397">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13603999">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4341001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17289106">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46821014">
      <w:bodyDiv w:val="1"/>
      <w:marLeft w:val="0"/>
      <w:marRight w:val="0"/>
      <w:marTop w:val="0"/>
      <w:marBottom w:val="0"/>
      <w:divBdr>
        <w:top w:val="none" w:sz="0" w:space="0" w:color="auto"/>
        <w:left w:val="none" w:sz="0" w:space="0" w:color="auto"/>
        <w:bottom w:val="none" w:sz="0" w:space="0" w:color="auto"/>
        <w:right w:val="none" w:sz="0" w:space="0" w:color="auto"/>
      </w:divBdr>
      <w:divsChild>
        <w:div w:id="86777673">
          <w:marLeft w:val="0"/>
          <w:marRight w:val="0"/>
          <w:marTop w:val="0"/>
          <w:marBottom w:val="0"/>
          <w:divBdr>
            <w:top w:val="none" w:sz="0" w:space="0" w:color="auto"/>
            <w:left w:val="none" w:sz="0" w:space="0" w:color="auto"/>
            <w:bottom w:val="none" w:sz="0" w:space="0" w:color="auto"/>
            <w:right w:val="none" w:sz="0" w:space="0" w:color="auto"/>
          </w:divBdr>
          <w:divsChild>
            <w:div w:id="614560933">
              <w:marLeft w:val="0"/>
              <w:marRight w:val="0"/>
              <w:marTop w:val="0"/>
              <w:marBottom w:val="0"/>
              <w:divBdr>
                <w:top w:val="none" w:sz="0" w:space="0" w:color="auto"/>
                <w:left w:val="none" w:sz="0" w:space="0" w:color="auto"/>
                <w:bottom w:val="none" w:sz="0" w:space="0" w:color="auto"/>
                <w:right w:val="none" w:sz="0" w:space="0" w:color="auto"/>
              </w:divBdr>
              <w:divsChild>
                <w:div w:id="1846553627">
                  <w:marLeft w:val="0"/>
                  <w:marRight w:val="0"/>
                  <w:marTop w:val="0"/>
                  <w:marBottom w:val="0"/>
                  <w:divBdr>
                    <w:top w:val="none" w:sz="0" w:space="0" w:color="auto"/>
                    <w:left w:val="none" w:sz="0" w:space="0" w:color="auto"/>
                    <w:bottom w:val="none" w:sz="0" w:space="0" w:color="auto"/>
                    <w:right w:val="none" w:sz="0" w:space="0" w:color="auto"/>
                  </w:divBdr>
                  <w:divsChild>
                    <w:div w:id="1317109692">
                      <w:marLeft w:val="0"/>
                      <w:marRight w:val="0"/>
                      <w:marTop w:val="0"/>
                      <w:marBottom w:val="0"/>
                      <w:divBdr>
                        <w:top w:val="none" w:sz="0" w:space="0" w:color="auto"/>
                        <w:left w:val="none" w:sz="0" w:space="0" w:color="auto"/>
                        <w:bottom w:val="none" w:sz="0" w:space="0" w:color="auto"/>
                        <w:right w:val="none" w:sz="0" w:space="0" w:color="auto"/>
                      </w:divBdr>
                      <w:divsChild>
                        <w:div w:id="1338653459">
                          <w:marLeft w:val="0"/>
                          <w:marRight w:val="0"/>
                          <w:marTop w:val="0"/>
                          <w:marBottom w:val="0"/>
                          <w:divBdr>
                            <w:top w:val="none" w:sz="0" w:space="0" w:color="auto"/>
                            <w:left w:val="none" w:sz="0" w:space="0" w:color="auto"/>
                            <w:bottom w:val="none" w:sz="0" w:space="0" w:color="auto"/>
                            <w:right w:val="none" w:sz="0" w:space="0" w:color="auto"/>
                          </w:divBdr>
                          <w:divsChild>
                            <w:div w:id="884952874">
                              <w:marLeft w:val="0"/>
                              <w:marRight w:val="0"/>
                              <w:marTop w:val="420"/>
                              <w:marBottom w:val="420"/>
                              <w:divBdr>
                                <w:top w:val="none" w:sz="0" w:space="0" w:color="auto"/>
                                <w:left w:val="none" w:sz="0" w:space="0" w:color="auto"/>
                                <w:bottom w:val="none" w:sz="0" w:space="0" w:color="auto"/>
                                <w:right w:val="none" w:sz="0" w:space="0" w:color="auto"/>
                              </w:divBdr>
                            </w:div>
                            <w:div w:id="337542118">
                              <w:marLeft w:val="0"/>
                              <w:marRight w:val="0"/>
                              <w:marTop w:val="420"/>
                              <w:marBottom w:val="420"/>
                              <w:divBdr>
                                <w:top w:val="none" w:sz="0" w:space="0" w:color="auto"/>
                                <w:left w:val="none" w:sz="0" w:space="0" w:color="auto"/>
                                <w:bottom w:val="none" w:sz="0" w:space="0" w:color="auto"/>
                                <w:right w:val="none" w:sz="0" w:space="0" w:color="auto"/>
                              </w:divBdr>
                            </w:div>
                            <w:div w:id="1575697738">
                              <w:marLeft w:val="0"/>
                              <w:marRight w:val="0"/>
                              <w:marTop w:val="420"/>
                              <w:marBottom w:val="420"/>
                              <w:divBdr>
                                <w:top w:val="none" w:sz="0" w:space="0" w:color="auto"/>
                                <w:left w:val="none" w:sz="0" w:space="0" w:color="auto"/>
                                <w:bottom w:val="none" w:sz="0" w:space="0" w:color="auto"/>
                                <w:right w:val="none" w:sz="0" w:space="0" w:color="auto"/>
                              </w:divBdr>
                            </w:div>
                            <w:div w:id="1815247338">
                              <w:marLeft w:val="0"/>
                              <w:marRight w:val="0"/>
                              <w:marTop w:val="420"/>
                              <w:marBottom w:val="420"/>
                              <w:divBdr>
                                <w:top w:val="none" w:sz="0" w:space="0" w:color="auto"/>
                                <w:left w:val="none" w:sz="0" w:space="0" w:color="auto"/>
                                <w:bottom w:val="none" w:sz="0" w:space="0" w:color="auto"/>
                                <w:right w:val="none" w:sz="0" w:space="0" w:color="auto"/>
                              </w:divBdr>
                            </w:div>
                            <w:div w:id="1142455624">
                              <w:marLeft w:val="0"/>
                              <w:marRight w:val="0"/>
                              <w:marTop w:val="420"/>
                              <w:marBottom w:val="420"/>
                              <w:divBdr>
                                <w:top w:val="none" w:sz="0" w:space="0" w:color="auto"/>
                                <w:left w:val="none" w:sz="0" w:space="0" w:color="auto"/>
                                <w:bottom w:val="none" w:sz="0" w:space="0" w:color="auto"/>
                                <w:right w:val="none" w:sz="0" w:space="0" w:color="auto"/>
                              </w:divBdr>
                            </w:div>
                            <w:div w:id="1919092797">
                              <w:marLeft w:val="0"/>
                              <w:marRight w:val="0"/>
                              <w:marTop w:val="420"/>
                              <w:marBottom w:val="420"/>
                              <w:divBdr>
                                <w:top w:val="none" w:sz="0" w:space="0" w:color="auto"/>
                                <w:left w:val="none" w:sz="0" w:space="0" w:color="auto"/>
                                <w:bottom w:val="none" w:sz="0" w:space="0" w:color="auto"/>
                                <w:right w:val="none" w:sz="0" w:space="0" w:color="auto"/>
                              </w:divBdr>
                            </w:div>
                            <w:div w:id="197477881">
                              <w:marLeft w:val="0"/>
                              <w:marRight w:val="0"/>
                              <w:marTop w:val="420"/>
                              <w:marBottom w:val="420"/>
                              <w:divBdr>
                                <w:top w:val="none" w:sz="0" w:space="0" w:color="auto"/>
                                <w:left w:val="none" w:sz="0" w:space="0" w:color="auto"/>
                                <w:bottom w:val="none" w:sz="0" w:space="0" w:color="auto"/>
                                <w:right w:val="none" w:sz="0" w:space="0" w:color="auto"/>
                              </w:divBdr>
                            </w:div>
                            <w:div w:id="265962881">
                              <w:marLeft w:val="0"/>
                              <w:marRight w:val="0"/>
                              <w:marTop w:val="420"/>
                              <w:marBottom w:val="420"/>
                              <w:divBdr>
                                <w:top w:val="none" w:sz="0" w:space="0" w:color="auto"/>
                                <w:left w:val="none" w:sz="0" w:space="0" w:color="auto"/>
                                <w:bottom w:val="none" w:sz="0" w:space="0" w:color="auto"/>
                                <w:right w:val="none" w:sz="0" w:space="0" w:color="auto"/>
                              </w:divBdr>
                            </w:div>
                            <w:div w:id="13279984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822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226642231">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44629191">
      <w:bodyDiv w:val="1"/>
      <w:marLeft w:val="0"/>
      <w:marRight w:val="0"/>
      <w:marTop w:val="0"/>
      <w:marBottom w:val="0"/>
      <w:divBdr>
        <w:top w:val="none" w:sz="0" w:space="0" w:color="auto"/>
        <w:left w:val="none" w:sz="0" w:space="0" w:color="auto"/>
        <w:bottom w:val="none" w:sz="0" w:space="0" w:color="auto"/>
        <w:right w:val="none" w:sz="0" w:space="0" w:color="auto"/>
      </w:divBdr>
    </w:div>
    <w:div w:id="1370954838">
      <w:bodyDiv w:val="1"/>
      <w:marLeft w:val="0"/>
      <w:marRight w:val="0"/>
      <w:marTop w:val="0"/>
      <w:marBottom w:val="0"/>
      <w:divBdr>
        <w:top w:val="none" w:sz="0" w:space="0" w:color="auto"/>
        <w:left w:val="none" w:sz="0" w:space="0" w:color="auto"/>
        <w:bottom w:val="none" w:sz="0" w:space="0" w:color="auto"/>
        <w:right w:val="none" w:sz="0" w:space="0" w:color="auto"/>
      </w:divBdr>
    </w:div>
    <w:div w:id="137600609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0860019">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42747841">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601600192">
      <w:bodyDiv w:val="1"/>
      <w:marLeft w:val="0"/>
      <w:marRight w:val="0"/>
      <w:marTop w:val="0"/>
      <w:marBottom w:val="0"/>
      <w:divBdr>
        <w:top w:val="none" w:sz="0" w:space="0" w:color="auto"/>
        <w:left w:val="none" w:sz="0" w:space="0" w:color="auto"/>
        <w:bottom w:val="none" w:sz="0" w:space="0" w:color="auto"/>
        <w:right w:val="none" w:sz="0" w:space="0" w:color="auto"/>
      </w:divBdr>
    </w:div>
    <w:div w:id="1606227361">
      <w:bodyDiv w:val="1"/>
      <w:marLeft w:val="0"/>
      <w:marRight w:val="0"/>
      <w:marTop w:val="0"/>
      <w:marBottom w:val="0"/>
      <w:divBdr>
        <w:top w:val="none" w:sz="0" w:space="0" w:color="auto"/>
        <w:left w:val="none" w:sz="0" w:space="0" w:color="auto"/>
        <w:bottom w:val="none" w:sz="0" w:space="0" w:color="auto"/>
        <w:right w:val="none" w:sz="0" w:space="0" w:color="auto"/>
      </w:divBdr>
      <w:divsChild>
        <w:div w:id="1361666914">
          <w:marLeft w:val="0"/>
          <w:marRight w:val="0"/>
          <w:marTop w:val="0"/>
          <w:marBottom w:val="0"/>
          <w:divBdr>
            <w:top w:val="none" w:sz="0" w:space="0" w:color="auto"/>
            <w:left w:val="none" w:sz="0" w:space="0" w:color="auto"/>
            <w:bottom w:val="none" w:sz="0" w:space="0" w:color="auto"/>
            <w:right w:val="none" w:sz="0" w:space="0" w:color="auto"/>
          </w:divBdr>
          <w:divsChild>
            <w:div w:id="1300502021">
              <w:marLeft w:val="0"/>
              <w:marRight w:val="0"/>
              <w:marTop w:val="0"/>
              <w:marBottom w:val="0"/>
              <w:divBdr>
                <w:top w:val="none" w:sz="0" w:space="0" w:color="auto"/>
                <w:left w:val="none" w:sz="0" w:space="0" w:color="auto"/>
                <w:bottom w:val="none" w:sz="0" w:space="0" w:color="auto"/>
                <w:right w:val="none" w:sz="0" w:space="0" w:color="auto"/>
              </w:divBdr>
              <w:divsChild>
                <w:div w:id="18558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151">
          <w:marLeft w:val="0"/>
          <w:marRight w:val="0"/>
          <w:marTop w:val="0"/>
          <w:marBottom w:val="0"/>
          <w:divBdr>
            <w:top w:val="none" w:sz="0" w:space="0" w:color="auto"/>
            <w:left w:val="none" w:sz="0" w:space="0" w:color="auto"/>
            <w:bottom w:val="none" w:sz="0" w:space="0" w:color="auto"/>
            <w:right w:val="none" w:sz="0" w:space="0" w:color="auto"/>
          </w:divBdr>
        </w:div>
        <w:div w:id="762148951">
          <w:marLeft w:val="0"/>
          <w:marRight w:val="0"/>
          <w:marTop w:val="0"/>
          <w:marBottom w:val="0"/>
          <w:divBdr>
            <w:top w:val="none" w:sz="0" w:space="0" w:color="auto"/>
            <w:left w:val="none" w:sz="0" w:space="0" w:color="auto"/>
            <w:bottom w:val="none" w:sz="0" w:space="0" w:color="auto"/>
            <w:right w:val="none" w:sz="0" w:space="0" w:color="auto"/>
          </w:divBdr>
          <w:divsChild>
            <w:div w:id="264267674">
              <w:marLeft w:val="0"/>
              <w:marRight w:val="0"/>
              <w:marTop w:val="0"/>
              <w:marBottom w:val="0"/>
              <w:divBdr>
                <w:top w:val="none" w:sz="0" w:space="0" w:color="auto"/>
                <w:left w:val="none" w:sz="0" w:space="0" w:color="auto"/>
                <w:bottom w:val="none" w:sz="0" w:space="0" w:color="auto"/>
                <w:right w:val="none" w:sz="0" w:space="0" w:color="auto"/>
              </w:divBdr>
              <w:divsChild>
                <w:div w:id="798228891">
                  <w:marLeft w:val="0"/>
                  <w:marRight w:val="0"/>
                  <w:marTop w:val="0"/>
                  <w:marBottom w:val="0"/>
                  <w:divBdr>
                    <w:top w:val="none" w:sz="0" w:space="0" w:color="auto"/>
                    <w:left w:val="none" w:sz="0" w:space="0" w:color="auto"/>
                    <w:bottom w:val="none" w:sz="0" w:space="0" w:color="auto"/>
                    <w:right w:val="none" w:sz="0" w:space="0" w:color="auto"/>
                  </w:divBdr>
                  <w:divsChild>
                    <w:div w:id="2029133778">
                      <w:marLeft w:val="0"/>
                      <w:marRight w:val="0"/>
                      <w:marTop w:val="0"/>
                      <w:marBottom w:val="0"/>
                      <w:divBdr>
                        <w:top w:val="none" w:sz="0" w:space="0" w:color="auto"/>
                        <w:left w:val="none" w:sz="0" w:space="0" w:color="auto"/>
                        <w:bottom w:val="none" w:sz="0" w:space="0" w:color="auto"/>
                        <w:right w:val="none" w:sz="0" w:space="0" w:color="auto"/>
                      </w:divBdr>
                    </w:div>
                    <w:div w:id="1409420953">
                      <w:marLeft w:val="0"/>
                      <w:marRight w:val="0"/>
                      <w:marTop w:val="0"/>
                      <w:marBottom w:val="0"/>
                      <w:divBdr>
                        <w:top w:val="none" w:sz="0" w:space="0" w:color="auto"/>
                        <w:left w:val="none" w:sz="0" w:space="0" w:color="auto"/>
                        <w:bottom w:val="none" w:sz="0" w:space="0" w:color="auto"/>
                        <w:right w:val="none" w:sz="0" w:space="0" w:color="auto"/>
                      </w:divBdr>
                    </w:div>
                    <w:div w:id="4917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2178">
      <w:bodyDiv w:val="1"/>
      <w:marLeft w:val="0"/>
      <w:marRight w:val="0"/>
      <w:marTop w:val="0"/>
      <w:marBottom w:val="0"/>
      <w:divBdr>
        <w:top w:val="none" w:sz="0" w:space="0" w:color="auto"/>
        <w:left w:val="none" w:sz="0" w:space="0" w:color="auto"/>
        <w:bottom w:val="none" w:sz="0" w:space="0" w:color="auto"/>
        <w:right w:val="none" w:sz="0" w:space="0" w:color="auto"/>
      </w:divBdr>
    </w:div>
    <w:div w:id="1690644598">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52043902">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6437347">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24156519">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892882709">
      <w:bodyDiv w:val="1"/>
      <w:marLeft w:val="0"/>
      <w:marRight w:val="0"/>
      <w:marTop w:val="0"/>
      <w:marBottom w:val="0"/>
      <w:divBdr>
        <w:top w:val="none" w:sz="0" w:space="0" w:color="auto"/>
        <w:left w:val="none" w:sz="0" w:space="0" w:color="auto"/>
        <w:bottom w:val="none" w:sz="0" w:space="0" w:color="auto"/>
        <w:right w:val="none" w:sz="0" w:space="0" w:color="auto"/>
      </w:divBdr>
    </w:div>
    <w:div w:id="1899629006">
      <w:bodyDiv w:val="1"/>
      <w:marLeft w:val="0"/>
      <w:marRight w:val="0"/>
      <w:marTop w:val="0"/>
      <w:marBottom w:val="0"/>
      <w:divBdr>
        <w:top w:val="none" w:sz="0" w:space="0" w:color="auto"/>
        <w:left w:val="none" w:sz="0" w:space="0" w:color="auto"/>
        <w:bottom w:val="none" w:sz="0" w:space="0" w:color="auto"/>
        <w:right w:val="none" w:sz="0" w:space="0" w:color="auto"/>
      </w:divBdr>
    </w:div>
    <w:div w:id="1902010694">
      <w:bodyDiv w:val="1"/>
      <w:marLeft w:val="0"/>
      <w:marRight w:val="0"/>
      <w:marTop w:val="0"/>
      <w:marBottom w:val="0"/>
      <w:divBdr>
        <w:top w:val="none" w:sz="0" w:space="0" w:color="auto"/>
        <w:left w:val="none" w:sz="0" w:space="0" w:color="auto"/>
        <w:bottom w:val="none" w:sz="0" w:space="0" w:color="auto"/>
        <w:right w:val="none" w:sz="0" w:space="0" w:color="auto"/>
      </w:divBdr>
    </w:div>
    <w:div w:id="1927379490">
      <w:bodyDiv w:val="1"/>
      <w:marLeft w:val="0"/>
      <w:marRight w:val="0"/>
      <w:marTop w:val="0"/>
      <w:marBottom w:val="0"/>
      <w:divBdr>
        <w:top w:val="none" w:sz="0" w:space="0" w:color="auto"/>
        <w:left w:val="none" w:sz="0" w:space="0" w:color="auto"/>
        <w:bottom w:val="none" w:sz="0" w:space="0" w:color="auto"/>
        <w:right w:val="none" w:sz="0" w:space="0" w:color="auto"/>
      </w:divBdr>
    </w:div>
    <w:div w:id="1960641421">
      <w:bodyDiv w:val="1"/>
      <w:marLeft w:val="0"/>
      <w:marRight w:val="0"/>
      <w:marTop w:val="0"/>
      <w:marBottom w:val="0"/>
      <w:divBdr>
        <w:top w:val="none" w:sz="0" w:space="0" w:color="auto"/>
        <w:left w:val="none" w:sz="0" w:space="0" w:color="auto"/>
        <w:bottom w:val="none" w:sz="0" w:space="0" w:color="auto"/>
        <w:right w:val="none" w:sz="0" w:space="0" w:color="auto"/>
      </w:divBdr>
      <w:divsChild>
        <w:div w:id="984703607">
          <w:marLeft w:val="0"/>
          <w:marRight w:val="0"/>
          <w:marTop w:val="0"/>
          <w:marBottom w:val="0"/>
          <w:divBdr>
            <w:top w:val="none" w:sz="0" w:space="0" w:color="auto"/>
            <w:left w:val="none" w:sz="0" w:space="0" w:color="auto"/>
            <w:bottom w:val="none" w:sz="0" w:space="0" w:color="auto"/>
            <w:right w:val="none" w:sz="0" w:space="0" w:color="auto"/>
          </w:divBdr>
          <w:divsChild>
            <w:div w:id="561410092">
              <w:marLeft w:val="0"/>
              <w:marRight w:val="0"/>
              <w:marTop w:val="0"/>
              <w:marBottom w:val="0"/>
              <w:divBdr>
                <w:top w:val="none" w:sz="0" w:space="0" w:color="auto"/>
                <w:left w:val="none" w:sz="0" w:space="0" w:color="auto"/>
                <w:bottom w:val="none" w:sz="0" w:space="0" w:color="auto"/>
                <w:right w:val="none" w:sz="0" w:space="0" w:color="auto"/>
              </w:divBdr>
              <w:divsChild>
                <w:div w:id="596712527">
                  <w:marLeft w:val="0"/>
                  <w:marRight w:val="0"/>
                  <w:marTop w:val="0"/>
                  <w:marBottom w:val="0"/>
                  <w:divBdr>
                    <w:top w:val="none" w:sz="0" w:space="0" w:color="auto"/>
                    <w:left w:val="none" w:sz="0" w:space="0" w:color="auto"/>
                    <w:bottom w:val="none" w:sz="0" w:space="0" w:color="auto"/>
                    <w:right w:val="none" w:sz="0" w:space="0" w:color="auto"/>
                  </w:divBdr>
                  <w:divsChild>
                    <w:div w:id="21229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7764">
          <w:marLeft w:val="0"/>
          <w:marRight w:val="0"/>
          <w:marTop w:val="0"/>
          <w:marBottom w:val="0"/>
          <w:divBdr>
            <w:top w:val="none" w:sz="0" w:space="0" w:color="auto"/>
            <w:left w:val="none" w:sz="0" w:space="0" w:color="auto"/>
            <w:bottom w:val="none" w:sz="0" w:space="0" w:color="auto"/>
            <w:right w:val="none" w:sz="0" w:space="0" w:color="auto"/>
          </w:divBdr>
          <w:divsChild>
            <w:div w:id="516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066754711">
      <w:bodyDiv w:val="1"/>
      <w:marLeft w:val="0"/>
      <w:marRight w:val="0"/>
      <w:marTop w:val="0"/>
      <w:marBottom w:val="0"/>
      <w:divBdr>
        <w:top w:val="none" w:sz="0" w:space="0" w:color="auto"/>
        <w:left w:val="none" w:sz="0" w:space="0" w:color="auto"/>
        <w:bottom w:val="none" w:sz="0" w:space="0" w:color="auto"/>
        <w:right w:val="none" w:sz="0" w:space="0" w:color="auto"/>
      </w:divBdr>
    </w:div>
    <w:div w:id="2077820128">
      <w:bodyDiv w:val="1"/>
      <w:marLeft w:val="0"/>
      <w:marRight w:val="0"/>
      <w:marTop w:val="0"/>
      <w:marBottom w:val="0"/>
      <w:divBdr>
        <w:top w:val="none" w:sz="0" w:space="0" w:color="auto"/>
        <w:left w:val="none" w:sz="0" w:space="0" w:color="auto"/>
        <w:bottom w:val="none" w:sz="0" w:space="0" w:color="auto"/>
        <w:right w:val="none" w:sz="0" w:space="0" w:color="auto"/>
      </w:divBdr>
      <w:divsChild>
        <w:div w:id="797142801">
          <w:marLeft w:val="0"/>
          <w:marRight w:val="0"/>
          <w:marTop w:val="0"/>
          <w:marBottom w:val="0"/>
          <w:divBdr>
            <w:top w:val="none" w:sz="0" w:space="0" w:color="auto"/>
            <w:left w:val="none" w:sz="0" w:space="0" w:color="auto"/>
            <w:bottom w:val="none" w:sz="0" w:space="0" w:color="auto"/>
            <w:right w:val="none" w:sz="0" w:space="0" w:color="auto"/>
          </w:divBdr>
          <w:divsChild>
            <w:div w:id="1342664433">
              <w:marLeft w:val="0"/>
              <w:marRight w:val="0"/>
              <w:marTop w:val="0"/>
              <w:marBottom w:val="0"/>
              <w:divBdr>
                <w:top w:val="none" w:sz="0" w:space="0" w:color="auto"/>
                <w:left w:val="none" w:sz="0" w:space="0" w:color="auto"/>
                <w:bottom w:val="none" w:sz="0" w:space="0" w:color="auto"/>
                <w:right w:val="none" w:sz="0" w:space="0" w:color="auto"/>
              </w:divBdr>
              <w:divsChild>
                <w:div w:id="451098950">
                  <w:marLeft w:val="0"/>
                  <w:marRight w:val="0"/>
                  <w:marTop w:val="0"/>
                  <w:marBottom w:val="0"/>
                  <w:divBdr>
                    <w:top w:val="none" w:sz="0" w:space="0" w:color="auto"/>
                    <w:left w:val="none" w:sz="0" w:space="0" w:color="auto"/>
                    <w:bottom w:val="none" w:sz="0" w:space="0" w:color="auto"/>
                    <w:right w:val="none" w:sz="0" w:space="0" w:color="auto"/>
                  </w:divBdr>
                  <w:divsChild>
                    <w:div w:id="306978655">
                      <w:marLeft w:val="0"/>
                      <w:marRight w:val="0"/>
                      <w:marTop w:val="0"/>
                      <w:marBottom w:val="0"/>
                      <w:divBdr>
                        <w:top w:val="none" w:sz="0" w:space="0" w:color="auto"/>
                        <w:left w:val="none" w:sz="0" w:space="0" w:color="auto"/>
                        <w:bottom w:val="none" w:sz="0" w:space="0" w:color="auto"/>
                        <w:right w:val="none" w:sz="0" w:space="0" w:color="auto"/>
                      </w:divBdr>
                      <w:divsChild>
                        <w:div w:id="813254168">
                          <w:marLeft w:val="0"/>
                          <w:marRight w:val="0"/>
                          <w:marTop w:val="0"/>
                          <w:marBottom w:val="0"/>
                          <w:divBdr>
                            <w:top w:val="none" w:sz="0" w:space="0" w:color="auto"/>
                            <w:left w:val="none" w:sz="0" w:space="0" w:color="auto"/>
                            <w:bottom w:val="none" w:sz="0" w:space="0" w:color="auto"/>
                            <w:right w:val="none" w:sz="0" w:space="0" w:color="auto"/>
                          </w:divBdr>
                          <w:divsChild>
                            <w:div w:id="1986859167">
                              <w:marLeft w:val="0"/>
                              <w:marRight w:val="0"/>
                              <w:marTop w:val="420"/>
                              <w:marBottom w:val="420"/>
                              <w:divBdr>
                                <w:top w:val="none" w:sz="0" w:space="0" w:color="auto"/>
                                <w:left w:val="none" w:sz="0" w:space="0" w:color="auto"/>
                                <w:bottom w:val="none" w:sz="0" w:space="0" w:color="auto"/>
                                <w:right w:val="none" w:sz="0" w:space="0" w:color="auto"/>
                              </w:divBdr>
                            </w:div>
                            <w:div w:id="796143761">
                              <w:marLeft w:val="0"/>
                              <w:marRight w:val="0"/>
                              <w:marTop w:val="420"/>
                              <w:marBottom w:val="420"/>
                              <w:divBdr>
                                <w:top w:val="none" w:sz="0" w:space="0" w:color="auto"/>
                                <w:left w:val="none" w:sz="0" w:space="0" w:color="auto"/>
                                <w:bottom w:val="none" w:sz="0" w:space="0" w:color="auto"/>
                                <w:right w:val="none" w:sz="0" w:space="0" w:color="auto"/>
                              </w:divBdr>
                            </w:div>
                            <w:div w:id="1021736212">
                              <w:marLeft w:val="0"/>
                              <w:marRight w:val="0"/>
                              <w:marTop w:val="420"/>
                              <w:marBottom w:val="420"/>
                              <w:divBdr>
                                <w:top w:val="none" w:sz="0" w:space="0" w:color="auto"/>
                                <w:left w:val="none" w:sz="0" w:space="0" w:color="auto"/>
                                <w:bottom w:val="none" w:sz="0" w:space="0" w:color="auto"/>
                                <w:right w:val="none" w:sz="0" w:space="0" w:color="auto"/>
                              </w:divBdr>
                            </w:div>
                            <w:div w:id="523372749">
                              <w:marLeft w:val="0"/>
                              <w:marRight w:val="0"/>
                              <w:marTop w:val="420"/>
                              <w:marBottom w:val="420"/>
                              <w:divBdr>
                                <w:top w:val="none" w:sz="0" w:space="0" w:color="auto"/>
                                <w:left w:val="none" w:sz="0" w:space="0" w:color="auto"/>
                                <w:bottom w:val="none" w:sz="0" w:space="0" w:color="auto"/>
                                <w:right w:val="none" w:sz="0" w:space="0" w:color="auto"/>
                              </w:divBdr>
                            </w:div>
                            <w:div w:id="479882733">
                              <w:marLeft w:val="0"/>
                              <w:marRight w:val="0"/>
                              <w:marTop w:val="420"/>
                              <w:marBottom w:val="420"/>
                              <w:divBdr>
                                <w:top w:val="none" w:sz="0" w:space="0" w:color="auto"/>
                                <w:left w:val="none" w:sz="0" w:space="0" w:color="auto"/>
                                <w:bottom w:val="none" w:sz="0" w:space="0" w:color="auto"/>
                                <w:right w:val="none" w:sz="0" w:space="0" w:color="auto"/>
                              </w:divBdr>
                            </w:div>
                            <w:div w:id="1176991406">
                              <w:marLeft w:val="0"/>
                              <w:marRight w:val="0"/>
                              <w:marTop w:val="420"/>
                              <w:marBottom w:val="420"/>
                              <w:divBdr>
                                <w:top w:val="none" w:sz="0" w:space="0" w:color="auto"/>
                                <w:left w:val="none" w:sz="0" w:space="0" w:color="auto"/>
                                <w:bottom w:val="none" w:sz="0" w:space="0" w:color="auto"/>
                                <w:right w:val="none" w:sz="0" w:space="0" w:color="auto"/>
                              </w:divBdr>
                            </w:div>
                            <w:div w:id="417486003">
                              <w:marLeft w:val="0"/>
                              <w:marRight w:val="0"/>
                              <w:marTop w:val="420"/>
                              <w:marBottom w:val="420"/>
                              <w:divBdr>
                                <w:top w:val="none" w:sz="0" w:space="0" w:color="auto"/>
                                <w:left w:val="none" w:sz="0" w:space="0" w:color="auto"/>
                                <w:bottom w:val="none" w:sz="0" w:space="0" w:color="auto"/>
                                <w:right w:val="none" w:sz="0" w:space="0" w:color="auto"/>
                              </w:divBdr>
                            </w:div>
                            <w:div w:id="54934091">
                              <w:marLeft w:val="0"/>
                              <w:marRight w:val="0"/>
                              <w:marTop w:val="420"/>
                              <w:marBottom w:val="420"/>
                              <w:divBdr>
                                <w:top w:val="none" w:sz="0" w:space="0" w:color="auto"/>
                                <w:left w:val="none" w:sz="0" w:space="0" w:color="auto"/>
                                <w:bottom w:val="none" w:sz="0" w:space="0" w:color="auto"/>
                                <w:right w:val="none" w:sz="0" w:space="0" w:color="auto"/>
                              </w:divBdr>
                            </w:div>
                            <w:div w:id="1731877736">
                              <w:marLeft w:val="0"/>
                              <w:marRight w:val="0"/>
                              <w:marTop w:val="420"/>
                              <w:marBottom w:val="420"/>
                              <w:divBdr>
                                <w:top w:val="none" w:sz="0" w:space="0" w:color="auto"/>
                                <w:left w:val="none" w:sz="0" w:space="0" w:color="auto"/>
                                <w:bottom w:val="none" w:sz="0" w:space="0" w:color="auto"/>
                                <w:right w:val="none" w:sz="0" w:space="0" w:color="auto"/>
                              </w:divBdr>
                            </w:div>
                            <w:div w:id="1120801757">
                              <w:marLeft w:val="0"/>
                              <w:marRight w:val="0"/>
                              <w:marTop w:val="420"/>
                              <w:marBottom w:val="420"/>
                              <w:divBdr>
                                <w:top w:val="none" w:sz="0" w:space="0" w:color="auto"/>
                                <w:left w:val="none" w:sz="0" w:space="0" w:color="auto"/>
                                <w:bottom w:val="none" w:sz="0" w:space="0" w:color="auto"/>
                                <w:right w:val="none" w:sz="0" w:space="0" w:color="auto"/>
                              </w:divBdr>
                            </w:div>
                            <w:div w:id="505052455">
                              <w:marLeft w:val="0"/>
                              <w:marRight w:val="0"/>
                              <w:marTop w:val="420"/>
                              <w:marBottom w:val="420"/>
                              <w:divBdr>
                                <w:top w:val="none" w:sz="0" w:space="0" w:color="auto"/>
                                <w:left w:val="none" w:sz="0" w:space="0" w:color="auto"/>
                                <w:bottom w:val="none" w:sz="0" w:space="0" w:color="auto"/>
                                <w:right w:val="none" w:sz="0" w:space="0" w:color="auto"/>
                              </w:divBdr>
                            </w:div>
                            <w:div w:id="2102339214">
                              <w:marLeft w:val="0"/>
                              <w:marRight w:val="0"/>
                              <w:marTop w:val="420"/>
                              <w:marBottom w:val="420"/>
                              <w:divBdr>
                                <w:top w:val="none" w:sz="0" w:space="0" w:color="auto"/>
                                <w:left w:val="none" w:sz="0" w:space="0" w:color="auto"/>
                                <w:bottom w:val="none" w:sz="0" w:space="0" w:color="auto"/>
                                <w:right w:val="none" w:sz="0" w:space="0" w:color="auto"/>
                              </w:divBdr>
                            </w:div>
                            <w:div w:id="845753367">
                              <w:marLeft w:val="0"/>
                              <w:marRight w:val="0"/>
                              <w:marTop w:val="420"/>
                              <w:marBottom w:val="420"/>
                              <w:divBdr>
                                <w:top w:val="none" w:sz="0" w:space="0" w:color="auto"/>
                                <w:left w:val="none" w:sz="0" w:space="0" w:color="auto"/>
                                <w:bottom w:val="none" w:sz="0" w:space="0" w:color="auto"/>
                                <w:right w:val="none" w:sz="0" w:space="0" w:color="auto"/>
                              </w:divBdr>
                            </w:div>
                            <w:div w:id="49153100">
                              <w:marLeft w:val="0"/>
                              <w:marRight w:val="0"/>
                              <w:marTop w:val="420"/>
                              <w:marBottom w:val="420"/>
                              <w:divBdr>
                                <w:top w:val="none" w:sz="0" w:space="0" w:color="auto"/>
                                <w:left w:val="none" w:sz="0" w:space="0" w:color="auto"/>
                                <w:bottom w:val="none" w:sz="0" w:space="0" w:color="auto"/>
                                <w:right w:val="none" w:sz="0" w:space="0" w:color="auto"/>
                              </w:divBdr>
                            </w:div>
                            <w:div w:id="1664815926">
                              <w:marLeft w:val="0"/>
                              <w:marRight w:val="0"/>
                              <w:marTop w:val="420"/>
                              <w:marBottom w:val="420"/>
                              <w:divBdr>
                                <w:top w:val="none" w:sz="0" w:space="0" w:color="auto"/>
                                <w:left w:val="none" w:sz="0" w:space="0" w:color="auto"/>
                                <w:bottom w:val="none" w:sz="0" w:space="0" w:color="auto"/>
                                <w:right w:val="none" w:sz="0" w:space="0" w:color="auto"/>
                              </w:divBdr>
                            </w:div>
                            <w:div w:id="274144898">
                              <w:marLeft w:val="0"/>
                              <w:marRight w:val="0"/>
                              <w:marTop w:val="420"/>
                              <w:marBottom w:val="420"/>
                              <w:divBdr>
                                <w:top w:val="none" w:sz="0" w:space="0" w:color="auto"/>
                                <w:left w:val="none" w:sz="0" w:space="0" w:color="auto"/>
                                <w:bottom w:val="none" w:sz="0" w:space="0" w:color="auto"/>
                                <w:right w:val="none" w:sz="0" w:space="0" w:color="auto"/>
                              </w:divBdr>
                            </w:div>
                            <w:div w:id="210541260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91727849">
      <w:bodyDiv w:val="1"/>
      <w:marLeft w:val="0"/>
      <w:marRight w:val="0"/>
      <w:marTop w:val="0"/>
      <w:marBottom w:val="0"/>
      <w:divBdr>
        <w:top w:val="none" w:sz="0" w:space="0" w:color="auto"/>
        <w:left w:val="none" w:sz="0" w:space="0" w:color="auto"/>
        <w:bottom w:val="none" w:sz="0" w:space="0" w:color="auto"/>
        <w:right w:val="none" w:sz="0" w:space="0" w:color="auto"/>
      </w:divBdr>
    </w:div>
    <w:div w:id="2095781771">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3626528">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19399619">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rs.gov/pub/irs-drop/td-9949.pdf" TargetMode="External"/><Relationship Id="rId26" Type="http://schemas.openxmlformats.org/officeDocument/2006/relationships/hyperlink" Target="https://www.irs.gov/pub/irs-drop/td-9949.pdf" TargetMode="External"/><Relationship Id="rId39" Type="http://schemas.openxmlformats.org/officeDocument/2006/relationships/hyperlink" Target="https://benefitcomply.com/irs-guidance-on-covid-related-cafeteria-plan-flexibility/" TargetMode="External"/><Relationship Id="rId21" Type="http://schemas.openxmlformats.org/officeDocument/2006/relationships/hyperlink" Target="https://www.cms.gov/files/document/extension-limited-non-enforcement-policy-through-calendar-year-2022.pdf" TargetMode="External"/><Relationship Id="rId34" Type="http://schemas.openxmlformats.org/officeDocument/2006/relationships/hyperlink" Target="https://www.whitehouse.gov/briefing-room/presidential-actions/2021/01/28/executive-order-on-strengthening-medicaid-and-the-affordable-care-act/" TargetMode="External"/><Relationship Id="rId42" Type="http://schemas.openxmlformats.org/officeDocument/2006/relationships/hyperlink" Target="https://content.next.westlaw.com/w-030-0295?isplcus=true&amp;transitionType=Default&amp;contextData=(sc.Default)&amp;firstPage=true" TargetMode="External"/><Relationship Id="rId47" Type="http://schemas.openxmlformats.org/officeDocument/2006/relationships/hyperlink" Target="https://benefitcomply.com/significant-employee-benefit-changes-contained-in-the-american-rescue-plan-act-arpa/"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he.gov/emergency/news/healthactions/phe/Pages/covid19-07Jan2021.aspx" TargetMode="External"/><Relationship Id="rId29" Type="http://schemas.openxmlformats.org/officeDocument/2006/relationships/hyperlink" Target="https://www.cms.gov/files/document/extension-limited-non-enforcement-policy-through-calendar-year-2022.pdf" TargetMode="External"/><Relationship Id="rId11" Type="http://schemas.openxmlformats.org/officeDocument/2006/relationships/hyperlink" Target="https://www.irs.gov/individuals/understanding-your-letter-226-j" TargetMode="External"/><Relationship Id="rId24" Type="http://schemas.openxmlformats.org/officeDocument/2006/relationships/hyperlink" Target="https://www.phe.gov/emergency/news/healthactions/phe/Pages/covid19-07Jan2021.aspx" TargetMode="External"/><Relationship Id="rId32" Type="http://schemas.openxmlformats.org/officeDocument/2006/relationships/hyperlink" Target="https://www.irs.gov/pub/irs-prior/p502--2020.pdf" TargetMode="External"/><Relationship Id="rId37" Type="http://schemas.openxmlformats.org/officeDocument/2006/relationships/hyperlink" Target="https://www.whitehouse.gov/briefing-room/presidential-actions/2021/01/28/executive-order-on-strengthening-medicaid-and-the-affordable-care-act/" TargetMode="External"/><Relationship Id="rId40" Type="http://schemas.openxmlformats.org/officeDocument/2006/relationships/hyperlink" Target="https://benefitcomply.com/new-dol-outbreak-period-and-extended-time-frames-guidance/" TargetMode="External"/><Relationship Id="rId45" Type="http://schemas.openxmlformats.org/officeDocument/2006/relationships/hyperlink" Target="https://content.next.westlaw.com/w-030-0295?isplcus=true&amp;transitionType=Default&amp;contextData=(sc.Default)&amp;firstPage=true" TargetMode="External"/><Relationship Id="rId5" Type="http://schemas.openxmlformats.org/officeDocument/2006/relationships/styles" Target="styles.xml"/><Relationship Id="rId15" Type="http://schemas.openxmlformats.org/officeDocument/2006/relationships/hyperlink" Target="https://www.healthlawadvisor.com/2021/01/08/hitech-act-amendment-incentivizes-adoption-of-nist-and-other-recognized-cybersecurity-safeguards-as-a-defense-or-mitigation-to-hipaa-enforcement/" TargetMode="External"/><Relationship Id="rId23" Type="http://schemas.openxmlformats.org/officeDocument/2006/relationships/hyperlink" Target="https://www.healthlawadvisor.com/2021/01/08/hitech-act-amendment-incentivizes-adoption-of-nist-and-other-recognized-cybersecurity-safeguards-as-a-defense-or-mitigation-to-hipaa-enforcement/" TargetMode="External"/><Relationship Id="rId28" Type="http://schemas.openxmlformats.org/officeDocument/2006/relationships/hyperlink" Target="https://aspe.hhs.gov/poverty-guidelines" TargetMode="External"/><Relationship Id="rId36" Type="http://schemas.openxmlformats.org/officeDocument/2006/relationships/hyperlink" Target="https://www.govinfo.gov/content/pkg/FR-2021-01-19/pdf/2021-01175.pdf" TargetMode="External"/><Relationship Id="rId49" Type="http://schemas.openxmlformats.org/officeDocument/2006/relationships/footer" Target="footer2.xml"/><Relationship Id="rId10" Type="http://schemas.openxmlformats.org/officeDocument/2006/relationships/hyperlink" Target="https://benefitcomply.com/affordability-considerations/" TargetMode="External"/><Relationship Id="rId19" Type="http://schemas.openxmlformats.org/officeDocument/2006/relationships/hyperlink" Target="http://benefitcomply.com/compliance-alert-irs-releases-proposed-ichra-rules/" TargetMode="External"/><Relationship Id="rId31" Type="http://schemas.openxmlformats.org/officeDocument/2006/relationships/hyperlink" Target="https://benefitcomply.com/hhs-issues-proposed-modifications-to-the-hipaa-privacy-rule/" TargetMode="External"/><Relationship Id="rId44" Type="http://schemas.openxmlformats.org/officeDocument/2006/relationships/hyperlink" Target="https://www.dol.gov/sites/dolgov/files/EBSA/about-ebsa/our-activities/resource-center/faqs/aca-part-44.pd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116/bills/hr7898/BILLS-116hr7898eh.pdf" TargetMode="External"/><Relationship Id="rId22" Type="http://schemas.openxmlformats.org/officeDocument/2006/relationships/hyperlink" Target="https://www.congress.gov/116/bills/hr7898/BILLS-116hr7898eh.pdf" TargetMode="External"/><Relationship Id="rId27" Type="http://schemas.openxmlformats.org/officeDocument/2006/relationships/hyperlink" Target="http://benefitcomply.com/compliance-alert-irs-releases-proposed-ichra-rules/" TargetMode="External"/><Relationship Id="rId30" Type="http://schemas.openxmlformats.org/officeDocument/2006/relationships/hyperlink" Target="https://benefitcomply.com/eeoc-proposed-wellness-rules-addressing-permitted-incentive-limits/" TargetMode="External"/><Relationship Id="rId35" Type="http://schemas.openxmlformats.org/officeDocument/2006/relationships/hyperlink" Target="https://www.irs.gov/pub/irs-prior/p502--2020.pdf" TargetMode="External"/><Relationship Id="rId43" Type="http://schemas.openxmlformats.org/officeDocument/2006/relationships/hyperlink" Target="https://www.irs.gov/pub/irs-drop/n-21-21.pdf" TargetMode="External"/><Relationship Id="rId48" Type="http://schemas.openxmlformats.org/officeDocument/2006/relationships/hyperlink" Target="https://benefitcomply.com/ocr-releases-report-of-second-phase-hipaa-audit-findings/" TargetMode="External"/><Relationship Id="rId8" Type="http://schemas.openxmlformats.org/officeDocument/2006/relationships/footnotes" Target="footnot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irs.gov/individuals/understanding-your-letter-227" TargetMode="External"/><Relationship Id="rId17" Type="http://schemas.openxmlformats.org/officeDocument/2006/relationships/hyperlink" Target="https://www.govinfo.gov/content/pkg/FR-2021-01-14/pdf/2021-00018.pdf" TargetMode="External"/><Relationship Id="rId25" Type="http://schemas.openxmlformats.org/officeDocument/2006/relationships/hyperlink" Target="https://www.govinfo.gov/content/pkg/FR-2021-01-14/pdf/2021-00018.pdf" TargetMode="External"/><Relationship Id="rId33" Type="http://schemas.openxmlformats.org/officeDocument/2006/relationships/hyperlink" Target="https://www.govinfo.gov/content/pkg/FR-2021-01-19/pdf/2021-01175.pdf" TargetMode="External"/><Relationship Id="rId38" Type="http://schemas.openxmlformats.org/officeDocument/2006/relationships/hyperlink" Target="https://benefitcomply.com/enforcement-efforts-for-mental-health-parity-new-comparative-analysis/" TargetMode="External"/><Relationship Id="rId46" Type="http://schemas.openxmlformats.org/officeDocument/2006/relationships/hyperlink" Target="https://www.irs.gov/pub/irs-drop/n-21-21.pdf" TargetMode="External"/><Relationship Id="rId20" Type="http://schemas.openxmlformats.org/officeDocument/2006/relationships/hyperlink" Target="https://aspe.hhs.gov/poverty-guidelines" TargetMode="External"/><Relationship Id="rId41" Type="http://schemas.openxmlformats.org/officeDocument/2006/relationships/hyperlink" Target="https://www.dol.gov/sites/dolgov/files/EBSA/about-ebsa/our-activities/resource-center/faqs/aca-part-44.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3500D"/>
    <w:rsid w:val="00075478"/>
    <w:rsid w:val="000C0F45"/>
    <w:rsid w:val="000D0BB1"/>
    <w:rsid w:val="00256FD2"/>
    <w:rsid w:val="00296201"/>
    <w:rsid w:val="002D72CD"/>
    <w:rsid w:val="00683449"/>
    <w:rsid w:val="0070414A"/>
    <w:rsid w:val="00817030"/>
    <w:rsid w:val="0087441E"/>
    <w:rsid w:val="00912FBC"/>
    <w:rsid w:val="00922DB4"/>
    <w:rsid w:val="00942F34"/>
    <w:rsid w:val="009B44C4"/>
    <w:rsid w:val="00A035F5"/>
    <w:rsid w:val="00AB1C8C"/>
    <w:rsid w:val="00B61CFD"/>
    <w:rsid w:val="00C10942"/>
    <w:rsid w:val="00C30937"/>
    <w:rsid w:val="00CF31DF"/>
    <w:rsid w:val="00D27F04"/>
    <w:rsid w:val="00DB0458"/>
    <w:rsid w:val="00DD23B4"/>
    <w:rsid w:val="00DD3932"/>
    <w:rsid w:val="00DD5987"/>
    <w:rsid w:val="00F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D6E8A713ED24886BA01C76841B757">
    <w:name w:val="77DD6E8A713ED24886BA01C76841B757"/>
    <w:rsid w:val="00AB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8252BA85-BC3B-4AC0-951D-288F94E9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1</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Ben James</cp:lastModifiedBy>
  <cp:revision>2</cp:revision>
  <cp:lastPrinted>2021-04-05T21:30:00Z</cp:lastPrinted>
  <dcterms:created xsi:type="dcterms:W3CDTF">2021-04-05T21:36:00Z</dcterms:created>
  <dcterms:modified xsi:type="dcterms:W3CDTF">2021-04-05T21:36:00Z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