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7216"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46B57866"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46B57866" w:rsidR="00D147A9" w:rsidRPr="000B4DEA" w:rsidRDefault="00160EF0" w:rsidP="006B5260">
                      <w:pPr>
                        <w:jc w:val="center"/>
                        <w:rPr>
                          <w:color w:val="FFFFFF"/>
                          <w:spacing w:val="40"/>
                          <w:sz w:val="44"/>
                          <w:szCs w:val="44"/>
                        </w:rPr>
                      </w:pPr>
                      <w:r>
                        <w:rPr>
                          <w:color w:val="FFFFFF"/>
                          <w:spacing w:val="40"/>
                          <w:sz w:val="44"/>
                          <w:szCs w:val="44"/>
                        </w:rPr>
                        <w:t>Issue Brief</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0"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26E0FCDF" w14:textId="7B613696" w:rsidR="003443F3" w:rsidRDefault="00D97437" w:rsidP="00740643">
      <w:pPr>
        <w:ind w:left="0"/>
        <w:rPr>
          <w:b/>
          <w:sz w:val="24"/>
          <w:szCs w:val="24"/>
        </w:rPr>
      </w:pPr>
      <w:r>
        <w:rPr>
          <w:b/>
          <w:sz w:val="24"/>
          <w:szCs w:val="24"/>
        </w:rPr>
        <w:t xml:space="preserve">Agency FAQs Clarifying </w:t>
      </w:r>
      <w:r w:rsidR="00AC699E">
        <w:rPr>
          <w:b/>
          <w:sz w:val="24"/>
          <w:szCs w:val="24"/>
        </w:rPr>
        <w:t>Mental Health Parity Comparative Analysis</w:t>
      </w:r>
    </w:p>
    <w:p w14:paraId="2051CFBB" w14:textId="77777777" w:rsidR="003443F3" w:rsidRDefault="003443F3" w:rsidP="00740643">
      <w:pPr>
        <w:ind w:left="0"/>
      </w:pPr>
    </w:p>
    <w:p w14:paraId="7D9AEECE" w14:textId="34F4BB95" w:rsidR="003443F3" w:rsidRPr="00D20E25" w:rsidRDefault="003443F3" w:rsidP="00740643">
      <w:pPr>
        <w:ind w:left="0"/>
      </w:pPr>
      <w:r w:rsidRPr="00D20E25">
        <w:t xml:space="preserve">Issue Date: </w:t>
      </w:r>
      <w:r w:rsidR="00D97437">
        <w:t>April</w:t>
      </w:r>
      <w:r>
        <w:t xml:space="preserve"> 2021</w:t>
      </w:r>
    </w:p>
    <w:p w14:paraId="3BC845AE" w14:textId="682290FA" w:rsidR="003443F3" w:rsidRDefault="003443F3" w:rsidP="00B21B12">
      <w:pPr>
        <w:ind w:left="0"/>
      </w:pPr>
    </w:p>
    <w:p w14:paraId="5ADCB227" w14:textId="6BCC4A21" w:rsidR="00B0091A" w:rsidRPr="00B0091A" w:rsidRDefault="00B0091A" w:rsidP="00D65434">
      <w:pPr>
        <w:ind w:left="0"/>
        <w:rPr>
          <w:b/>
          <w:bCs/>
        </w:rPr>
      </w:pPr>
      <w:r>
        <w:rPr>
          <w:b/>
          <w:bCs/>
        </w:rPr>
        <w:t>Introduction</w:t>
      </w:r>
    </w:p>
    <w:p w14:paraId="568F81BC" w14:textId="5D2D0119" w:rsidR="00B0091A" w:rsidRDefault="00D65434" w:rsidP="00B0091A">
      <w:pPr>
        <w:ind w:left="0"/>
      </w:pPr>
      <w:r>
        <w:t xml:space="preserve">The Departments of Labor (DOL), Health and Human Services (HHS), and the Treasury (collectively, “the Departments”) released </w:t>
      </w:r>
      <w:r w:rsidR="002F3C59">
        <w:t xml:space="preserve">frequently asked questions (FAQs) </w:t>
      </w:r>
      <w:r>
        <w:t>at the end of last week</w:t>
      </w:r>
      <w:r w:rsidR="002F3C59">
        <w:t xml:space="preserve"> to provide guidance </w:t>
      </w:r>
      <w:r w:rsidR="00285B0C">
        <w:t>for</w:t>
      </w:r>
      <w:r w:rsidR="002F3C59">
        <w:t xml:space="preserve"> </w:t>
      </w:r>
      <w:r w:rsidR="007C56EF">
        <w:t xml:space="preserve">the </w:t>
      </w:r>
      <w:r w:rsidR="00285B0C">
        <w:t xml:space="preserve">mental health parity </w:t>
      </w:r>
      <w:r w:rsidR="007C56EF">
        <w:t>comparative analysis</w:t>
      </w:r>
      <w:r w:rsidR="002F3C59">
        <w:t xml:space="preserve"> requirement that </w:t>
      </w:r>
      <w:r w:rsidR="00285B0C">
        <w:t>went</w:t>
      </w:r>
      <w:r w:rsidR="002F3C59">
        <w:t xml:space="preserve"> into effect</w:t>
      </w:r>
      <w:r w:rsidR="00285B0C">
        <w:t xml:space="preserve"> on February 10, 2021</w:t>
      </w:r>
      <w:r w:rsidR="00682722">
        <w:t>.</w:t>
      </w:r>
      <w:r w:rsidR="000D5FC5">
        <w:t xml:space="preserve"> The FAQs </w:t>
      </w:r>
      <w:r w:rsidR="005545F4">
        <w:t xml:space="preserve">confirm that </w:t>
      </w:r>
      <w:r w:rsidR="00604207">
        <w:t xml:space="preserve">group health </w:t>
      </w:r>
      <w:r w:rsidR="005545F4">
        <w:t xml:space="preserve">plans </w:t>
      </w:r>
      <w:r w:rsidR="00604207">
        <w:t xml:space="preserve">that are subject to the mental health parity rules </w:t>
      </w:r>
      <w:r w:rsidR="005545F4">
        <w:t>should now be prepared to make the analysis available upon request by federal or state agencies, or for plans subject to ERISA, by plan participants.</w:t>
      </w:r>
      <w:r w:rsidR="00682722">
        <w:t xml:space="preserve"> </w:t>
      </w:r>
      <w:r w:rsidR="009C1377">
        <w:t xml:space="preserve">In addition, the FAQs </w:t>
      </w:r>
      <w:r w:rsidR="00DA1526">
        <w:t xml:space="preserve">point to the steps in the DOL’s </w:t>
      </w:r>
      <w:r w:rsidR="005A7427">
        <w:t>Self-Compliance Tool as a guide for what is expected</w:t>
      </w:r>
      <w:r w:rsidR="004558C3">
        <w:t xml:space="preserve"> to be included in the analysis. </w:t>
      </w:r>
      <w:r w:rsidR="00A9107A">
        <w:t>Insurance carriers will handle the analysis requirement for fully-insured plans, but employers offering self-funded group health plans need to be taking steps to comply.</w:t>
      </w:r>
      <w:r w:rsidR="00405463">
        <w:t xml:space="preserve"> The FAQ may be found here: </w:t>
      </w:r>
      <w:hyperlink r:id="rId12" w:history="1">
        <w:r w:rsidR="00405463">
          <w:rPr>
            <w:rStyle w:val="Hyperlink"/>
          </w:rPr>
          <w:t>https://www.dol.gov/sites/dolgov/files/EBSA/about-ebsa/our-activities/resource-center/faqs/aca-part-45.pdf</w:t>
        </w:r>
      </w:hyperlink>
      <w:r w:rsidR="00405463">
        <w:t>.</w:t>
      </w:r>
    </w:p>
    <w:p w14:paraId="3A0B2D43" w14:textId="77777777" w:rsidR="00B0091A" w:rsidRDefault="00B0091A" w:rsidP="00B0091A">
      <w:pPr>
        <w:ind w:left="0"/>
      </w:pPr>
    </w:p>
    <w:p w14:paraId="30954A05" w14:textId="5A70F245" w:rsidR="00AA19CC" w:rsidRPr="00B0091A" w:rsidRDefault="006F0090" w:rsidP="00B0091A">
      <w:pPr>
        <w:ind w:left="0"/>
      </w:pPr>
      <w:r>
        <w:rPr>
          <w:rFonts w:cs="Arial"/>
          <w:b/>
          <w:bCs/>
          <w:szCs w:val="20"/>
        </w:rPr>
        <w:t>Comparative Analysis Requirements</w:t>
      </w:r>
    </w:p>
    <w:p w14:paraId="10233296" w14:textId="34C667B2" w:rsidR="00E942FB" w:rsidRPr="00B0091A" w:rsidRDefault="00A0061B" w:rsidP="00A0061B">
      <w:pPr>
        <w:ind w:left="0"/>
      </w:pPr>
      <w:r>
        <w:t xml:space="preserve">Most group health plans offering mental health and/or substance use disorder benefits are subject to the mental health parity rules and are therefore required to provide such benefits in parity with medical/surgical benefits and are now also required to prepare a comparative analysis documenting compliance for any non-quantitative treatment limitations (NQTLs). The analysis does not need to be </w:t>
      </w:r>
      <w:r w:rsidR="00B0091A">
        <w:t>submitted</w:t>
      </w:r>
      <w:r>
        <w:t xml:space="preserve"> annually, but instead is completed and kept up-to-date in the employer’s files and provided if requested (e.g. by a federal or state agency, or by plan participants). </w:t>
      </w:r>
      <w:r w:rsidR="00E42D98">
        <w:t xml:space="preserve">For more information on the which group health plans are subject to the mental health parity rules and the parity requirements, see our previous issue brief </w:t>
      </w:r>
      <w:r w:rsidR="00E942FB">
        <w:t xml:space="preserve">found here - </w:t>
      </w:r>
      <w:hyperlink r:id="rId13" w:history="1">
        <w:r w:rsidR="00E942FB" w:rsidRPr="004A1BD3">
          <w:rPr>
            <w:rStyle w:val="Hyperlink"/>
          </w:rPr>
          <w:t>https://benefitcomply.com/enforcement-efforts-for-mental-health-parity-new-comparative-analysis/</w:t>
        </w:r>
      </w:hyperlink>
      <w:r w:rsidR="00B0091A">
        <w:rPr>
          <w:rStyle w:val="Hyperlink"/>
          <w:color w:val="auto"/>
          <w:u w:val="none"/>
        </w:rPr>
        <w:t>.</w:t>
      </w:r>
    </w:p>
    <w:p w14:paraId="7B287635" w14:textId="149963B6" w:rsidR="00C50309" w:rsidRPr="00C50309" w:rsidRDefault="00C50309" w:rsidP="0007077C">
      <w:pPr>
        <w:pStyle w:val="NormalWeb"/>
        <w:spacing w:after="0" w:afterAutospacing="0"/>
        <w:rPr>
          <w:rFonts w:ascii="Arial" w:hAnsi="Arial" w:cs="Arial"/>
          <w:sz w:val="20"/>
          <w:szCs w:val="20"/>
        </w:rPr>
      </w:pPr>
      <w:r w:rsidRPr="00C50309">
        <w:rPr>
          <w:rFonts w:ascii="Arial" w:hAnsi="Arial" w:cs="Arial"/>
          <w:sz w:val="20"/>
          <w:szCs w:val="20"/>
        </w:rPr>
        <w:t xml:space="preserve">The comparative analysis is required to contain </w:t>
      </w:r>
      <w:r w:rsidR="00BA0C44">
        <w:rPr>
          <w:rFonts w:ascii="Arial" w:hAnsi="Arial" w:cs="Arial"/>
          <w:sz w:val="20"/>
          <w:szCs w:val="20"/>
        </w:rPr>
        <w:t xml:space="preserve">at least </w:t>
      </w:r>
      <w:r w:rsidRPr="00C50309">
        <w:rPr>
          <w:rFonts w:ascii="Arial" w:hAnsi="Arial" w:cs="Arial"/>
          <w:sz w:val="20"/>
          <w:szCs w:val="20"/>
        </w:rPr>
        <w:t>the following information:</w:t>
      </w:r>
    </w:p>
    <w:p w14:paraId="54017BE5" w14:textId="77777777" w:rsidR="008534A9" w:rsidRDefault="00BB2FA4" w:rsidP="008534A9">
      <w:pPr>
        <w:pStyle w:val="ListParagraph"/>
        <w:numPr>
          <w:ilvl w:val="0"/>
          <w:numId w:val="30"/>
        </w:numPr>
        <w:rPr>
          <w:rFonts w:cs="Arial"/>
          <w:szCs w:val="20"/>
        </w:rPr>
      </w:pPr>
      <w:r w:rsidRPr="008534A9">
        <w:rPr>
          <w:rFonts w:cs="Arial"/>
          <w:szCs w:val="20"/>
        </w:rPr>
        <w:t>A clear description of the specific NQTL, plan terms, and policies at issue.</w:t>
      </w:r>
    </w:p>
    <w:p w14:paraId="0D88B405" w14:textId="77777777" w:rsidR="008534A9" w:rsidRDefault="00BB2FA4" w:rsidP="008534A9">
      <w:pPr>
        <w:pStyle w:val="ListParagraph"/>
        <w:numPr>
          <w:ilvl w:val="0"/>
          <w:numId w:val="30"/>
        </w:numPr>
        <w:rPr>
          <w:rFonts w:cs="Arial"/>
          <w:szCs w:val="20"/>
        </w:rPr>
      </w:pPr>
      <w:r w:rsidRPr="008534A9">
        <w:rPr>
          <w:rFonts w:cs="Arial"/>
          <w:szCs w:val="20"/>
        </w:rPr>
        <w:t>Identification of the specific benefits to which the NQTL applies</w:t>
      </w:r>
      <w:r w:rsidR="00E108ED" w:rsidRPr="008534A9">
        <w:rPr>
          <w:rFonts w:cs="Arial"/>
          <w:szCs w:val="20"/>
        </w:rPr>
        <w:t xml:space="preserve"> </w:t>
      </w:r>
      <w:r w:rsidRPr="008534A9">
        <w:rPr>
          <w:rFonts w:cs="Arial"/>
          <w:szCs w:val="20"/>
        </w:rPr>
        <w:t>within each benefit classification, and a clear statement as to which benefits identified are treated as</w:t>
      </w:r>
      <w:r w:rsidR="005B42D4" w:rsidRPr="008534A9">
        <w:rPr>
          <w:rFonts w:cs="Arial"/>
          <w:szCs w:val="20"/>
        </w:rPr>
        <w:t xml:space="preserve"> </w:t>
      </w:r>
      <w:r w:rsidR="008534A9">
        <w:rPr>
          <w:rFonts w:cs="Arial"/>
          <w:szCs w:val="20"/>
        </w:rPr>
        <w:t>mental health or substance use disorder</w:t>
      </w:r>
      <w:r w:rsidRPr="008534A9">
        <w:rPr>
          <w:rFonts w:cs="Arial"/>
          <w:szCs w:val="20"/>
        </w:rPr>
        <w:t xml:space="preserve"> and which are treated as medical/surgical.</w:t>
      </w:r>
    </w:p>
    <w:p w14:paraId="624BC5E2" w14:textId="77777777" w:rsidR="00B4683E" w:rsidRDefault="00BB2FA4" w:rsidP="00B4683E">
      <w:pPr>
        <w:pStyle w:val="ListParagraph"/>
        <w:numPr>
          <w:ilvl w:val="0"/>
          <w:numId w:val="30"/>
        </w:numPr>
        <w:rPr>
          <w:rFonts w:cs="Arial"/>
          <w:szCs w:val="20"/>
        </w:rPr>
      </w:pPr>
      <w:r w:rsidRPr="008534A9">
        <w:rPr>
          <w:rFonts w:cs="Arial"/>
          <w:szCs w:val="20"/>
        </w:rPr>
        <w:t>Identification of any factors, evidentiary standards or sources, or strategies or processes considered</w:t>
      </w:r>
      <w:r w:rsidR="005B42D4" w:rsidRPr="008534A9">
        <w:rPr>
          <w:rFonts w:cs="Arial"/>
          <w:szCs w:val="20"/>
        </w:rPr>
        <w:t xml:space="preserve"> </w:t>
      </w:r>
      <w:r w:rsidRPr="008534A9">
        <w:rPr>
          <w:rFonts w:cs="Arial"/>
          <w:szCs w:val="20"/>
        </w:rPr>
        <w:t>in the design or application of the NQTL and in determining which benefits are subject to the NQTL. Analyses should explain</w:t>
      </w:r>
      <w:r w:rsidR="005B42D4" w:rsidRPr="008534A9">
        <w:rPr>
          <w:rFonts w:cs="Arial"/>
          <w:szCs w:val="20"/>
        </w:rPr>
        <w:t xml:space="preserve"> </w:t>
      </w:r>
      <w:r w:rsidRPr="008534A9">
        <w:rPr>
          <w:rFonts w:cs="Arial"/>
          <w:szCs w:val="20"/>
        </w:rPr>
        <w:t>whether any factors were given more weight than others and the reason(s) for doing so, including</w:t>
      </w:r>
      <w:r w:rsidR="005B42D4" w:rsidRPr="008534A9">
        <w:rPr>
          <w:rFonts w:cs="Arial"/>
          <w:szCs w:val="20"/>
        </w:rPr>
        <w:t xml:space="preserve"> </w:t>
      </w:r>
      <w:r w:rsidRPr="008534A9">
        <w:rPr>
          <w:rFonts w:cs="Arial"/>
          <w:szCs w:val="20"/>
        </w:rPr>
        <w:t>an evaluation of any specific data used in the determination.</w:t>
      </w:r>
    </w:p>
    <w:p w14:paraId="06201C39" w14:textId="7DB6A102" w:rsidR="00BB2FA4" w:rsidRPr="00B4683E" w:rsidRDefault="00BB2FA4" w:rsidP="00B4683E">
      <w:pPr>
        <w:pStyle w:val="ListParagraph"/>
        <w:numPr>
          <w:ilvl w:val="0"/>
          <w:numId w:val="30"/>
        </w:numPr>
        <w:rPr>
          <w:rFonts w:cs="Arial"/>
          <w:szCs w:val="20"/>
        </w:rPr>
      </w:pPr>
      <w:r w:rsidRPr="00B4683E">
        <w:rPr>
          <w:rFonts w:cs="Arial"/>
          <w:szCs w:val="20"/>
        </w:rPr>
        <w:t>To the extent the plan or issuer defines any of the factors, evidentiary standards, strategies, or</w:t>
      </w:r>
    </w:p>
    <w:p w14:paraId="254F85AD" w14:textId="77777777" w:rsidR="00B4683E" w:rsidRDefault="00BB2FA4" w:rsidP="00B4683E">
      <w:pPr>
        <w:ind w:left="720"/>
        <w:rPr>
          <w:rFonts w:cs="Arial"/>
          <w:szCs w:val="20"/>
        </w:rPr>
      </w:pPr>
      <w:r w:rsidRPr="00BB2FA4">
        <w:rPr>
          <w:rFonts w:cs="Arial"/>
          <w:szCs w:val="20"/>
        </w:rPr>
        <w:t>processes in a quantitative manner, it must include the precise definitions used and any</w:t>
      </w:r>
      <w:r w:rsidR="00B4683E">
        <w:rPr>
          <w:rFonts w:cs="Arial"/>
          <w:szCs w:val="20"/>
        </w:rPr>
        <w:t xml:space="preserve"> </w:t>
      </w:r>
      <w:r w:rsidRPr="00BB2FA4">
        <w:rPr>
          <w:rFonts w:cs="Arial"/>
          <w:szCs w:val="20"/>
        </w:rPr>
        <w:t>supporting</w:t>
      </w:r>
      <w:r w:rsidR="005B42D4">
        <w:rPr>
          <w:rFonts w:cs="Arial"/>
          <w:szCs w:val="20"/>
        </w:rPr>
        <w:t xml:space="preserve"> </w:t>
      </w:r>
      <w:r w:rsidRPr="00BB2FA4">
        <w:rPr>
          <w:rFonts w:cs="Arial"/>
          <w:szCs w:val="20"/>
        </w:rPr>
        <w:t>sources.</w:t>
      </w:r>
    </w:p>
    <w:p w14:paraId="13E895D0" w14:textId="77777777" w:rsidR="00692365" w:rsidRDefault="00BB2FA4" w:rsidP="00692365">
      <w:pPr>
        <w:pStyle w:val="ListParagraph"/>
        <w:numPr>
          <w:ilvl w:val="0"/>
          <w:numId w:val="30"/>
        </w:numPr>
        <w:rPr>
          <w:rFonts w:cs="Arial"/>
          <w:szCs w:val="20"/>
        </w:rPr>
      </w:pPr>
      <w:r w:rsidRPr="00B4683E">
        <w:rPr>
          <w:rFonts w:cs="Arial"/>
          <w:szCs w:val="20"/>
        </w:rPr>
        <w:t>The analyses, as documented, should explain whether there is any variation in the application of a</w:t>
      </w:r>
      <w:r w:rsidR="005B42D4" w:rsidRPr="00B4683E">
        <w:rPr>
          <w:rFonts w:cs="Arial"/>
          <w:szCs w:val="20"/>
        </w:rPr>
        <w:t xml:space="preserve"> </w:t>
      </w:r>
      <w:r w:rsidRPr="00B4683E">
        <w:rPr>
          <w:rFonts w:cs="Arial"/>
          <w:szCs w:val="20"/>
        </w:rPr>
        <w:t xml:space="preserve">guideline or standard used by the plan or issuer between </w:t>
      </w:r>
      <w:r w:rsidR="00692365">
        <w:rPr>
          <w:rFonts w:cs="Arial"/>
          <w:szCs w:val="20"/>
        </w:rPr>
        <w:t>mental health or substance use disorder</w:t>
      </w:r>
      <w:r w:rsidR="00692365" w:rsidRPr="008534A9">
        <w:rPr>
          <w:rFonts w:cs="Arial"/>
          <w:szCs w:val="20"/>
        </w:rPr>
        <w:t xml:space="preserve"> </w:t>
      </w:r>
      <w:r w:rsidRPr="00B4683E">
        <w:rPr>
          <w:rFonts w:cs="Arial"/>
          <w:szCs w:val="20"/>
        </w:rPr>
        <w:t>and medical/surgical benefits</w:t>
      </w:r>
      <w:r w:rsidR="005B42D4" w:rsidRPr="00B4683E">
        <w:rPr>
          <w:rFonts w:cs="Arial"/>
          <w:szCs w:val="20"/>
        </w:rPr>
        <w:t xml:space="preserve"> </w:t>
      </w:r>
      <w:r w:rsidRPr="00B4683E">
        <w:rPr>
          <w:rFonts w:cs="Arial"/>
          <w:szCs w:val="20"/>
        </w:rPr>
        <w:t>and, if so, describe the process and factors used for establishing that variation.</w:t>
      </w:r>
    </w:p>
    <w:p w14:paraId="13B89002" w14:textId="7F204449" w:rsidR="00BB2FA4" w:rsidRPr="00692365" w:rsidRDefault="00BB2FA4" w:rsidP="00692365">
      <w:pPr>
        <w:pStyle w:val="ListParagraph"/>
        <w:numPr>
          <w:ilvl w:val="0"/>
          <w:numId w:val="30"/>
        </w:numPr>
        <w:rPr>
          <w:rFonts w:cs="Arial"/>
          <w:szCs w:val="20"/>
        </w:rPr>
      </w:pPr>
      <w:r w:rsidRPr="00692365">
        <w:rPr>
          <w:rFonts w:cs="Arial"/>
          <w:szCs w:val="20"/>
        </w:rPr>
        <w:t>If the application of the NQTL turns on specific decisions in administration of the benefits, the plan</w:t>
      </w:r>
      <w:r w:rsidR="005B42D4" w:rsidRPr="00692365">
        <w:rPr>
          <w:rFonts w:cs="Arial"/>
          <w:szCs w:val="20"/>
        </w:rPr>
        <w:t xml:space="preserve"> </w:t>
      </w:r>
      <w:r w:rsidRPr="00692365">
        <w:rPr>
          <w:rFonts w:cs="Arial"/>
          <w:szCs w:val="20"/>
        </w:rPr>
        <w:t>or issuer should identify the nature of the decisions, the decision maker(s), the timing of the</w:t>
      </w:r>
    </w:p>
    <w:p w14:paraId="7970D313" w14:textId="77777777" w:rsidR="00692365" w:rsidRDefault="00BB2FA4" w:rsidP="00692365">
      <w:pPr>
        <w:ind w:left="720"/>
        <w:rPr>
          <w:rFonts w:cs="Arial"/>
          <w:szCs w:val="20"/>
        </w:rPr>
      </w:pPr>
      <w:r w:rsidRPr="00BB2FA4">
        <w:rPr>
          <w:rFonts w:cs="Arial"/>
          <w:szCs w:val="20"/>
        </w:rPr>
        <w:t>decisions, and the qualifications of the decision maker(s).</w:t>
      </w:r>
    </w:p>
    <w:p w14:paraId="6DB57981" w14:textId="77777777" w:rsidR="00FF09C5" w:rsidRDefault="00BB2FA4" w:rsidP="00FF09C5">
      <w:pPr>
        <w:pStyle w:val="ListParagraph"/>
        <w:numPr>
          <w:ilvl w:val="0"/>
          <w:numId w:val="30"/>
        </w:numPr>
        <w:rPr>
          <w:rFonts w:cs="Arial"/>
          <w:szCs w:val="20"/>
        </w:rPr>
      </w:pPr>
      <w:r w:rsidRPr="00692365">
        <w:rPr>
          <w:rFonts w:cs="Arial"/>
          <w:szCs w:val="20"/>
        </w:rPr>
        <w:t>If the plan’s or issuer’s analyses rely upon any experts, the analyses, as documented, should include</w:t>
      </w:r>
      <w:r w:rsidR="005B42D4" w:rsidRPr="00692365">
        <w:rPr>
          <w:rFonts w:cs="Arial"/>
          <w:szCs w:val="20"/>
        </w:rPr>
        <w:t xml:space="preserve"> </w:t>
      </w:r>
      <w:r w:rsidRPr="00692365">
        <w:rPr>
          <w:rFonts w:cs="Arial"/>
          <w:szCs w:val="20"/>
        </w:rPr>
        <w:t>an assessment of each expert’s qualifications and the extent to which the plan or issuer ultimately</w:t>
      </w:r>
      <w:r w:rsidR="005B42D4" w:rsidRPr="00692365">
        <w:rPr>
          <w:rFonts w:cs="Arial"/>
          <w:szCs w:val="20"/>
        </w:rPr>
        <w:t xml:space="preserve"> </w:t>
      </w:r>
      <w:r w:rsidRPr="00692365">
        <w:rPr>
          <w:rFonts w:cs="Arial"/>
          <w:szCs w:val="20"/>
        </w:rPr>
        <w:t>relied upon each expert’s evaluations in setting recommendations.</w:t>
      </w:r>
    </w:p>
    <w:p w14:paraId="178E25CF" w14:textId="4C73012F" w:rsidR="00512697" w:rsidRDefault="00BB2FA4" w:rsidP="00512697">
      <w:pPr>
        <w:pStyle w:val="ListParagraph"/>
        <w:numPr>
          <w:ilvl w:val="0"/>
          <w:numId w:val="30"/>
        </w:numPr>
        <w:rPr>
          <w:rFonts w:cs="Arial"/>
          <w:szCs w:val="20"/>
        </w:rPr>
      </w:pPr>
      <w:r w:rsidRPr="00FF09C5">
        <w:rPr>
          <w:rFonts w:cs="Arial"/>
          <w:szCs w:val="20"/>
        </w:rPr>
        <w:t>A reasoned discussion of the plan’s or issuer’s findings and conclusions as to the comparability of</w:t>
      </w:r>
      <w:r w:rsidR="00100962" w:rsidRPr="00FF09C5">
        <w:rPr>
          <w:rFonts w:cs="Arial"/>
          <w:szCs w:val="20"/>
        </w:rPr>
        <w:t xml:space="preserve"> </w:t>
      </w:r>
      <w:r w:rsidRPr="00FF09C5">
        <w:rPr>
          <w:rFonts w:cs="Arial"/>
          <w:szCs w:val="20"/>
        </w:rPr>
        <w:t>the processes, strategies, evidentiary standards, factors, and sources identified above within each</w:t>
      </w:r>
      <w:r w:rsidR="00100962" w:rsidRPr="00FF09C5">
        <w:rPr>
          <w:rFonts w:cs="Arial"/>
          <w:szCs w:val="20"/>
        </w:rPr>
        <w:t xml:space="preserve"> </w:t>
      </w:r>
      <w:r w:rsidRPr="00FF09C5">
        <w:rPr>
          <w:rFonts w:cs="Arial"/>
          <w:szCs w:val="20"/>
        </w:rPr>
        <w:t>affected classification, and their relative stringency, both as applied and as written.</w:t>
      </w:r>
      <w:r w:rsidR="00B0091A">
        <w:rPr>
          <w:rFonts w:cs="Arial"/>
          <w:szCs w:val="20"/>
        </w:rPr>
        <w:t xml:space="preserve"> </w:t>
      </w:r>
      <w:r w:rsidRPr="00FF09C5">
        <w:rPr>
          <w:rFonts w:cs="Arial"/>
          <w:szCs w:val="20"/>
        </w:rPr>
        <w:t xml:space="preserve">This </w:t>
      </w:r>
      <w:r w:rsidRPr="00FF09C5">
        <w:rPr>
          <w:rFonts w:cs="Arial"/>
          <w:szCs w:val="20"/>
        </w:rPr>
        <w:lastRenderedPageBreak/>
        <w:t>discussion</w:t>
      </w:r>
      <w:r w:rsidR="00100962" w:rsidRPr="00FF09C5">
        <w:rPr>
          <w:rFonts w:cs="Arial"/>
          <w:szCs w:val="20"/>
        </w:rPr>
        <w:t xml:space="preserve"> </w:t>
      </w:r>
      <w:r w:rsidRPr="00FF09C5">
        <w:rPr>
          <w:rFonts w:cs="Arial"/>
          <w:szCs w:val="20"/>
        </w:rPr>
        <w:t>should include citations to any specific evidence considered and any results of analyses indicating</w:t>
      </w:r>
      <w:r w:rsidR="00100962" w:rsidRPr="00FF09C5">
        <w:rPr>
          <w:rFonts w:cs="Arial"/>
          <w:szCs w:val="20"/>
        </w:rPr>
        <w:t xml:space="preserve"> </w:t>
      </w:r>
      <w:r w:rsidRPr="00FF09C5">
        <w:rPr>
          <w:rFonts w:cs="Arial"/>
          <w:szCs w:val="20"/>
        </w:rPr>
        <w:t>that the plan or coverage is or is not in compliance.</w:t>
      </w:r>
    </w:p>
    <w:p w14:paraId="239B71B8" w14:textId="7BCA3632" w:rsidR="00C93018" w:rsidRPr="00512697" w:rsidRDefault="00BB2FA4" w:rsidP="00512697">
      <w:pPr>
        <w:pStyle w:val="ListParagraph"/>
        <w:numPr>
          <w:ilvl w:val="0"/>
          <w:numId w:val="30"/>
        </w:numPr>
        <w:rPr>
          <w:rFonts w:cs="Arial"/>
          <w:szCs w:val="20"/>
        </w:rPr>
      </w:pPr>
      <w:r w:rsidRPr="00512697">
        <w:rPr>
          <w:rFonts w:cs="Arial"/>
          <w:szCs w:val="20"/>
        </w:rPr>
        <w:t>The date of the analyses and the name, title, and position of the person or persons who performed or</w:t>
      </w:r>
      <w:r w:rsidR="00100962" w:rsidRPr="00512697">
        <w:rPr>
          <w:rFonts w:cs="Arial"/>
          <w:szCs w:val="20"/>
        </w:rPr>
        <w:t xml:space="preserve"> </w:t>
      </w:r>
      <w:r w:rsidRPr="00512697">
        <w:rPr>
          <w:rFonts w:cs="Arial"/>
          <w:szCs w:val="20"/>
        </w:rPr>
        <w:t>participated in the comparative analyses.</w:t>
      </w:r>
    </w:p>
    <w:p w14:paraId="6548345B" w14:textId="46EAA258" w:rsidR="005F29E1" w:rsidRDefault="00D90C5E" w:rsidP="0007077C">
      <w:pPr>
        <w:pStyle w:val="NormalWeb"/>
        <w:spacing w:after="0" w:afterAutospacing="0"/>
        <w:rPr>
          <w:rFonts w:ascii="Arial" w:hAnsi="Arial" w:cs="Arial"/>
          <w:sz w:val="20"/>
          <w:szCs w:val="20"/>
        </w:rPr>
      </w:pPr>
      <w:r>
        <w:rPr>
          <w:rFonts w:ascii="Arial" w:hAnsi="Arial" w:cs="Arial"/>
          <w:sz w:val="20"/>
          <w:szCs w:val="20"/>
        </w:rPr>
        <w:t xml:space="preserve">The FAQ recommends </w:t>
      </w:r>
      <w:r w:rsidR="00FE4A43">
        <w:rPr>
          <w:rFonts w:ascii="Arial" w:hAnsi="Arial" w:cs="Arial"/>
          <w:sz w:val="20"/>
          <w:szCs w:val="20"/>
        </w:rPr>
        <w:t xml:space="preserve">that </w:t>
      </w:r>
      <w:r>
        <w:rPr>
          <w:rFonts w:ascii="Arial" w:hAnsi="Arial" w:cs="Arial"/>
          <w:sz w:val="20"/>
          <w:szCs w:val="20"/>
        </w:rPr>
        <w:t xml:space="preserve">the following items be available to support </w:t>
      </w:r>
      <w:r w:rsidR="005B42D4">
        <w:rPr>
          <w:rFonts w:ascii="Arial" w:hAnsi="Arial" w:cs="Arial"/>
          <w:sz w:val="20"/>
          <w:szCs w:val="20"/>
        </w:rPr>
        <w:t>the comparative analysis</w:t>
      </w:r>
      <w:r>
        <w:rPr>
          <w:rFonts w:ascii="Arial" w:hAnsi="Arial" w:cs="Arial"/>
          <w:sz w:val="20"/>
          <w:szCs w:val="20"/>
        </w:rPr>
        <w:t>:</w:t>
      </w:r>
    </w:p>
    <w:p w14:paraId="29F5808A" w14:textId="13BCC6CE" w:rsidR="00D27558" w:rsidRDefault="005B42D4" w:rsidP="00FD7088">
      <w:pPr>
        <w:pStyle w:val="NormalWeb"/>
        <w:numPr>
          <w:ilvl w:val="0"/>
          <w:numId w:val="29"/>
        </w:numPr>
        <w:spacing w:before="0" w:beforeAutospacing="0"/>
        <w:rPr>
          <w:rFonts w:ascii="Arial" w:hAnsi="Arial" w:cs="Arial"/>
          <w:sz w:val="20"/>
          <w:szCs w:val="20"/>
        </w:rPr>
      </w:pPr>
      <w:r w:rsidRPr="005B42D4">
        <w:rPr>
          <w:rFonts w:ascii="Arial" w:hAnsi="Arial" w:cs="Arial"/>
          <w:sz w:val="20"/>
          <w:szCs w:val="20"/>
        </w:rPr>
        <w:t xml:space="preserve">Records documenting NQTL processes and detailing how the NQTLs are being applied </w:t>
      </w:r>
      <w:r w:rsidRPr="00D27558">
        <w:rPr>
          <w:rFonts w:ascii="Arial" w:hAnsi="Arial" w:cs="Arial"/>
          <w:sz w:val="20"/>
          <w:szCs w:val="20"/>
        </w:rPr>
        <w:t>to ensure the plan or issuer can demonstrate compliance</w:t>
      </w:r>
      <w:r w:rsidR="00D27558">
        <w:rPr>
          <w:rFonts w:ascii="Arial" w:hAnsi="Arial" w:cs="Arial"/>
          <w:sz w:val="20"/>
          <w:szCs w:val="20"/>
        </w:rPr>
        <w:t xml:space="preserve"> </w:t>
      </w:r>
      <w:r w:rsidRPr="00D27558">
        <w:rPr>
          <w:rFonts w:ascii="Arial" w:hAnsi="Arial" w:cs="Arial"/>
          <w:sz w:val="20"/>
          <w:szCs w:val="20"/>
        </w:rPr>
        <w:t>with the law, including any materials that may have been prepared for compliance with any</w:t>
      </w:r>
      <w:r w:rsidR="00D27558">
        <w:rPr>
          <w:rFonts w:ascii="Arial" w:hAnsi="Arial" w:cs="Arial"/>
          <w:sz w:val="20"/>
          <w:szCs w:val="20"/>
        </w:rPr>
        <w:t xml:space="preserve"> </w:t>
      </w:r>
      <w:r w:rsidRPr="00D27558">
        <w:rPr>
          <w:rFonts w:ascii="Arial" w:hAnsi="Arial" w:cs="Arial"/>
          <w:sz w:val="20"/>
          <w:szCs w:val="20"/>
        </w:rPr>
        <w:t>applicable reporting requirements under State law.</w:t>
      </w:r>
    </w:p>
    <w:p w14:paraId="743FA284" w14:textId="567E589B" w:rsidR="001D4BF4" w:rsidRDefault="005B42D4" w:rsidP="005B42D4">
      <w:pPr>
        <w:pStyle w:val="NormalWeb"/>
        <w:numPr>
          <w:ilvl w:val="0"/>
          <w:numId w:val="29"/>
        </w:numPr>
        <w:rPr>
          <w:rFonts w:ascii="Arial" w:hAnsi="Arial" w:cs="Arial"/>
          <w:sz w:val="20"/>
          <w:szCs w:val="20"/>
        </w:rPr>
      </w:pPr>
      <w:r w:rsidRPr="00D27558">
        <w:rPr>
          <w:rFonts w:ascii="Arial" w:hAnsi="Arial" w:cs="Arial"/>
          <w:sz w:val="20"/>
          <w:szCs w:val="20"/>
        </w:rPr>
        <w:t>Any documentation, including any guidelines, claims processing policies and procedures, or other</w:t>
      </w:r>
      <w:r w:rsidR="00D27558">
        <w:rPr>
          <w:rFonts w:ascii="Arial" w:hAnsi="Arial" w:cs="Arial"/>
          <w:sz w:val="20"/>
          <w:szCs w:val="20"/>
        </w:rPr>
        <w:t xml:space="preserve"> </w:t>
      </w:r>
      <w:r w:rsidRPr="00D27558">
        <w:rPr>
          <w:rFonts w:ascii="Arial" w:hAnsi="Arial" w:cs="Arial"/>
          <w:sz w:val="20"/>
          <w:szCs w:val="20"/>
        </w:rPr>
        <w:t>standards that the plan or issuer has relied upon to determine that the NQTLs apply no more</w:t>
      </w:r>
      <w:r w:rsidR="00D27558">
        <w:rPr>
          <w:rFonts w:ascii="Arial" w:hAnsi="Arial" w:cs="Arial"/>
          <w:sz w:val="20"/>
          <w:szCs w:val="20"/>
        </w:rPr>
        <w:t xml:space="preserve"> </w:t>
      </w:r>
      <w:r w:rsidRPr="00D27558">
        <w:rPr>
          <w:rFonts w:ascii="Arial" w:hAnsi="Arial" w:cs="Arial"/>
          <w:sz w:val="20"/>
          <w:szCs w:val="20"/>
        </w:rPr>
        <w:t>stringently to</w:t>
      </w:r>
      <w:r w:rsidR="00625F15" w:rsidRPr="00625F15">
        <w:t xml:space="preserve"> </w:t>
      </w:r>
      <w:r w:rsidR="00625F15" w:rsidRPr="00625F15">
        <w:rPr>
          <w:rFonts w:ascii="Arial" w:hAnsi="Arial" w:cs="Arial"/>
          <w:sz w:val="20"/>
          <w:szCs w:val="20"/>
        </w:rPr>
        <w:t>mental health or substance use disorder</w:t>
      </w:r>
      <w:r w:rsidRPr="00D27558">
        <w:rPr>
          <w:rFonts w:ascii="Arial" w:hAnsi="Arial" w:cs="Arial"/>
          <w:sz w:val="20"/>
          <w:szCs w:val="20"/>
        </w:rPr>
        <w:t xml:space="preserve"> benefits than to medical/surgical benefits. Plans and issuers should include</w:t>
      </w:r>
      <w:r w:rsidR="001D4BF4">
        <w:rPr>
          <w:rFonts w:ascii="Arial" w:hAnsi="Arial" w:cs="Arial"/>
          <w:sz w:val="20"/>
          <w:szCs w:val="20"/>
        </w:rPr>
        <w:t xml:space="preserve"> </w:t>
      </w:r>
      <w:r w:rsidRPr="001D4BF4">
        <w:rPr>
          <w:rFonts w:ascii="Arial" w:hAnsi="Arial" w:cs="Arial"/>
          <w:sz w:val="20"/>
          <w:szCs w:val="20"/>
        </w:rPr>
        <w:t>any available details as to how the standards were applied, and any internal testing, review, or</w:t>
      </w:r>
      <w:r w:rsidR="001D4BF4">
        <w:rPr>
          <w:rFonts w:ascii="Arial" w:hAnsi="Arial" w:cs="Arial"/>
          <w:sz w:val="20"/>
          <w:szCs w:val="20"/>
        </w:rPr>
        <w:t xml:space="preserve"> </w:t>
      </w:r>
      <w:r w:rsidRPr="001D4BF4">
        <w:rPr>
          <w:rFonts w:ascii="Arial" w:hAnsi="Arial" w:cs="Arial"/>
          <w:sz w:val="20"/>
          <w:szCs w:val="20"/>
        </w:rPr>
        <w:t>analysis done by the plan or issuer to support its rationale.</w:t>
      </w:r>
    </w:p>
    <w:p w14:paraId="418E656D" w14:textId="5A121458" w:rsidR="001D4BF4" w:rsidRDefault="005B42D4" w:rsidP="005B42D4">
      <w:pPr>
        <w:pStyle w:val="NormalWeb"/>
        <w:numPr>
          <w:ilvl w:val="0"/>
          <w:numId w:val="29"/>
        </w:numPr>
        <w:rPr>
          <w:rFonts w:ascii="Arial" w:hAnsi="Arial" w:cs="Arial"/>
          <w:sz w:val="20"/>
          <w:szCs w:val="20"/>
        </w:rPr>
      </w:pPr>
      <w:r w:rsidRPr="001D4BF4">
        <w:rPr>
          <w:rFonts w:ascii="Arial" w:hAnsi="Arial" w:cs="Arial"/>
          <w:sz w:val="20"/>
          <w:szCs w:val="20"/>
        </w:rPr>
        <w:t xml:space="preserve">Samples of covered and denied </w:t>
      </w:r>
      <w:r w:rsidR="00625F15" w:rsidRPr="00625F15">
        <w:rPr>
          <w:rFonts w:ascii="Arial" w:hAnsi="Arial" w:cs="Arial"/>
          <w:sz w:val="20"/>
          <w:szCs w:val="20"/>
        </w:rPr>
        <w:t xml:space="preserve">mental health or substance use disorder </w:t>
      </w:r>
      <w:r w:rsidRPr="001D4BF4">
        <w:rPr>
          <w:rFonts w:ascii="Arial" w:hAnsi="Arial" w:cs="Arial"/>
          <w:sz w:val="20"/>
          <w:szCs w:val="20"/>
        </w:rPr>
        <w:t>and medical/surgical benefit claims.</w:t>
      </w:r>
    </w:p>
    <w:p w14:paraId="2357C1BD" w14:textId="77777777" w:rsidR="00A14683" w:rsidRDefault="005B42D4" w:rsidP="003E298D">
      <w:pPr>
        <w:pStyle w:val="NormalWeb"/>
        <w:numPr>
          <w:ilvl w:val="0"/>
          <w:numId w:val="29"/>
        </w:numPr>
        <w:rPr>
          <w:rFonts w:ascii="Arial" w:hAnsi="Arial" w:cs="Arial"/>
          <w:sz w:val="20"/>
          <w:szCs w:val="20"/>
        </w:rPr>
      </w:pPr>
      <w:r w:rsidRPr="001D4BF4">
        <w:rPr>
          <w:rFonts w:ascii="Arial" w:hAnsi="Arial" w:cs="Arial"/>
          <w:sz w:val="20"/>
          <w:szCs w:val="20"/>
        </w:rPr>
        <w:t>Documents with respect to service providers (if a plan delegates</w:t>
      </w:r>
      <w:r w:rsidR="001D4BF4">
        <w:rPr>
          <w:rFonts w:ascii="Arial" w:hAnsi="Arial" w:cs="Arial"/>
          <w:sz w:val="20"/>
          <w:szCs w:val="20"/>
        </w:rPr>
        <w:t xml:space="preserve"> </w:t>
      </w:r>
      <w:r w:rsidRPr="001D4BF4">
        <w:rPr>
          <w:rFonts w:ascii="Arial" w:hAnsi="Arial" w:cs="Arial"/>
          <w:sz w:val="20"/>
          <w:szCs w:val="20"/>
        </w:rPr>
        <w:t xml:space="preserve">management of some or all </w:t>
      </w:r>
      <w:r w:rsidR="00642A27" w:rsidRPr="00642A27">
        <w:rPr>
          <w:rFonts w:ascii="Arial" w:hAnsi="Arial" w:cs="Arial"/>
          <w:sz w:val="20"/>
          <w:szCs w:val="20"/>
        </w:rPr>
        <w:t xml:space="preserve">mental health or substance use disorder </w:t>
      </w:r>
      <w:r w:rsidRPr="001D4BF4">
        <w:rPr>
          <w:rFonts w:ascii="Arial" w:hAnsi="Arial" w:cs="Arial"/>
          <w:sz w:val="20"/>
          <w:szCs w:val="20"/>
        </w:rPr>
        <w:t>benefits to another entity).</w:t>
      </w:r>
    </w:p>
    <w:p w14:paraId="5DE094B2" w14:textId="78B045FA" w:rsidR="003A7137" w:rsidRPr="00A14683" w:rsidRDefault="00A14683" w:rsidP="003E298D">
      <w:pPr>
        <w:pStyle w:val="NormalWeb"/>
        <w:numPr>
          <w:ilvl w:val="0"/>
          <w:numId w:val="29"/>
        </w:numPr>
        <w:rPr>
          <w:rFonts w:ascii="Arial" w:hAnsi="Arial" w:cs="Arial"/>
          <w:sz w:val="20"/>
          <w:szCs w:val="20"/>
        </w:rPr>
      </w:pPr>
      <w:r>
        <w:rPr>
          <w:rFonts w:ascii="Arial" w:hAnsi="Arial" w:cs="Arial"/>
          <w:sz w:val="20"/>
          <w:szCs w:val="20"/>
        </w:rPr>
        <w:t>I</w:t>
      </w:r>
      <w:r w:rsidR="003E298D" w:rsidRPr="00A14683">
        <w:rPr>
          <w:rFonts w:ascii="Arial" w:hAnsi="Arial" w:cs="Arial"/>
          <w:sz w:val="20"/>
          <w:szCs w:val="20"/>
        </w:rPr>
        <w:t>f comparative analyses reference studies, testing, claims data, reports, or other considerations in defining or applying factors, then copies of those items</w:t>
      </w:r>
      <w:r w:rsidR="00222511" w:rsidRPr="00A14683">
        <w:rPr>
          <w:rFonts w:ascii="Arial" w:hAnsi="Arial" w:cs="Arial"/>
          <w:sz w:val="20"/>
          <w:szCs w:val="20"/>
        </w:rPr>
        <w:t xml:space="preserve"> should be available as well</w:t>
      </w:r>
      <w:r w:rsidR="003E298D" w:rsidRPr="00A14683">
        <w:rPr>
          <w:rFonts w:ascii="Arial" w:hAnsi="Arial" w:cs="Arial"/>
          <w:sz w:val="20"/>
          <w:szCs w:val="20"/>
        </w:rPr>
        <w:t xml:space="preserve">. </w:t>
      </w:r>
    </w:p>
    <w:p w14:paraId="76AD2A0C" w14:textId="68D1D7FD" w:rsidR="002201EE" w:rsidRDefault="003A7137" w:rsidP="00671A58">
      <w:pPr>
        <w:pStyle w:val="NormalWeb"/>
        <w:rPr>
          <w:rFonts w:ascii="Arial" w:hAnsi="Arial" w:cs="Arial"/>
          <w:sz w:val="20"/>
          <w:szCs w:val="20"/>
        </w:rPr>
      </w:pPr>
      <w:r>
        <w:rPr>
          <w:rFonts w:ascii="Arial" w:hAnsi="Arial" w:cs="Arial"/>
          <w:sz w:val="20"/>
          <w:szCs w:val="20"/>
        </w:rPr>
        <w:t xml:space="preserve">Exactly what is required will depend </w:t>
      </w:r>
      <w:r w:rsidR="003E298D" w:rsidRPr="003E298D">
        <w:rPr>
          <w:rFonts w:ascii="Arial" w:hAnsi="Arial" w:cs="Arial"/>
          <w:sz w:val="20"/>
          <w:szCs w:val="20"/>
        </w:rPr>
        <w:t>on the type of NQTL and the</w:t>
      </w:r>
      <w:r w:rsidR="0024114A">
        <w:rPr>
          <w:rFonts w:ascii="Arial" w:hAnsi="Arial" w:cs="Arial"/>
          <w:sz w:val="20"/>
          <w:szCs w:val="20"/>
        </w:rPr>
        <w:t xml:space="preserve"> </w:t>
      </w:r>
      <w:r w:rsidR="003E298D" w:rsidRPr="003E298D">
        <w:rPr>
          <w:rFonts w:ascii="Arial" w:hAnsi="Arial" w:cs="Arial"/>
          <w:sz w:val="20"/>
          <w:szCs w:val="20"/>
        </w:rPr>
        <w:t>processes, strategies, evidentiary standards, and other factors used by the plan</w:t>
      </w:r>
      <w:r>
        <w:rPr>
          <w:rFonts w:ascii="Arial" w:hAnsi="Arial" w:cs="Arial"/>
          <w:sz w:val="20"/>
          <w:szCs w:val="20"/>
        </w:rPr>
        <w:t xml:space="preserve">, but the FAQs make it clear that </w:t>
      </w:r>
      <w:r w:rsidR="006B79BF" w:rsidRPr="00671A58">
        <w:rPr>
          <w:rFonts w:ascii="Arial" w:hAnsi="Arial" w:cs="Arial"/>
          <w:i/>
          <w:iCs/>
          <w:sz w:val="20"/>
          <w:szCs w:val="20"/>
        </w:rPr>
        <w:t>“</w:t>
      </w:r>
      <w:r w:rsidR="002201EE" w:rsidRPr="00671A58">
        <w:rPr>
          <w:rFonts w:ascii="Arial" w:hAnsi="Arial" w:cs="Arial"/>
          <w:i/>
          <w:iCs/>
          <w:sz w:val="20"/>
          <w:szCs w:val="20"/>
        </w:rPr>
        <w:t>conclusory or generalized statements without specific supporting evidence and detailed explanations</w:t>
      </w:r>
      <w:r w:rsidR="006B79BF" w:rsidRPr="00671A58">
        <w:rPr>
          <w:rFonts w:ascii="Arial" w:hAnsi="Arial" w:cs="Arial"/>
          <w:i/>
          <w:iCs/>
          <w:sz w:val="20"/>
          <w:szCs w:val="20"/>
        </w:rPr>
        <w:t>,</w:t>
      </w:r>
      <w:r w:rsidR="002201EE" w:rsidRPr="00671A58">
        <w:rPr>
          <w:rFonts w:ascii="Arial" w:hAnsi="Arial" w:cs="Arial"/>
          <w:i/>
          <w:iCs/>
          <w:sz w:val="20"/>
          <w:szCs w:val="20"/>
        </w:rPr>
        <w:t xml:space="preserve"> or a mere production of a large volume of documents without a clear explanation of how and why each document is relevant to the comparative analyses are insufficient.”</w:t>
      </w:r>
      <w:r w:rsidR="002201EE">
        <w:rPr>
          <w:rFonts w:ascii="Arial" w:hAnsi="Arial" w:cs="Arial"/>
          <w:sz w:val="20"/>
          <w:szCs w:val="20"/>
        </w:rPr>
        <w:t xml:space="preserve"> </w:t>
      </w:r>
    </w:p>
    <w:p w14:paraId="44B5A03D" w14:textId="73013EEA" w:rsidR="00A14683" w:rsidRPr="00B0091A" w:rsidRDefault="00671A58" w:rsidP="007A782A">
      <w:pPr>
        <w:pStyle w:val="NormalWeb"/>
        <w:spacing w:after="0" w:afterAutospacing="0"/>
        <w:rPr>
          <w:rFonts w:ascii="Arial" w:hAnsi="Arial" w:cs="Arial"/>
          <w:sz w:val="20"/>
          <w:szCs w:val="20"/>
        </w:rPr>
      </w:pPr>
      <w:r>
        <w:rPr>
          <w:rFonts w:ascii="Arial" w:hAnsi="Arial" w:cs="Arial"/>
          <w:sz w:val="20"/>
          <w:szCs w:val="20"/>
        </w:rPr>
        <w:t>The DOL’s Self-</w:t>
      </w:r>
      <w:r w:rsidR="00A720B2">
        <w:rPr>
          <w:rFonts w:ascii="Arial" w:hAnsi="Arial" w:cs="Arial"/>
          <w:sz w:val="20"/>
          <w:szCs w:val="20"/>
        </w:rPr>
        <w:t xml:space="preserve">Compliance Tool describes NQTLs </w:t>
      </w:r>
      <w:r w:rsidR="00450E02">
        <w:rPr>
          <w:rFonts w:ascii="Arial" w:hAnsi="Arial" w:cs="Arial"/>
          <w:sz w:val="20"/>
          <w:szCs w:val="20"/>
        </w:rPr>
        <w:t xml:space="preserve">on pp. 19-21. It then goes on to provide a 4-step process for </w:t>
      </w:r>
      <w:r w:rsidR="00EA0ADD">
        <w:rPr>
          <w:rFonts w:ascii="Arial" w:hAnsi="Arial" w:cs="Arial"/>
          <w:sz w:val="20"/>
          <w:szCs w:val="20"/>
        </w:rPr>
        <w:t xml:space="preserve">analyzing NQTLs on pp. 21-28. </w:t>
      </w:r>
      <w:r w:rsidR="00BD1CA1">
        <w:rPr>
          <w:rFonts w:ascii="Arial" w:hAnsi="Arial" w:cs="Arial"/>
          <w:sz w:val="20"/>
          <w:szCs w:val="20"/>
        </w:rPr>
        <w:t xml:space="preserve">Applying and documenting the 4 steps for each of the plan’s NQTLs </w:t>
      </w:r>
      <w:r w:rsidR="00DF3088">
        <w:rPr>
          <w:rFonts w:ascii="Arial" w:hAnsi="Arial" w:cs="Arial"/>
          <w:sz w:val="20"/>
          <w:szCs w:val="20"/>
        </w:rPr>
        <w:t xml:space="preserve">should </w:t>
      </w:r>
      <w:r w:rsidR="00314DFA">
        <w:rPr>
          <w:rFonts w:ascii="Arial" w:hAnsi="Arial" w:cs="Arial"/>
          <w:sz w:val="20"/>
          <w:szCs w:val="20"/>
        </w:rPr>
        <w:t xml:space="preserve">generally </w:t>
      </w:r>
      <w:r w:rsidR="00DF3088">
        <w:rPr>
          <w:rFonts w:ascii="Arial" w:hAnsi="Arial" w:cs="Arial"/>
          <w:sz w:val="20"/>
          <w:szCs w:val="20"/>
        </w:rPr>
        <w:t>satisfy the comparative analysis requirements.</w:t>
      </w:r>
      <w:r w:rsidR="003F1A6C">
        <w:rPr>
          <w:rFonts w:ascii="Arial" w:hAnsi="Arial" w:cs="Arial"/>
          <w:sz w:val="20"/>
          <w:szCs w:val="20"/>
        </w:rPr>
        <w:t xml:space="preserve"> </w:t>
      </w:r>
      <w:r w:rsidR="003F1A6C" w:rsidRPr="00C50309">
        <w:rPr>
          <w:rFonts w:ascii="Arial" w:hAnsi="Arial" w:cs="Arial"/>
          <w:sz w:val="20"/>
          <w:szCs w:val="20"/>
        </w:rPr>
        <w:t>You can find the tool here</w:t>
      </w:r>
      <w:r w:rsidR="003F1A6C">
        <w:rPr>
          <w:rFonts w:ascii="Arial" w:hAnsi="Arial" w:cs="Arial"/>
          <w:sz w:val="20"/>
          <w:szCs w:val="20"/>
        </w:rPr>
        <w:t>:</w:t>
      </w:r>
      <w:r w:rsidR="003F1A6C" w:rsidRPr="00C50309">
        <w:rPr>
          <w:rFonts w:ascii="Arial" w:hAnsi="Arial" w:cs="Arial"/>
          <w:sz w:val="20"/>
          <w:szCs w:val="20"/>
        </w:rPr>
        <w:t> </w:t>
      </w:r>
      <w:hyperlink r:id="rId14" w:tgtFrame="_blank" w:history="1">
        <w:r w:rsidR="003F1A6C" w:rsidRPr="00C50309">
          <w:rPr>
            <w:rStyle w:val="Hyperlink"/>
            <w:rFonts w:ascii="Arial" w:hAnsi="Arial" w:cs="Arial"/>
            <w:sz w:val="20"/>
            <w:szCs w:val="20"/>
          </w:rPr>
          <w:t>https://www.dol.gov/sites/dolgov/files/EBSA/laws-and-regulations/laws/mental-health-parity/self-compliance-tool.pdf</w:t>
        </w:r>
      </w:hyperlink>
    </w:p>
    <w:p w14:paraId="64E5A3E3" w14:textId="6BAC1BDB" w:rsidR="00B95212" w:rsidRDefault="00B95212" w:rsidP="007A782A">
      <w:pPr>
        <w:pStyle w:val="NormalWeb"/>
        <w:spacing w:after="0" w:afterAutospacing="0"/>
        <w:rPr>
          <w:rFonts w:ascii="Arial" w:hAnsi="Arial" w:cs="Arial"/>
          <w:b/>
          <w:bCs/>
          <w:sz w:val="20"/>
          <w:szCs w:val="20"/>
        </w:rPr>
      </w:pPr>
      <w:r>
        <w:rPr>
          <w:rFonts w:ascii="Arial" w:hAnsi="Arial" w:cs="Arial"/>
          <w:b/>
          <w:bCs/>
          <w:sz w:val="20"/>
          <w:szCs w:val="20"/>
        </w:rPr>
        <w:t>Consequences of Non-Compliance</w:t>
      </w:r>
    </w:p>
    <w:p w14:paraId="53649990" w14:textId="041FB95E" w:rsidR="002F24E0" w:rsidRDefault="002F24E0" w:rsidP="009A5550">
      <w:pPr>
        <w:pStyle w:val="NormalWeb"/>
        <w:spacing w:before="0" w:beforeAutospacing="0"/>
        <w:rPr>
          <w:rFonts w:ascii="Arial" w:hAnsi="Arial" w:cs="Arial"/>
          <w:sz w:val="20"/>
          <w:szCs w:val="20"/>
        </w:rPr>
      </w:pPr>
      <w:r>
        <w:rPr>
          <w:rFonts w:ascii="Arial" w:hAnsi="Arial" w:cs="Arial"/>
          <w:sz w:val="20"/>
          <w:szCs w:val="20"/>
        </w:rPr>
        <w:t>If the comparative analysis is requested and found to be insufficient by a federal or state agency, the agency will suggest corrective action</w:t>
      </w:r>
      <w:r w:rsidR="004C3C10">
        <w:rPr>
          <w:rFonts w:ascii="Arial" w:hAnsi="Arial" w:cs="Arial"/>
          <w:sz w:val="20"/>
          <w:szCs w:val="20"/>
        </w:rPr>
        <w:t xml:space="preserve"> be taken within 45 days. If the plan fails to comply with the suggested corrective action </w:t>
      </w:r>
      <w:r w:rsidR="00D44296">
        <w:rPr>
          <w:rFonts w:ascii="Arial" w:hAnsi="Arial" w:cs="Arial"/>
          <w:sz w:val="20"/>
          <w:szCs w:val="20"/>
        </w:rPr>
        <w:t>in a timely manner, the agency will notify enrolled individuals of the non-compliance and may also include the plan in a public report along with other non-compliant plans.</w:t>
      </w:r>
    </w:p>
    <w:p w14:paraId="5512709A" w14:textId="2EE46673" w:rsidR="001F1190" w:rsidRDefault="00D44296" w:rsidP="00B0091A">
      <w:pPr>
        <w:pStyle w:val="NormalWeb"/>
        <w:spacing w:after="0" w:afterAutospacing="0"/>
        <w:rPr>
          <w:rFonts w:ascii="Arial" w:hAnsi="Arial" w:cs="Arial"/>
          <w:sz w:val="20"/>
          <w:szCs w:val="20"/>
        </w:rPr>
      </w:pPr>
      <w:r>
        <w:rPr>
          <w:rFonts w:ascii="Arial" w:hAnsi="Arial" w:cs="Arial"/>
          <w:sz w:val="20"/>
          <w:szCs w:val="20"/>
        </w:rPr>
        <w:t xml:space="preserve">Keep in mind, </w:t>
      </w:r>
      <w:r w:rsidR="00EF5D12">
        <w:rPr>
          <w:rFonts w:ascii="Arial" w:hAnsi="Arial" w:cs="Arial"/>
          <w:sz w:val="20"/>
          <w:szCs w:val="20"/>
        </w:rPr>
        <w:t>th</w:t>
      </w:r>
      <w:r w:rsidR="00AC6BCB">
        <w:rPr>
          <w:rFonts w:ascii="Arial" w:hAnsi="Arial" w:cs="Arial"/>
          <w:sz w:val="20"/>
          <w:szCs w:val="20"/>
        </w:rPr>
        <w:t>e purpose of the</w:t>
      </w:r>
      <w:r w:rsidR="00EF5D12">
        <w:rPr>
          <w:rFonts w:ascii="Arial" w:hAnsi="Arial" w:cs="Arial"/>
          <w:sz w:val="20"/>
          <w:szCs w:val="20"/>
        </w:rPr>
        <w:t xml:space="preserve"> comparative analysis </w:t>
      </w:r>
      <w:r w:rsidR="00AC6BCB">
        <w:rPr>
          <w:rFonts w:ascii="Arial" w:hAnsi="Arial" w:cs="Arial"/>
          <w:sz w:val="20"/>
          <w:szCs w:val="20"/>
        </w:rPr>
        <w:t>is</w:t>
      </w:r>
      <w:r w:rsidR="00EF5D12">
        <w:rPr>
          <w:rFonts w:ascii="Arial" w:hAnsi="Arial" w:cs="Arial"/>
          <w:sz w:val="20"/>
          <w:szCs w:val="20"/>
        </w:rPr>
        <w:t xml:space="preserve"> to provide further visibility into whether plans are</w:t>
      </w:r>
      <w:r w:rsidR="001C6F8A">
        <w:rPr>
          <w:rFonts w:ascii="Arial" w:hAnsi="Arial" w:cs="Arial"/>
          <w:sz w:val="20"/>
          <w:szCs w:val="20"/>
        </w:rPr>
        <w:t xml:space="preserve"> </w:t>
      </w:r>
      <w:r w:rsidR="0038294D">
        <w:rPr>
          <w:rFonts w:ascii="Arial" w:hAnsi="Arial" w:cs="Arial"/>
          <w:sz w:val="20"/>
          <w:szCs w:val="20"/>
        </w:rPr>
        <w:t>compliant</w:t>
      </w:r>
      <w:r w:rsidR="001C6F8A">
        <w:rPr>
          <w:rFonts w:ascii="Arial" w:hAnsi="Arial" w:cs="Arial"/>
          <w:sz w:val="20"/>
          <w:szCs w:val="20"/>
        </w:rPr>
        <w:t xml:space="preserve"> with the mental health parity requirements. Whether the analysis is determined to be sufficient or not, i</w:t>
      </w:r>
      <w:r w:rsidR="007A782A">
        <w:rPr>
          <w:rFonts w:ascii="Arial" w:hAnsi="Arial" w:cs="Arial"/>
          <w:sz w:val="20"/>
          <w:szCs w:val="20"/>
        </w:rPr>
        <w:t xml:space="preserve">f an agency </w:t>
      </w:r>
      <w:r w:rsidR="009A5550">
        <w:rPr>
          <w:rFonts w:ascii="Arial" w:hAnsi="Arial" w:cs="Arial"/>
          <w:sz w:val="20"/>
          <w:szCs w:val="20"/>
        </w:rPr>
        <w:t xml:space="preserve">audit </w:t>
      </w:r>
      <w:r w:rsidR="007A782A">
        <w:rPr>
          <w:rFonts w:ascii="Arial" w:hAnsi="Arial" w:cs="Arial"/>
          <w:sz w:val="20"/>
          <w:szCs w:val="20"/>
        </w:rPr>
        <w:t xml:space="preserve">determines that any </w:t>
      </w:r>
      <w:r w:rsidR="00735A5C">
        <w:rPr>
          <w:rFonts w:ascii="Arial" w:hAnsi="Arial" w:cs="Arial"/>
          <w:sz w:val="20"/>
          <w:szCs w:val="20"/>
        </w:rPr>
        <w:t xml:space="preserve">financial, quantitative, or non-quantitative treatment limitations (NQTLs) </w:t>
      </w:r>
      <w:r w:rsidR="001B5480">
        <w:rPr>
          <w:rFonts w:ascii="Arial" w:hAnsi="Arial" w:cs="Arial"/>
          <w:sz w:val="20"/>
          <w:szCs w:val="20"/>
        </w:rPr>
        <w:t>do</w:t>
      </w:r>
      <w:r w:rsidR="007A782A">
        <w:rPr>
          <w:rFonts w:ascii="Arial" w:hAnsi="Arial" w:cs="Arial"/>
          <w:sz w:val="20"/>
          <w:szCs w:val="20"/>
        </w:rPr>
        <w:t xml:space="preserve"> not comply with the </w:t>
      </w:r>
      <w:r w:rsidR="00A62AD9">
        <w:rPr>
          <w:rFonts w:ascii="Arial" w:hAnsi="Arial" w:cs="Arial"/>
          <w:sz w:val="20"/>
          <w:szCs w:val="20"/>
        </w:rPr>
        <w:t xml:space="preserve">parity requirements, the plan may be required to take corrective action </w:t>
      </w:r>
      <w:r w:rsidR="000B02C9">
        <w:rPr>
          <w:rFonts w:ascii="Arial" w:hAnsi="Arial" w:cs="Arial"/>
          <w:sz w:val="20"/>
          <w:szCs w:val="20"/>
        </w:rPr>
        <w:t xml:space="preserve">(e.g., </w:t>
      </w:r>
      <w:r w:rsidR="00F475CA">
        <w:rPr>
          <w:rFonts w:ascii="Arial" w:hAnsi="Arial" w:cs="Arial"/>
          <w:sz w:val="20"/>
          <w:szCs w:val="20"/>
        </w:rPr>
        <w:t>reprocess</w:t>
      </w:r>
      <w:r w:rsidR="00266F6D">
        <w:rPr>
          <w:rFonts w:ascii="Arial" w:hAnsi="Arial" w:cs="Arial"/>
          <w:sz w:val="20"/>
          <w:szCs w:val="20"/>
        </w:rPr>
        <w:t xml:space="preserve"> claims</w:t>
      </w:r>
      <w:r w:rsidR="009A5550">
        <w:rPr>
          <w:rFonts w:ascii="Arial" w:hAnsi="Arial" w:cs="Arial"/>
          <w:sz w:val="20"/>
          <w:szCs w:val="20"/>
        </w:rPr>
        <w:t xml:space="preserve"> and refund participants when applicable</w:t>
      </w:r>
      <w:r w:rsidR="000B02C9">
        <w:rPr>
          <w:rFonts w:ascii="Arial" w:hAnsi="Arial" w:cs="Arial"/>
          <w:sz w:val="20"/>
          <w:szCs w:val="20"/>
        </w:rPr>
        <w:t>)</w:t>
      </w:r>
      <w:r w:rsidR="009A5550">
        <w:rPr>
          <w:rFonts w:ascii="Arial" w:hAnsi="Arial" w:cs="Arial"/>
          <w:sz w:val="20"/>
          <w:szCs w:val="20"/>
        </w:rPr>
        <w:t xml:space="preserve">. In addition, </w:t>
      </w:r>
      <w:r w:rsidR="000B02C9">
        <w:rPr>
          <w:rFonts w:ascii="Arial" w:hAnsi="Arial" w:cs="Arial"/>
          <w:sz w:val="20"/>
          <w:szCs w:val="20"/>
        </w:rPr>
        <w:t xml:space="preserve">non-compliant </w:t>
      </w:r>
      <w:r w:rsidR="009A5550">
        <w:rPr>
          <w:rFonts w:ascii="Arial" w:hAnsi="Arial" w:cs="Arial"/>
          <w:sz w:val="20"/>
          <w:szCs w:val="20"/>
        </w:rPr>
        <w:t>plans could be subject to a penalty of up to $100/day per affected individual</w:t>
      </w:r>
      <w:r w:rsidR="00F8680D">
        <w:rPr>
          <w:rFonts w:ascii="Arial" w:hAnsi="Arial" w:cs="Arial"/>
          <w:sz w:val="20"/>
          <w:szCs w:val="20"/>
        </w:rPr>
        <w:t xml:space="preserve">, and if disclosures are not </w:t>
      </w:r>
      <w:r w:rsidR="002C0FBF">
        <w:rPr>
          <w:rFonts w:ascii="Arial" w:hAnsi="Arial" w:cs="Arial"/>
          <w:sz w:val="20"/>
          <w:szCs w:val="20"/>
        </w:rPr>
        <w:t>available upon request, general ERISA penalties could apply.</w:t>
      </w:r>
    </w:p>
    <w:p w14:paraId="75F7BFE5" w14:textId="77777777" w:rsidR="003C6762" w:rsidRDefault="003C6762" w:rsidP="003C6762">
      <w:pPr>
        <w:pStyle w:val="NormalWeb"/>
        <w:rPr>
          <w:rFonts w:ascii="Arial" w:hAnsi="Arial" w:cs="Arial"/>
          <w:sz w:val="20"/>
          <w:szCs w:val="20"/>
        </w:rPr>
      </w:pPr>
      <w:r>
        <w:rPr>
          <w:rFonts w:ascii="Arial" w:hAnsi="Arial" w:cs="Arial"/>
          <w:sz w:val="20"/>
          <w:szCs w:val="20"/>
        </w:rPr>
        <w:t>T</w:t>
      </w:r>
      <w:r w:rsidRPr="00C50309">
        <w:rPr>
          <w:rFonts w:ascii="Arial" w:hAnsi="Arial" w:cs="Arial"/>
          <w:sz w:val="20"/>
          <w:szCs w:val="20"/>
        </w:rPr>
        <w:t xml:space="preserve">he </w:t>
      </w:r>
      <w:r>
        <w:rPr>
          <w:rFonts w:ascii="Arial" w:hAnsi="Arial" w:cs="Arial"/>
          <w:sz w:val="20"/>
          <w:szCs w:val="20"/>
        </w:rPr>
        <w:t xml:space="preserve">legislation requires </w:t>
      </w:r>
      <w:r w:rsidRPr="00C50309">
        <w:rPr>
          <w:rFonts w:ascii="Arial" w:hAnsi="Arial" w:cs="Arial"/>
          <w:sz w:val="20"/>
          <w:szCs w:val="20"/>
        </w:rPr>
        <w:t xml:space="preserve">agencies </w:t>
      </w:r>
      <w:r>
        <w:rPr>
          <w:rFonts w:ascii="Arial" w:hAnsi="Arial" w:cs="Arial"/>
          <w:sz w:val="20"/>
          <w:szCs w:val="20"/>
        </w:rPr>
        <w:t>to perform at least 20 audits per year</w:t>
      </w:r>
      <w:r w:rsidRPr="00C50309">
        <w:rPr>
          <w:rFonts w:ascii="Arial" w:hAnsi="Arial" w:cs="Arial"/>
          <w:sz w:val="20"/>
          <w:szCs w:val="20"/>
        </w:rPr>
        <w:t xml:space="preserve">. </w:t>
      </w:r>
      <w:r>
        <w:rPr>
          <w:rFonts w:ascii="Arial" w:hAnsi="Arial" w:cs="Arial"/>
          <w:sz w:val="20"/>
          <w:szCs w:val="20"/>
        </w:rPr>
        <w:t>The DOL expects to focus initial efforts on enforcement of: (</w:t>
      </w:r>
      <w:proofErr w:type="spellStart"/>
      <w:r>
        <w:rPr>
          <w:rFonts w:ascii="Arial" w:hAnsi="Arial" w:cs="Arial"/>
          <w:sz w:val="20"/>
          <w:szCs w:val="20"/>
        </w:rPr>
        <w:t>i</w:t>
      </w:r>
      <w:proofErr w:type="spellEnd"/>
      <w:r>
        <w:rPr>
          <w:rFonts w:ascii="Arial" w:hAnsi="Arial" w:cs="Arial"/>
          <w:sz w:val="20"/>
          <w:szCs w:val="20"/>
        </w:rPr>
        <w:t>) prior authorization requirements for in-network and out-of-network inpatient services; (ii) concurrent review for in-network and out-of-network inpatient and outpatient services; (iii) standards for provider admission to participate in a network, including reimbursement rates; and (iv) out-of-network reimbursement rates (plan methods for determining usual, customary, and reasonable charges). Very few employer plans are likely to face an audit over the next 12 months</w:t>
      </w:r>
      <w:r w:rsidRPr="00C50309">
        <w:rPr>
          <w:rFonts w:ascii="Arial" w:hAnsi="Arial" w:cs="Arial"/>
          <w:sz w:val="20"/>
          <w:szCs w:val="20"/>
        </w:rPr>
        <w:t xml:space="preserve">, </w:t>
      </w:r>
      <w:r>
        <w:rPr>
          <w:rFonts w:ascii="Arial" w:hAnsi="Arial" w:cs="Arial"/>
          <w:sz w:val="20"/>
          <w:szCs w:val="20"/>
        </w:rPr>
        <w:t xml:space="preserve">but this serves as </w:t>
      </w:r>
      <w:r>
        <w:rPr>
          <w:rFonts w:ascii="Arial" w:hAnsi="Arial" w:cs="Arial"/>
          <w:sz w:val="20"/>
          <w:szCs w:val="20"/>
        </w:rPr>
        <w:lastRenderedPageBreak/>
        <w:t>a reminder to</w:t>
      </w:r>
      <w:r w:rsidRPr="00C50309">
        <w:rPr>
          <w:rFonts w:ascii="Arial" w:hAnsi="Arial" w:cs="Arial"/>
          <w:sz w:val="20"/>
          <w:szCs w:val="20"/>
        </w:rPr>
        <w:t xml:space="preserve"> further explore whether plans really meet parity requirements and </w:t>
      </w:r>
      <w:r>
        <w:rPr>
          <w:rFonts w:ascii="Arial" w:hAnsi="Arial" w:cs="Arial"/>
          <w:sz w:val="20"/>
          <w:szCs w:val="20"/>
        </w:rPr>
        <w:t>coordinate to ensure a comparative analysis is being completed for potential audit purposes</w:t>
      </w:r>
      <w:r w:rsidRPr="00C50309">
        <w:rPr>
          <w:rFonts w:ascii="Arial" w:hAnsi="Arial" w:cs="Arial"/>
          <w:sz w:val="20"/>
          <w:szCs w:val="20"/>
        </w:rPr>
        <w:t>. </w:t>
      </w:r>
    </w:p>
    <w:p w14:paraId="2D8BB34A" w14:textId="25B2BD3C" w:rsidR="008D390C" w:rsidRDefault="008D390C" w:rsidP="001E0828">
      <w:pPr>
        <w:pStyle w:val="NormalWeb"/>
        <w:spacing w:after="0" w:afterAutospacing="0"/>
        <w:rPr>
          <w:rFonts w:ascii="Arial" w:hAnsi="Arial" w:cs="Arial"/>
          <w:b/>
          <w:bCs/>
          <w:sz w:val="20"/>
          <w:szCs w:val="20"/>
        </w:rPr>
      </w:pPr>
      <w:r>
        <w:rPr>
          <w:rFonts w:ascii="Arial" w:hAnsi="Arial" w:cs="Arial"/>
          <w:b/>
          <w:bCs/>
          <w:sz w:val="20"/>
          <w:szCs w:val="20"/>
        </w:rPr>
        <w:t>Summary</w:t>
      </w:r>
    </w:p>
    <w:p w14:paraId="7E8251F5" w14:textId="6BB3D021" w:rsidR="000E6837" w:rsidRDefault="008D59EF" w:rsidP="00FD7088">
      <w:pPr>
        <w:pStyle w:val="NormalWeb"/>
        <w:spacing w:before="0" w:beforeAutospacing="0"/>
        <w:rPr>
          <w:rFonts w:ascii="Arial" w:hAnsi="Arial" w:cs="Arial"/>
          <w:sz w:val="20"/>
          <w:szCs w:val="20"/>
        </w:rPr>
      </w:pPr>
      <w:r>
        <w:rPr>
          <w:rFonts w:ascii="Arial" w:hAnsi="Arial" w:cs="Arial"/>
          <w:sz w:val="20"/>
          <w:szCs w:val="20"/>
        </w:rPr>
        <w:t>When the comparative analysis requirements were added by the Consolidated Appropriates Act of 2021, the agencies were instructed to provide further guidance. Th</w:t>
      </w:r>
      <w:r w:rsidR="00362A72">
        <w:rPr>
          <w:rFonts w:ascii="Arial" w:hAnsi="Arial" w:cs="Arial"/>
          <w:sz w:val="20"/>
          <w:szCs w:val="20"/>
        </w:rPr>
        <w:t xml:space="preserve">e FAQs are meant to serve as guidance </w:t>
      </w:r>
      <w:r w:rsidR="000E6837">
        <w:rPr>
          <w:rFonts w:ascii="Arial" w:hAnsi="Arial" w:cs="Arial"/>
          <w:sz w:val="20"/>
          <w:szCs w:val="20"/>
        </w:rPr>
        <w:t>in the short-term, since the requirement already went into effect as of February 10, 2021</w:t>
      </w:r>
      <w:r w:rsidR="001E0828">
        <w:rPr>
          <w:rFonts w:ascii="Arial" w:hAnsi="Arial" w:cs="Arial"/>
          <w:sz w:val="20"/>
          <w:szCs w:val="20"/>
        </w:rPr>
        <w:t>. T</w:t>
      </w:r>
      <w:r w:rsidR="00362A72">
        <w:rPr>
          <w:rFonts w:ascii="Arial" w:hAnsi="Arial" w:cs="Arial"/>
          <w:sz w:val="20"/>
          <w:szCs w:val="20"/>
        </w:rPr>
        <w:t xml:space="preserve">he agencies </w:t>
      </w:r>
      <w:r w:rsidR="001E0828">
        <w:rPr>
          <w:rFonts w:ascii="Arial" w:hAnsi="Arial" w:cs="Arial"/>
          <w:sz w:val="20"/>
          <w:szCs w:val="20"/>
        </w:rPr>
        <w:t xml:space="preserve">will </w:t>
      </w:r>
      <w:r w:rsidR="00362A72">
        <w:rPr>
          <w:rFonts w:ascii="Arial" w:hAnsi="Arial" w:cs="Arial"/>
          <w:sz w:val="20"/>
          <w:szCs w:val="20"/>
        </w:rPr>
        <w:t xml:space="preserve">engage with stakeholders to determine what, if any, additional guidance is needed. </w:t>
      </w:r>
    </w:p>
    <w:p w14:paraId="56F9AF0D" w14:textId="2CEBE490" w:rsidR="003443F3" w:rsidRPr="005D0804" w:rsidRDefault="007E73F6" w:rsidP="005D0804">
      <w:pPr>
        <w:spacing w:before="100" w:beforeAutospacing="1" w:after="100" w:afterAutospacing="1"/>
        <w:ind w:left="0"/>
        <w:rPr>
          <w:rFonts w:cs="Arial"/>
          <w:szCs w:val="20"/>
        </w:rPr>
      </w:pPr>
      <w:r w:rsidRPr="00C50309">
        <w:rPr>
          <w:rFonts w:cs="Arial"/>
          <w:szCs w:val="20"/>
        </w:rPr>
        <w:t xml:space="preserve">For </w:t>
      </w:r>
      <w:r w:rsidRPr="00C50309">
        <w:rPr>
          <w:rFonts w:cs="Arial"/>
          <w:szCs w:val="20"/>
          <w:u w:val="single"/>
        </w:rPr>
        <w:t>fully-insured plans</w:t>
      </w:r>
      <w:r w:rsidRPr="00C50309">
        <w:rPr>
          <w:rFonts w:cs="Arial"/>
          <w:szCs w:val="20"/>
        </w:rPr>
        <w:t xml:space="preserve">, </w:t>
      </w:r>
      <w:r>
        <w:rPr>
          <w:rFonts w:cs="Arial"/>
          <w:szCs w:val="20"/>
        </w:rPr>
        <w:t>the carrier is primarily responsible for plan design</w:t>
      </w:r>
      <w:r w:rsidR="005D0804">
        <w:rPr>
          <w:rFonts w:cs="Arial"/>
          <w:szCs w:val="20"/>
        </w:rPr>
        <w:t>,</w:t>
      </w:r>
      <w:r>
        <w:rPr>
          <w:rFonts w:cs="Arial"/>
          <w:szCs w:val="20"/>
        </w:rPr>
        <w:t xml:space="preserve"> claims processing </w:t>
      </w:r>
      <w:r w:rsidR="005D0804">
        <w:rPr>
          <w:rFonts w:cs="Arial"/>
          <w:szCs w:val="20"/>
        </w:rPr>
        <w:t xml:space="preserve">and </w:t>
      </w:r>
      <w:r>
        <w:rPr>
          <w:rFonts w:cs="Arial"/>
          <w:szCs w:val="20"/>
        </w:rPr>
        <w:t xml:space="preserve">this comparative analysis at the </w:t>
      </w:r>
      <w:r w:rsidR="005D0804">
        <w:rPr>
          <w:rFonts w:cs="Arial"/>
          <w:szCs w:val="20"/>
        </w:rPr>
        <w:t xml:space="preserve">federal and </w:t>
      </w:r>
      <w:r>
        <w:rPr>
          <w:rFonts w:cs="Arial"/>
          <w:szCs w:val="20"/>
        </w:rPr>
        <w:t>state level.</w:t>
      </w:r>
      <w:r w:rsidR="005D0804">
        <w:rPr>
          <w:rFonts w:cs="Arial"/>
          <w:szCs w:val="20"/>
        </w:rPr>
        <w:t xml:space="preserve"> </w:t>
      </w:r>
      <w:r w:rsidR="00F86E23" w:rsidRPr="00F86E23">
        <w:rPr>
          <w:rFonts w:eastAsia="Times New Roman" w:cs="Arial"/>
          <w:color w:val="201F1E"/>
          <w:szCs w:val="20"/>
          <w:lang w:bidi="ar-SA"/>
        </w:rPr>
        <w:t xml:space="preserve">For </w:t>
      </w:r>
      <w:r w:rsidR="00F86E23" w:rsidRPr="00F86E23">
        <w:rPr>
          <w:rFonts w:eastAsia="Times New Roman" w:cs="Arial"/>
          <w:color w:val="201F1E"/>
          <w:szCs w:val="20"/>
          <w:u w:val="single"/>
          <w:lang w:bidi="ar-SA"/>
        </w:rPr>
        <w:t>self-funded plans</w:t>
      </w:r>
      <w:r w:rsidR="00F86E23" w:rsidRPr="00F86E23">
        <w:rPr>
          <w:rFonts w:eastAsia="Times New Roman" w:cs="Arial"/>
          <w:color w:val="201F1E"/>
          <w:szCs w:val="20"/>
          <w:lang w:bidi="ar-SA"/>
        </w:rPr>
        <w:t xml:space="preserve">, </w:t>
      </w:r>
      <w:r w:rsidR="009E13E1">
        <w:rPr>
          <w:rFonts w:eastAsia="Times New Roman" w:cs="Arial"/>
          <w:color w:val="201F1E"/>
          <w:szCs w:val="20"/>
          <w:lang w:bidi="ar-SA"/>
        </w:rPr>
        <w:t>the employer is primarily responsible for compliance</w:t>
      </w:r>
      <w:r w:rsidR="00130B2C">
        <w:rPr>
          <w:rFonts w:eastAsia="Times New Roman" w:cs="Arial"/>
          <w:color w:val="201F1E"/>
          <w:szCs w:val="20"/>
          <w:lang w:bidi="ar-SA"/>
        </w:rPr>
        <w:t xml:space="preserve"> with the mental health parity rules, although the TPA often plays a role in plan design and claims processing. W</w:t>
      </w:r>
      <w:r w:rsidR="00F86E23" w:rsidRPr="00F86E23">
        <w:rPr>
          <w:rFonts w:eastAsia="Times New Roman" w:cs="Arial"/>
          <w:color w:val="201F1E"/>
          <w:szCs w:val="20"/>
          <w:lang w:bidi="ar-SA"/>
        </w:rPr>
        <w:t xml:space="preserve">e have heard that </w:t>
      </w:r>
      <w:r w:rsidR="00F708A1">
        <w:rPr>
          <w:rFonts w:eastAsia="Times New Roman" w:cs="Arial"/>
          <w:color w:val="201F1E"/>
          <w:szCs w:val="20"/>
          <w:lang w:bidi="ar-SA"/>
        </w:rPr>
        <w:t xml:space="preserve">not all </w:t>
      </w:r>
      <w:r w:rsidR="00F86E23" w:rsidRPr="00F86E23">
        <w:rPr>
          <w:rFonts w:eastAsia="Times New Roman" w:cs="Arial"/>
          <w:color w:val="201F1E"/>
          <w:szCs w:val="20"/>
          <w:lang w:bidi="ar-SA"/>
        </w:rPr>
        <w:t xml:space="preserve">TPAs are </w:t>
      </w:r>
      <w:r w:rsidR="00F708A1">
        <w:rPr>
          <w:rFonts w:eastAsia="Times New Roman" w:cs="Arial"/>
          <w:color w:val="201F1E"/>
          <w:szCs w:val="20"/>
          <w:lang w:bidi="ar-SA"/>
        </w:rPr>
        <w:t>willing</w:t>
      </w:r>
      <w:r w:rsidR="00F86E23" w:rsidRPr="00F86E23">
        <w:rPr>
          <w:rFonts w:eastAsia="Times New Roman" w:cs="Arial"/>
          <w:color w:val="201F1E"/>
          <w:szCs w:val="20"/>
          <w:lang w:bidi="ar-SA"/>
        </w:rPr>
        <w:t xml:space="preserve"> to help </w:t>
      </w:r>
      <w:r w:rsidR="00C812D0">
        <w:rPr>
          <w:rFonts w:eastAsia="Times New Roman" w:cs="Arial"/>
          <w:color w:val="201F1E"/>
          <w:szCs w:val="20"/>
          <w:lang w:bidi="ar-SA"/>
        </w:rPr>
        <w:t>prepare a comparative analysis or audit more generally for compliance with the mental health parity rules</w:t>
      </w:r>
      <w:r w:rsidR="00F86E23" w:rsidRPr="00F86E23">
        <w:rPr>
          <w:rFonts w:eastAsia="Times New Roman" w:cs="Arial"/>
          <w:color w:val="201F1E"/>
          <w:szCs w:val="20"/>
          <w:lang w:bidi="ar-SA"/>
        </w:rPr>
        <w:t xml:space="preserve">, which leaves employers in a tough position. If TPAs will not assist with this requirement, it may be necessary to obtain the help of an </w:t>
      </w:r>
      <w:r w:rsidR="004030ED">
        <w:rPr>
          <w:rFonts w:eastAsia="Times New Roman" w:cs="Arial"/>
          <w:color w:val="201F1E"/>
          <w:szCs w:val="20"/>
          <w:lang w:bidi="ar-SA"/>
        </w:rPr>
        <w:t>outside benefits consulting firm or law firm</w:t>
      </w:r>
      <w:r w:rsidR="00F86E23" w:rsidRPr="00F86E23">
        <w:rPr>
          <w:rFonts w:eastAsia="Times New Roman" w:cs="Arial"/>
          <w:color w:val="201F1E"/>
          <w:szCs w:val="20"/>
          <w:lang w:bidi="ar-SA"/>
        </w:rPr>
        <w:t xml:space="preserve">. </w:t>
      </w:r>
    </w:p>
    <w:p w14:paraId="05881C89" w14:textId="77777777" w:rsidR="0031633B" w:rsidRDefault="0031633B" w:rsidP="009F128D">
      <w:pPr>
        <w:pStyle w:val="MediumShading1-Accent11"/>
        <w:ind w:left="0"/>
        <w:rPr>
          <w:rFonts w:cs="Arial"/>
          <w:i/>
          <w:sz w:val="16"/>
          <w:szCs w:val="16"/>
        </w:rPr>
      </w:pPr>
    </w:p>
    <w:p w14:paraId="0FD1D7C3" w14:textId="77777777" w:rsidR="00C22433" w:rsidRDefault="00C22433" w:rsidP="009F128D">
      <w:pPr>
        <w:pStyle w:val="MediumShading1-Accent11"/>
        <w:ind w:left="0"/>
        <w:rPr>
          <w:rFonts w:cs="Arial"/>
          <w:i/>
          <w:sz w:val="16"/>
          <w:szCs w:val="16"/>
        </w:rPr>
      </w:pPr>
    </w:p>
    <w:p w14:paraId="76761674" w14:textId="77777777" w:rsidR="00C22433" w:rsidRDefault="00C22433" w:rsidP="009F128D">
      <w:pPr>
        <w:pStyle w:val="MediumShading1-Accent11"/>
        <w:ind w:left="0"/>
        <w:rPr>
          <w:rFonts w:cs="Arial"/>
          <w:i/>
          <w:sz w:val="16"/>
          <w:szCs w:val="16"/>
        </w:rPr>
      </w:pPr>
    </w:p>
    <w:p w14:paraId="448020FF" w14:textId="004F1F72"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27EABE9" w14:textId="77777777" w:rsidR="008362F4" w:rsidRPr="007A388B" w:rsidRDefault="008362F4" w:rsidP="00160EF0">
      <w:pPr>
        <w:ind w:left="0"/>
        <w:rPr>
          <w:rFonts w:cs="Arial"/>
          <w:szCs w:val="20"/>
        </w:rPr>
      </w:pPr>
    </w:p>
    <w:sectPr w:rsidR="008362F4" w:rsidRPr="007A388B" w:rsidSect="00E53468">
      <w:footerReference w:type="default" r:id="rId15"/>
      <w:headerReference w:type="first" r:id="rId16"/>
      <w:footerReference w:type="first" r:id="rId17"/>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858D" w14:textId="77777777" w:rsidR="002E13D0" w:rsidRDefault="002E13D0" w:rsidP="006C7EC1">
      <w:r>
        <w:separator/>
      </w:r>
    </w:p>
  </w:endnote>
  <w:endnote w:type="continuationSeparator" w:id="0">
    <w:p w14:paraId="0587DBA0" w14:textId="77777777" w:rsidR="002E13D0" w:rsidRDefault="002E13D0" w:rsidP="006C7EC1">
      <w:r>
        <w:continuationSeparator/>
      </w:r>
    </w:p>
  </w:endnote>
  <w:endnote w:type="continuationNotice" w:id="1">
    <w:p w14:paraId="70BFB5BA" w14:textId="77777777" w:rsidR="002E13D0" w:rsidRDefault="002E1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06543608"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7A93474D"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76C5C" w14:textId="77777777" w:rsidR="002E13D0" w:rsidRDefault="002E13D0" w:rsidP="006C7EC1">
      <w:r>
        <w:separator/>
      </w:r>
    </w:p>
  </w:footnote>
  <w:footnote w:type="continuationSeparator" w:id="0">
    <w:p w14:paraId="450C46A4" w14:textId="77777777" w:rsidR="002E13D0" w:rsidRDefault="002E13D0" w:rsidP="006C7EC1">
      <w:r>
        <w:continuationSeparator/>
      </w:r>
    </w:p>
  </w:footnote>
  <w:footnote w:type="continuationNotice" w:id="1">
    <w:p w14:paraId="081473F3" w14:textId="77777777" w:rsidR="002E13D0" w:rsidRDefault="002E1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B1679"/>
    <w:multiLevelType w:val="hybridMultilevel"/>
    <w:tmpl w:val="CF7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D2F46"/>
    <w:multiLevelType w:val="hybridMultilevel"/>
    <w:tmpl w:val="F0B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B1D2F"/>
    <w:multiLevelType w:val="multilevel"/>
    <w:tmpl w:val="79B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347A07"/>
    <w:multiLevelType w:val="hybridMultilevel"/>
    <w:tmpl w:val="299E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474F9"/>
    <w:multiLevelType w:val="hybridMultilevel"/>
    <w:tmpl w:val="7C0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A24686"/>
    <w:multiLevelType w:val="multilevel"/>
    <w:tmpl w:val="818C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30770C"/>
    <w:multiLevelType w:val="multilevel"/>
    <w:tmpl w:val="91C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7"/>
  </w:num>
  <w:num w:numId="3">
    <w:abstractNumId w:val="26"/>
  </w:num>
  <w:num w:numId="4">
    <w:abstractNumId w:val="5"/>
  </w:num>
  <w:num w:numId="5">
    <w:abstractNumId w:val="21"/>
  </w:num>
  <w:num w:numId="6">
    <w:abstractNumId w:val="9"/>
  </w:num>
  <w:num w:numId="7">
    <w:abstractNumId w:val="8"/>
  </w:num>
  <w:num w:numId="8">
    <w:abstractNumId w:val="24"/>
  </w:num>
  <w:num w:numId="9">
    <w:abstractNumId w:val="0"/>
  </w:num>
  <w:num w:numId="10">
    <w:abstractNumId w:val="22"/>
  </w:num>
  <w:num w:numId="11">
    <w:abstractNumId w:val="28"/>
  </w:num>
  <w:num w:numId="12">
    <w:abstractNumId w:val="15"/>
  </w:num>
  <w:num w:numId="13">
    <w:abstractNumId w:val="13"/>
  </w:num>
  <w:num w:numId="14">
    <w:abstractNumId w:val="12"/>
  </w:num>
  <w:num w:numId="15">
    <w:abstractNumId w:val="16"/>
  </w:num>
  <w:num w:numId="16">
    <w:abstractNumId w:val="18"/>
  </w:num>
  <w:num w:numId="17">
    <w:abstractNumId w:val="1"/>
  </w:num>
  <w:num w:numId="18">
    <w:abstractNumId w:val="25"/>
  </w:num>
  <w:num w:numId="19">
    <w:abstractNumId w:val="14"/>
  </w:num>
  <w:num w:numId="20">
    <w:abstractNumId w:val="6"/>
  </w:num>
  <w:num w:numId="21">
    <w:abstractNumId w:val="17"/>
  </w:num>
  <w:num w:numId="22">
    <w:abstractNumId w:val="4"/>
  </w:num>
  <w:num w:numId="23">
    <w:abstractNumId w:val="7"/>
  </w:num>
  <w:num w:numId="24">
    <w:abstractNumId w:val="19"/>
  </w:num>
  <w:num w:numId="25">
    <w:abstractNumId w:val="20"/>
  </w:num>
  <w:num w:numId="26">
    <w:abstractNumId w:val="11"/>
  </w:num>
  <w:num w:numId="27">
    <w:abstractNumId w:val="23"/>
  </w:num>
  <w:num w:numId="28">
    <w:abstractNumId w:val="29"/>
  </w:num>
  <w:num w:numId="29">
    <w:abstractNumId w:val="2"/>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30D1"/>
    <w:rsid w:val="00014763"/>
    <w:rsid w:val="00015218"/>
    <w:rsid w:val="000166F5"/>
    <w:rsid w:val="00016C71"/>
    <w:rsid w:val="00017D2C"/>
    <w:rsid w:val="000205FF"/>
    <w:rsid w:val="00021614"/>
    <w:rsid w:val="00027ACB"/>
    <w:rsid w:val="00032B26"/>
    <w:rsid w:val="00033E0F"/>
    <w:rsid w:val="00035AF6"/>
    <w:rsid w:val="00040328"/>
    <w:rsid w:val="00040AAC"/>
    <w:rsid w:val="00040AB3"/>
    <w:rsid w:val="00041D34"/>
    <w:rsid w:val="00042967"/>
    <w:rsid w:val="00042BA6"/>
    <w:rsid w:val="00042D2A"/>
    <w:rsid w:val="000447A2"/>
    <w:rsid w:val="00045F42"/>
    <w:rsid w:val="00053514"/>
    <w:rsid w:val="00054BF9"/>
    <w:rsid w:val="00055FFE"/>
    <w:rsid w:val="00056762"/>
    <w:rsid w:val="0006084A"/>
    <w:rsid w:val="0006208C"/>
    <w:rsid w:val="00063A66"/>
    <w:rsid w:val="00065F15"/>
    <w:rsid w:val="0007077C"/>
    <w:rsid w:val="00071F3D"/>
    <w:rsid w:val="000755EB"/>
    <w:rsid w:val="00081D45"/>
    <w:rsid w:val="00084509"/>
    <w:rsid w:val="000857D5"/>
    <w:rsid w:val="00085D10"/>
    <w:rsid w:val="0008618A"/>
    <w:rsid w:val="00090998"/>
    <w:rsid w:val="00093B13"/>
    <w:rsid w:val="00095F17"/>
    <w:rsid w:val="00096B1E"/>
    <w:rsid w:val="00097D97"/>
    <w:rsid w:val="000A0287"/>
    <w:rsid w:val="000A697A"/>
    <w:rsid w:val="000A76F4"/>
    <w:rsid w:val="000B02C9"/>
    <w:rsid w:val="000B3DE8"/>
    <w:rsid w:val="000B4DEA"/>
    <w:rsid w:val="000C0E97"/>
    <w:rsid w:val="000C21E8"/>
    <w:rsid w:val="000C3603"/>
    <w:rsid w:val="000C3FA8"/>
    <w:rsid w:val="000C41B5"/>
    <w:rsid w:val="000C5473"/>
    <w:rsid w:val="000C62AE"/>
    <w:rsid w:val="000C721A"/>
    <w:rsid w:val="000D122C"/>
    <w:rsid w:val="000D4097"/>
    <w:rsid w:val="000D5FC5"/>
    <w:rsid w:val="000D78EF"/>
    <w:rsid w:val="000E03AB"/>
    <w:rsid w:val="000E1BA2"/>
    <w:rsid w:val="000E3689"/>
    <w:rsid w:val="000E668C"/>
    <w:rsid w:val="000E6837"/>
    <w:rsid w:val="000F0AA0"/>
    <w:rsid w:val="000F215F"/>
    <w:rsid w:val="000F3F23"/>
    <w:rsid w:val="000F7383"/>
    <w:rsid w:val="000F7913"/>
    <w:rsid w:val="00100962"/>
    <w:rsid w:val="0010150B"/>
    <w:rsid w:val="001021F4"/>
    <w:rsid w:val="00102429"/>
    <w:rsid w:val="001024A5"/>
    <w:rsid w:val="00103F85"/>
    <w:rsid w:val="00104680"/>
    <w:rsid w:val="001057C8"/>
    <w:rsid w:val="0011270F"/>
    <w:rsid w:val="00113F23"/>
    <w:rsid w:val="001166BB"/>
    <w:rsid w:val="00123FBF"/>
    <w:rsid w:val="00124760"/>
    <w:rsid w:val="00130B2C"/>
    <w:rsid w:val="00131E66"/>
    <w:rsid w:val="0013223A"/>
    <w:rsid w:val="00132B1C"/>
    <w:rsid w:val="00141074"/>
    <w:rsid w:val="001432A3"/>
    <w:rsid w:val="00144A9C"/>
    <w:rsid w:val="00146F88"/>
    <w:rsid w:val="00152DA2"/>
    <w:rsid w:val="00155720"/>
    <w:rsid w:val="00157A36"/>
    <w:rsid w:val="00157B5F"/>
    <w:rsid w:val="00160EF0"/>
    <w:rsid w:val="00164BD5"/>
    <w:rsid w:val="00171CE9"/>
    <w:rsid w:val="00172882"/>
    <w:rsid w:val="00173347"/>
    <w:rsid w:val="00174732"/>
    <w:rsid w:val="00174C14"/>
    <w:rsid w:val="00180838"/>
    <w:rsid w:val="001824D9"/>
    <w:rsid w:val="001831CC"/>
    <w:rsid w:val="00186D38"/>
    <w:rsid w:val="00187547"/>
    <w:rsid w:val="00192198"/>
    <w:rsid w:val="00194FD3"/>
    <w:rsid w:val="001A4388"/>
    <w:rsid w:val="001A4846"/>
    <w:rsid w:val="001A569D"/>
    <w:rsid w:val="001A7596"/>
    <w:rsid w:val="001A7955"/>
    <w:rsid w:val="001B1A88"/>
    <w:rsid w:val="001B2D81"/>
    <w:rsid w:val="001B5103"/>
    <w:rsid w:val="001B5480"/>
    <w:rsid w:val="001B7DDB"/>
    <w:rsid w:val="001C1E40"/>
    <w:rsid w:val="001C256F"/>
    <w:rsid w:val="001C4860"/>
    <w:rsid w:val="001C4A2B"/>
    <w:rsid w:val="001C68CC"/>
    <w:rsid w:val="001C6F8A"/>
    <w:rsid w:val="001D005C"/>
    <w:rsid w:val="001D4BF4"/>
    <w:rsid w:val="001D58D8"/>
    <w:rsid w:val="001D6B1C"/>
    <w:rsid w:val="001D745D"/>
    <w:rsid w:val="001D77F4"/>
    <w:rsid w:val="001E0828"/>
    <w:rsid w:val="001E2972"/>
    <w:rsid w:val="001E4F45"/>
    <w:rsid w:val="001E5BC2"/>
    <w:rsid w:val="001E622E"/>
    <w:rsid w:val="001F0404"/>
    <w:rsid w:val="001F0840"/>
    <w:rsid w:val="001F1190"/>
    <w:rsid w:val="001F20E5"/>
    <w:rsid w:val="001F4FFE"/>
    <w:rsid w:val="001F55BC"/>
    <w:rsid w:val="001F7549"/>
    <w:rsid w:val="00200480"/>
    <w:rsid w:val="00200664"/>
    <w:rsid w:val="0020244B"/>
    <w:rsid w:val="002039F6"/>
    <w:rsid w:val="002065F7"/>
    <w:rsid w:val="00206A67"/>
    <w:rsid w:val="00210CB2"/>
    <w:rsid w:val="00211FC6"/>
    <w:rsid w:val="0021233F"/>
    <w:rsid w:val="00212890"/>
    <w:rsid w:val="00212E4A"/>
    <w:rsid w:val="0021589F"/>
    <w:rsid w:val="002201EE"/>
    <w:rsid w:val="00221A14"/>
    <w:rsid w:val="00222511"/>
    <w:rsid w:val="00222DBE"/>
    <w:rsid w:val="002241F3"/>
    <w:rsid w:val="00224D07"/>
    <w:rsid w:val="00226283"/>
    <w:rsid w:val="00231306"/>
    <w:rsid w:val="00237FED"/>
    <w:rsid w:val="0024114A"/>
    <w:rsid w:val="00241387"/>
    <w:rsid w:val="0024203D"/>
    <w:rsid w:val="00247077"/>
    <w:rsid w:val="00250761"/>
    <w:rsid w:val="00250A13"/>
    <w:rsid w:val="002520CC"/>
    <w:rsid w:val="0025504A"/>
    <w:rsid w:val="00255A5D"/>
    <w:rsid w:val="00266F6D"/>
    <w:rsid w:val="00267C12"/>
    <w:rsid w:val="00270D0F"/>
    <w:rsid w:val="00273D4E"/>
    <w:rsid w:val="00274033"/>
    <w:rsid w:val="002742E6"/>
    <w:rsid w:val="00275DD5"/>
    <w:rsid w:val="00277CAA"/>
    <w:rsid w:val="00280260"/>
    <w:rsid w:val="00280F68"/>
    <w:rsid w:val="00285B0C"/>
    <w:rsid w:val="00285C02"/>
    <w:rsid w:val="00291712"/>
    <w:rsid w:val="00294390"/>
    <w:rsid w:val="0029448D"/>
    <w:rsid w:val="00294C2C"/>
    <w:rsid w:val="002A10E0"/>
    <w:rsid w:val="002A6392"/>
    <w:rsid w:val="002A761A"/>
    <w:rsid w:val="002B0DBE"/>
    <w:rsid w:val="002C0FBF"/>
    <w:rsid w:val="002C2AA3"/>
    <w:rsid w:val="002C47F4"/>
    <w:rsid w:val="002C4ADB"/>
    <w:rsid w:val="002D2BFF"/>
    <w:rsid w:val="002D4009"/>
    <w:rsid w:val="002D4642"/>
    <w:rsid w:val="002D62DC"/>
    <w:rsid w:val="002D6E4B"/>
    <w:rsid w:val="002E0D2B"/>
    <w:rsid w:val="002E12F2"/>
    <w:rsid w:val="002E13D0"/>
    <w:rsid w:val="002E165C"/>
    <w:rsid w:val="002E280D"/>
    <w:rsid w:val="002E36B9"/>
    <w:rsid w:val="002E5E28"/>
    <w:rsid w:val="002E69BE"/>
    <w:rsid w:val="002E74B6"/>
    <w:rsid w:val="002F1D78"/>
    <w:rsid w:val="002F24E0"/>
    <w:rsid w:val="002F3C59"/>
    <w:rsid w:val="002F3FBC"/>
    <w:rsid w:val="002F4713"/>
    <w:rsid w:val="002F4BFA"/>
    <w:rsid w:val="002F5B6A"/>
    <w:rsid w:val="002F5FCD"/>
    <w:rsid w:val="00302572"/>
    <w:rsid w:val="00311D22"/>
    <w:rsid w:val="00314066"/>
    <w:rsid w:val="00314DFA"/>
    <w:rsid w:val="00315062"/>
    <w:rsid w:val="00315F0E"/>
    <w:rsid w:val="0031633B"/>
    <w:rsid w:val="00316395"/>
    <w:rsid w:val="0031698C"/>
    <w:rsid w:val="00317FF0"/>
    <w:rsid w:val="00320AE7"/>
    <w:rsid w:val="0032612C"/>
    <w:rsid w:val="003278D8"/>
    <w:rsid w:val="003324AF"/>
    <w:rsid w:val="00332855"/>
    <w:rsid w:val="00337651"/>
    <w:rsid w:val="00341F9B"/>
    <w:rsid w:val="0034392C"/>
    <w:rsid w:val="00343CA8"/>
    <w:rsid w:val="003443F3"/>
    <w:rsid w:val="00346D40"/>
    <w:rsid w:val="00351DAE"/>
    <w:rsid w:val="003536E9"/>
    <w:rsid w:val="003539EC"/>
    <w:rsid w:val="00353ADB"/>
    <w:rsid w:val="0035725D"/>
    <w:rsid w:val="00357D7D"/>
    <w:rsid w:val="003606B3"/>
    <w:rsid w:val="00360C6F"/>
    <w:rsid w:val="00362A72"/>
    <w:rsid w:val="00373838"/>
    <w:rsid w:val="0037534B"/>
    <w:rsid w:val="00375AC7"/>
    <w:rsid w:val="00376D4E"/>
    <w:rsid w:val="00376F89"/>
    <w:rsid w:val="00377A73"/>
    <w:rsid w:val="0038294D"/>
    <w:rsid w:val="003902B9"/>
    <w:rsid w:val="003906B5"/>
    <w:rsid w:val="0039272A"/>
    <w:rsid w:val="00393B70"/>
    <w:rsid w:val="003953C4"/>
    <w:rsid w:val="00395F3D"/>
    <w:rsid w:val="00397F1D"/>
    <w:rsid w:val="003A15A0"/>
    <w:rsid w:val="003A220B"/>
    <w:rsid w:val="003A2F29"/>
    <w:rsid w:val="003A43B8"/>
    <w:rsid w:val="003A4716"/>
    <w:rsid w:val="003A7120"/>
    <w:rsid w:val="003A7137"/>
    <w:rsid w:val="003B0730"/>
    <w:rsid w:val="003B2F3D"/>
    <w:rsid w:val="003B5A18"/>
    <w:rsid w:val="003B7105"/>
    <w:rsid w:val="003C07A3"/>
    <w:rsid w:val="003C1F48"/>
    <w:rsid w:val="003C2C45"/>
    <w:rsid w:val="003C5066"/>
    <w:rsid w:val="003C50C6"/>
    <w:rsid w:val="003C51C7"/>
    <w:rsid w:val="003C5727"/>
    <w:rsid w:val="003C58FA"/>
    <w:rsid w:val="003C5BBE"/>
    <w:rsid w:val="003C631B"/>
    <w:rsid w:val="003C6762"/>
    <w:rsid w:val="003C7B39"/>
    <w:rsid w:val="003D3ABE"/>
    <w:rsid w:val="003D4144"/>
    <w:rsid w:val="003D535B"/>
    <w:rsid w:val="003D5BB6"/>
    <w:rsid w:val="003E1F9E"/>
    <w:rsid w:val="003E298D"/>
    <w:rsid w:val="003E29E5"/>
    <w:rsid w:val="003E7F11"/>
    <w:rsid w:val="003F0C62"/>
    <w:rsid w:val="003F1272"/>
    <w:rsid w:val="003F1A6C"/>
    <w:rsid w:val="004019B7"/>
    <w:rsid w:val="004030ED"/>
    <w:rsid w:val="00405463"/>
    <w:rsid w:val="00406390"/>
    <w:rsid w:val="0041140E"/>
    <w:rsid w:val="00414B5B"/>
    <w:rsid w:val="00421453"/>
    <w:rsid w:val="00431FC0"/>
    <w:rsid w:val="0043286B"/>
    <w:rsid w:val="00441B20"/>
    <w:rsid w:val="0044224C"/>
    <w:rsid w:val="004423AB"/>
    <w:rsid w:val="004469E6"/>
    <w:rsid w:val="0044776D"/>
    <w:rsid w:val="004506BC"/>
    <w:rsid w:val="00450D6A"/>
    <w:rsid w:val="00450E02"/>
    <w:rsid w:val="00452FE0"/>
    <w:rsid w:val="004536D0"/>
    <w:rsid w:val="00453723"/>
    <w:rsid w:val="00453816"/>
    <w:rsid w:val="00454033"/>
    <w:rsid w:val="004558C3"/>
    <w:rsid w:val="004562AF"/>
    <w:rsid w:val="00461B0E"/>
    <w:rsid w:val="00462785"/>
    <w:rsid w:val="00463782"/>
    <w:rsid w:val="00464CBE"/>
    <w:rsid w:val="00467366"/>
    <w:rsid w:val="00467E2A"/>
    <w:rsid w:val="00475F37"/>
    <w:rsid w:val="0047657B"/>
    <w:rsid w:val="00476F72"/>
    <w:rsid w:val="00485069"/>
    <w:rsid w:val="004870C3"/>
    <w:rsid w:val="00490D5F"/>
    <w:rsid w:val="004948BE"/>
    <w:rsid w:val="004949A4"/>
    <w:rsid w:val="004960DE"/>
    <w:rsid w:val="004A5176"/>
    <w:rsid w:val="004A51E3"/>
    <w:rsid w:val="004A5ED3"/>
    <w:rsid w:val="004B2781"/>
    <w:rsid w:val="004B4147"/>
    <w:rsid w:val="004B6441"/>
    <w:rsid w:val="004B7C6C"/>
    <w:rsid w:val="004C0B6B"/>
    <w:rsid w:val="004C2946"/>
    <w:rsid w:val="004C3C10"/>
    <w:rsid w:val="004C685A"/>
    <w:rsid w:val="004C7E74"/>
    <w:rsid w:val="004D2B1C"/>
    <w:rsid w:val="004D3023"/>
    <w:rsid w:val="004E1381"/>
    <w:rsid w:val="004E1B3E"/>
    <w:rsid w:val="004E42A2"/>
    <w:rsid w:val="004E530D"/>
    <w:rsid w:val="004E746A"/>
    <w:rsid w:val="004E77C4"/>
    <w:rsid w:val="004F0122"/>
    <w:rsid w:val="004F38E5"/>
    <w:rsid w:val="004F3919"/>
    <w:rsid w:val="004F3956"/>
    <w:rsid w:val="004F4484"/>
    <w:rsid w:val="004F586D"/>
    <w:rsid w:val="004F5A38"/>
    <w:rsid w:val="004F5A8F"/>
    <w:rsid w:val="004F7BD0"/>
    <w:rsid w:val="005039FC"/>
    <w:rsid w:val="00512697"/>
    <w:rsid w:val="00521B3F"/>
    <w:rsid w:val="005274B9"/>
    <w:rsid w:val="005305B0"/>
    <w:rsid w:val="00531DB4"/>
    <w:rsid w:val="00532F84"/>
    <w:rsid w:val="00534E8E"/>
    <w:rsid w:val="00536488"/>
    <w:rsid w:val="0053695B"/>
    <w:rsid w:val="005378A2"/>
    <w:rsid w:val="00540CCF"/>
    <w:rsid w:val="00541D66"/>
    <w:rsid w:val="00544C20"/>
    <w:rsid w:val="00547D6E"/>
    <w:rsid w:val="005545F4"/>
    <w:rsid w:val="00554D66"/>
    <w:rsid w:val="00556801"/>
    <w:rsid w:val="0055764A"/>
    <w:rsid w:val="0056000B"/>
    <w:rsid w:val="0056285C"/>
    <w:rsid w:val="0056518B"/>
    <w:rsid w:val="005660E9"/>
    <w:rsid w:val="005661EC"/>
    <w:rsid w:val="005674B0"/>
    <w:rsid w:val="00567BC4"/>
    <w:rsid w:val="005718A9"/>
    <w:rsid w:val="005718C3"/>
    <w:rsid w:val="00572595"/>
    <w:rsid w:val="00572FB1"/>
    <w:rsid w:val="00574232"/>
    <w:rsid w:val="005774AC"/>
    <w:rsid w:val="005816E0"/>
    <w:rsid w:val="00586252"/>
    <w:rsid w:val="00586571"/>
    <w:rsid w:val="005900FA"/>
    <w:rsid w:val="00591725"/>
    <w:rsid w:val="005921C3"/>
    <w:rsid w:val="005926DA"/>
    <w:rsid w:val="005A05DE"/>
    <w:rsid w:val="005A3E5A"/>
    <w:rsid w:val="005A41A8"/>
    <w:rsid w:val="005A45C7"/>
    <w:rsid w:val="005A5540"/>
    <w:rsid w:val="005A631F"/>
    <w:rsid w:val="005A7427"/>
    <w:rsid w:val="005B0103"/>
    <w:rsid w:val="005B42D4"/>
    <w:rsid w:val="005B6E73"/>
    <w:rsid w:val="005B764E"/>
    <w:rsid w:val="005C1093"/>
    <w:rsid w:val="005C2382"/>
    <w:rsid w:val="005D0395"/>
    <w:rsid w:val="005D0804"/>
    <w:rsid w:val="005D0EB6"/>
    <w:rsid w:val="005D297F"/>
    <w:rsid w:val="005D391A"/>
    <w:rsid w:val="005D57B1"/>
    <w:rsid w:val="005D6BCD"/>
    <w:rsid w:val="005D6D8C"/>
    <w:rsid w:val="005E036C"/>
    <w:rsid w:val="005E0795"/>
    <w:rsid w:val="005E0FDF"/>
    <w:rsid w:val="005E1161"/>
    <w:rsid w:val="005E2A1D"/>
    <w:rsid w:val="005E4301"/>
    <w:rsid w:val="005E58C5"/>
    <w:rsid w:val="005F01CB"/>
    <w:rsid w:val="005F1993"/>
    <w:rsid w:val="005F2269"/>
    <w:rsid w:val="005F29E1"/>
    <w:rsid w:val="005F3D9F"/>
    <w:rsid w:val="005F4D3F"/>
    <w:rsid w:val="005F6338"/>
    <w:rsid w:val="005F6CE2"/>
    <w:rsid w:val="0060024D"/>
    <w:rsid w:val="006009AC"/>
    <w:rsid w:val="00600FC4"/>
    <w:rsid w:val="006034D7"/>
    <w:rsid w:val="00604207"/>
    <w:rsid w:val="00604653"/>
    <w:rsid w:val="00605355"/>
    <w:rsid w:val="006102F4"/>
    <w:rsid w:val="0061182E"/>
    <w:rsid w:val="00611BAE"/>
    <w:rsid w:val="0061232B"/>
    <w:rsid w:val="006149F2"/>
    <w:rsid w:val="00616FD0"/>
    <w:rsid w:val="00625F15"/>
    <w:rsid w:val="006261D3"/>
    <w:rsid w:val="00630D64"/>
    <w:rsid w:val="00631A93"/>
    <w:rsid w:val="00633D0E"/>
    <w:rsid w:val="0063513F"/>
    <w:rsid w:val="00642A27"/>
    <w:rsid w:val="006466D7"/>
    <w:rsid w:val="00646897"/>
    <w:rsid w:val="00647A57"/>
    <w:rsid w:val="00656AD9"/>
    <w:rsid w:val="006577E9"/>
    <w:rsid w:val="00657FA9"/>
    <w:rsid w:val="00660E8B"/>
    <w:rsid w:val="00663EFB"/>
    <w:rsid w:val="006705E6"/>
    <w:rsid w:val="00671446"/>
    <w:rsid w:val="006717AA"/>
    <w:rsid w:val="00671A58"/>
    <w:rsid w:val="006724C5"/>
    <w:rsid w:val="0067384B"/>
    <w:rsid w:val="00675439"/>
    <w:rsid w:val="0067543D"/>
    <w:rsid w:val="006756CB"/>
    <w:rsid w:val="006812E4"/>
    <w:rsid w:val="00682722"/>
    <w:rsid w:val="00684DF9"/>
    <w:rsid w:val="0068512D"/>
    <w:rsid w:val="00685C8D"/>
    <w:rsid w:val="006861E5"/>
    <w:rsid w:val="00686217"/>
    <w:rsid w:val="00692365"/>
    <w:rsid w:val="006973D7"/>
    <w:rsid w:val="006A2078"/>
    <w:rsid w:val="006A5F78"/>
    <w:rsid w:val="006B1545"/>
    <w:rsid w:val="006B1811"/>
    <w:rsid w:val="006B19C3"/>
    <w:rsid w:val="006B23FC"/>
    <w:rsid w:val="006B28BC"/>
    <w:rsid w:val="006B340E"/>
    <w:rsid w:val="006B5260"/>
    <w:rsid w:val="006B5292"/>
    <w:rsid w:val="006B79BF"/>
    <w:rsid w:val="006C3D9A"/>
    <w:rsid w:val="006C7B72"/>
    <w:rsid w:val="006C7EC1"/>
    <w:rsid w:val="006D1522"/>
    <w:rsid w:val="006D19E4"/>
    <w:rsid w:val="006D4331"/>
    <w:rsid w:val="006D523F"/>
    <w:rsid w:val="006E1247"/>
    <w:rsid w:val="006E34C5"/>
    <w:rsid w:val="006F0090"/>
    <w:rsid w:val="006F1C73"/>
    <w:rsid w:val="006F1CE8"/>
    <w:rsid w:val="006F72AD"/>
    <w:rsid w:val="007022C4"/>
    <w:rsid w:val="00704145"/>
    <w:rsid w:val="00707014"/>
    <w:rsid w:val="0070757A"/>
    <w:rsid w:val="00707ABC"/>
    <w:rsid w:val="00713909"/>
    <w:rsid w:val="00716C3A"/>
    <w:rsid w:val="007178A6"/>
    <w:rsid w:val="00726F77"/>
    <w:rsid w:val="0072721D"/>
    <w:rsid w:val="00727250"/>
    <w:rsid w:val="00731A51"/>
    <w:rsid w:val="007353E4"/>
    <w:rsid w:val="00735A5C"/>
    <w:rsid w:val="00736A9B"/>
    <w:rsid w:val="007405CF"/>
    <w:rsid w:val="00740643"/>
    <w:rsid w:val="007414D8"/>
    <w:rsid w:val="0074294F"/>
    <w:rsid w:val="00745FC3"/>
    <w:rsid w:val="007473E8"/>
    <w:rsid w:val="007508F7"/>
    <w:rsid w:val="0075148E"/>
    <w:rsid w:val="00754C2D"/>
    <w:rsid w:val="007550ED"/>
    <w:rsid w:val="007569A1"/>
    <w:rsid w:val="00757C13"/>
    <w:rsid w:val="00760479"/>
    <w:rsid w:val="00761EBB"/>
    <w:rsid w:val="007626B8"/>
    <w:rsid w:val="00767915"/>
    <w:rsid w:val="0077076C"/>
    <w:rsid w:val="0077352D"/>
    <w:rsid w:val="00773A5A"/>
    <w:rsid w:val="00773AE3"/>
    <w:rsid w:val="00776816"/>
    <w:rsid w:val="00777DB3"/>
    <w:rsid w:val="0078128E"/>
    <w:rsid w:val="00782D3C"/>
    <w:rsid w:val="00787274"/>
    <w:rsid w:val="00787628"/>
    <w:rsid w:val="007908B7"/>
    <w:rsid w:val="007924B1"/>
    <w:rsid w:val="00793BBE"/>
    <w:rsid w:val="0079475D"/>
    <w:rsid w:val="007955C9"/>
    <w:rsid w:val="007956BD"/>
    <w:rsid w:val="007A158F"/>
    <w:rsid w:val="007A388B"/>
    <w:rsid w:val="007A5518"/>
    <w:rsid w:val="007A6D31"/>
    <w:rsid w:val="007A782A"/>
    <w:rsid w:val="007B2013"/>
    <w:rsid w:val="007B4885"/>
    <w:rsid w:val="007B5B0D"/>
    <w:rsid w:val="007B799A"/>
    <w:rsid w:val="007C1A02"/>
    <w:rsid w:val="007C56EF"/>
    <w:rsid w:val="007C77AA"/>
    <w:rsid w:val="007C7C7C"/>
    <w:rsid w:val="007C7D72"/>
    <w:rsid w:val="007D1EF7"/>
    <w:rsid w:val="007D2229"/>
    <w:rsid w:val="007D5827"/>
    <w:rsid w:val="007E04C0"/>
    <w:rsid w:val="007E2565"/>
    <w:rsid w:val="007E2A51"/>
    <w:rsid w:val="007E4ADD"/>
    <w:rsid w:val="007E557F"/>
    <w:rsid w:val="007E73F6"/>
    <w:rsid w:val="007F0369"/>
    <w:rsid w:val="007F1010"/>
    <w:rsid w:val="007F181A"/>
    <w:rsid w:val="007F316B"/>
    <w:rsid w:val="007F34B4"/>
    <w:rsid w:val="007F634F"/>
    <w:rsid w:val="00800A0A"/>
    <w:rsid w:val="0080349F"/>
    <w:rsid w:val="00803687"/>
    <w:rsid w:val="008052A3"/>
    <w:rsid w:val="00817F53"/>
    <w:rsid w:val="00822C04"/>
    <w:rsid w:val="008238D1"/>
    <w:rsid w:val="00827418"/>
    <w:rsid w:val="0083063B"/>
    <w:rsid w:val="008326AD"/>
    <w:rsid w:val="008347E7"/>
    <w:rsid w:val="008362F4"/>
    <w:rsid w:val="00837BBF"/>
    <w:rsid w:val="00840509"/>
    <w:rsid w:val="00840DD1"/>
    <w:rsid w:val="008477BE"/>
    <w:rsid w:val="0084792A"/>
    <w:rsid w:val="008511EE"/>
    <w:rsid w:val="008534A9"/>
    <w:rsid w:val="008615C4"/>
    <w:rsid w:val="00862790"/>
    <w:rsid w:val="0086304F"/>
    <w:rsid w:val="008645AC"/>
    <w:rsid w:val="008659F9"/>
    <w:rsid w:val="008666BB"/>
    <w:rsid w:val="00866B99"/>
    <w:rsid w:val="00871ACC"/>
    <w:rsid w:val="008724C7"/>
    <w:rsid w:val="00872FBB"/>
    <w:rsid w:val="008753F2"/>
    <w:rsid w:val="00875586"/>
    <w:rsid w:val="00876DAF"/>
    <w:rsid w:val="00877191"/>
    <w:rsid w:val="00885BC0"/>
    <w:rsid w:val="00886377"/>
    <w:rsid w:val="008900C8"/>
    <w:rsid w:val="00893480"/>
    <w:rsid w:val="00895894"/>
    <w:rsid w:val="00896801"/>
    <w:rsid w:val="00897617"/>
    <w:rsid w:val="008A1B3B"/>
    <w:rsid w:val="008A3F28"/>
    <w:rsid w:val="008A5596"/>
    <w:rsid w:val="008A5DF8"/>
    <w:rsid w:val="008C0B28"/>
    <w:rsid w:val="008C4542"/>
    <w:rsid w:val="008C712B"/>
    <w:rsid w:val="008D0598"/>
    <w:rsid w:val="008D2EDB"/>
    <w:rsid w:val="008D390C"/>
    <w:rsid w:val="008D3DE2"/>
    <w:rsid w:val="008D3E7A"/>
    <w:rsid w:val="008D59EF"/>
    <w:rsid w:val="008D5BAD"/>
    <w:rsid w:val="008E0604"/>
    <w:rsid w:val="008E148E"/>
    <w:rsid w:val="008E2D74"/>
    <w:rsid w:val="008E4B3D"/>
    <w:rsid w:val="008F2B0B"/>
    <w:rsid w:val="008F600C"/>
    <w:rsid w:val="008F6E15"/>
    <w:rsid w:val="008F7C18"/>
    <w:rsid w:val="00903C55"/>
    <w:rsid w:val="00906619"/>
    <w:rsid w:val="0091229A"/>
    <w:rsid w:val="00914A8A"/>
    <w:rsid w:val="00915B9B"/>
    <w:rsid w:val="00915DAA"/>
    <w:rsid w:val="009225E0"/>
    <w:rsid w:val="00923103"/>
    <w:rsid w:val="0092349E"/>
    <w:rsid w:val="00930A4F"/>
    <w:rsid w:val="00930CA4"/>
    <w:rsid w:val="009312C4"/>
    <w:rsid w:val="009319F6"/>
    <w:rsid w:val="00935874"/>
    <w:rsid w:val="0093597C"/>
    <w:rsid w:val="00942300"/>
    <w:rsid w:val="00944B86"/>
    <w:rsid w:val="00947119"/>
    <w:rsid w:val="00951D03"/>
    <w:rsid w:val="00952135"/>
    <w:rsid w:val="009536DD"/>
    <w:rsid w:val="00955041"/>
    <w:rsid w:val="00957C4A"/>
    <w:rsid w:val="0096161E"/>
    <w:rsid w:val="009629D1"/>
    <w:rsid w:val="009634AE"/>
    <w:rsid w:val="00966B82"/>
    <w:rsid w:val="0096744A"/>
    <w:rsid w:val="00967C19"/>
    <w:rsid w:val="0097001D"/>
    <w:rsid w:val="009704FD"/>
    <w:rsid w:val="00971E66"/>
    <w:rsid w:val="00973EE6"/>
    <w:rsid w:val="00975727"/>
    <w:rsid w:val="00976EE7"/>
    <w:rsid w:val="00981FBD"/>
    <w:rsid w:val="0098506A"/>
    <w:rsid w:val="00985216"/>
    <w:rsid w:val="0098528A"/>
    <w:rsid w:val="009874AF"/>
    <w:rsid w:val="00991D93"/>
    <w:rsid w:val="00997BDD"/>
    <w:rsid w:val="00997C14"/>
    <w:rsid w:val="009A00E3"/>
    <w:rsid w:val="009A085C"/>
    <w:rsid w:val="009A29C5"/>
    <w:rsid w:val="009A4486"/>
    <w:rsid w:val="009A4AD6"/>
    <w:rsid w:val="009A4E1C"/>
    <w:rsid w:val="009A5550"/>
    <w:rsid w:val="009B1702"/>
    <w:rsid w:val="009B501C"/>
    <w:rsid w:val="009C01FF"/>
    <w:rsid w:val="009C1377"/>
    <w:rsid w:val="009C1B95"/>
    <w:rsid w:val="009C2D14"/>
    <w:rsid w:val="009C3F26"/>
    <w:rsid w:val="009C53BE"/>
    <w:rsid w:val="009C6FD1"/>
    <w:rsid w:val="009D099F"/>
    <w:rsid w:val="009D2536"/>
    <w:rsid w:val="009D30FA"/>
    <w:rsid w:val="009D6B8F"/>
    <w:rsid w:val="009D7F08"/>
    <w:rsid w:val="009E13E1"/>
    <w:rsid w:val="009E2006"/>
    <w:rsid w:val="009E3117"/>
    <w:rsid w:val="009E3C96"/>
    <w:rsid w:val="009E456A"/>
    <w:rsid w:val="009E6E57"/>
    <w:rsid w:val="009F0EFE"/>
    <w:rsid w:val="009F1035"/>
    <w:rsid w:val="009F128D"/>
    <w:rsid w:val="009F5809"/>
    <w:rsid w:val="00A0061B"/>
    <w:rsid w:val="00A05298"/>
    <w:rsid w:val="00A05A38"/>
    <w:rsid w:val="00A061DD"/>
    <w:rsid w:val="00A0655A"/>
    <w:rsid w:val="00A14683"/>
    <w:rsid w:val="00A21DC4"/>
    <w:rsid w:val="00A27098"/>
    <w:rsid w:val="00A31FE8"/>
    <w:rsid w:val="00A34FC3"/>
    <w:rsid w:val="00A3661F"/>
    <w:rsid w:val="00A36D84"/>
    <w:rsid w:val="00A402FF"/>
    <w:rsid w:val="00A4314E"/>
    <w:rsid w:val="00A47456"/>
    <w:rsid w:val="00A50245"/>
    <w:rsid w:val="00A5136C"/>
    <w:rsid w:val="00A51D54"/>
    <w:rsid w:val="00A5256D"/>
    <w:rsid w:val="00A56BB2"/>
    <w:rsid w:val="00A60F14"/>
    <w:rsid w:val="00A6154C"/>
    <w:rsid w:val="00A62AD9"/>
    <w:rsid w:val="00A6352B"/>
    <w:rsid w:val="00A65433"/>
    <w:rsid w:val="00A671B6"/>
    <w:rsid w:val="00A67C0D"/>
    <w:rsid w:val="00A720B2"/>
    <w:rsid w:val="00A7366E"/>
    <w:rsid w:val="00A80096"/>
    <w:rsid w:val="00A82355"/>
    <w:rsid w:val="00A8449C"/>
    <w:rsid w:val="00A84C0E"/>
    <w:rsid w:val="00A8787E"/>
    <w:rsid w:val="00A90CF2"/>
    <w:rsid w:val="00A9107A"/>
    <w:rsid w:val="00A94DC8"/>
    <w:rsid w:val="00A953DD"/>
    <w:rsid w:val="00A9585D"/>
    <w:rsid w:val="00A97951"/>
    <w:rsid w:val="00AA034E"/>
    <w:rsid w:val="00AA19CC"/>
    <w:rsid w:val="00AA3E90"/>
    <w:rsid w:val="00AA4243"/>
    <w:rsid w:val="00AA6A57"/>
    <w:rsid w:val="00AA6C9A"/>
    <w:rsid w:val="00AA755D"/>
    <w:rsid w:val="00AB07ED"/>
    <w:rsid w:val="00AB0F84"/>
    <w:rsid w:val="00AB2CBA"/>
    <w:rsid w:val="00AB2DCF"/>
    <w:rsid w:val="00AB3D29"/>
    <w:rsid w:val="00AB5E46"/>
    <w:rsid w:val="00AB665D"/>
    <w:rsid w:val="00AB66C0"/>
    <w:rsid w:val="00AB7CF7"/>
    <w:rsid w:val="00AC08CA"/>
    <w:rsid w:val="00AC0F82"/>
    <w:rsid w:val="00AC60D1"/>
    <w:rsid w:val="00AC699E"/>
    <w:rsid w:val="00AC6BCB"/>
    <w:rsid w:val="00AD32EA"/>
    <w:rsid w:val="00AD41F0"/>
    <w:rsid w:val="00AD5E20"/>
    <w:rsid w:val="00AE1425"/>
    <w:rsid w:val="00AE2B47"/>
    <w:rsid w:val="00AE2F6D"/>
    <w:rsid w:val="00AE33B8"/>
    <w:rsid w:val="00AE4A0B"/>
    <w:rsid w:val="00AE5B5A"/>
    <w:rsid w:val="00AE7C27"/>
    <w:rsid w:val="00AE7EFE"/>
    <w:rsid w:val="00AF0B9D"/>
    <w:rsid w:val="00AF2A4A"/>
    <w:rsid w:val="00B0091A"/>
    <w:rsid w:val="00B06E74"/>
    <w:rsid w:val="00B07A85"/>
    <w:rsid w:val="00B1142F"/>
    <w:rsid w:val="00B1435D"/>
    <w:rsid w:val="00B14799"/>
    <w:rsid w:val="00B149A7"/>
    <w:rsid w:val="00B15106"/>
    <w:rsid w:val="00B15861"/>
    <w:rsid w:val="00B16E4B"/>
    <w:rsid w:val="00B2077C"/>
    <w:rsid w:val="00B21B12"/>
    <w:rsid w:val="00B270A4"/>
    <w:rsid w:val="00B30347"/>
    <w:rsid w:val="00B305B7"/>
    <w:rsid w:val="00B333FE"/>
    <w:rsid w:val="00B347E4"/>
    <w:rsid w:val="00B3542E"/>
    <w:rsid w:val="00B3582B"/>
    <w:rsid w:val="00B448AB"/>
    <w:rsid w:val="00B44ACE"/>
    <w:rsid w:val="00B46224"/>
    <w:rsid w:val="00B4683E"/>
    <w:rsid w:val="00B47977"/>
    <w:rsid w:val="00B50087"/>
    <w:rsid w:val="00B51719"/>
    <w:rsid w:val="00B554D2"/>
    <w:rsid w:val="00B556B2"/>
    <w:rsid w:val="00B55BBA"/>
    <w:rsid w:val="00B574EB"/>
    <w:rsid w:val="00B57B5E"/>
    <w:rsid w:val="00B6090B"/>
    <w:rsid w:val="00B65DDB"/>
    <w:rsid w:val="00B66B60"/>
    <w:rsid w:val="00B70063"/>
    <w:rsid w:val="00B76B82"/>
    <w:rsid w:val="00B803FC"/>
    <w:rsid w:val="00B83197"/>
    <w:rsid w:val="00B872AB"/>
    <w:rsid w:val="00B90848"/>
    <w:rsid w:val="00B94DC0"/>
    <w:rsid w:val="00B95212"/>
    <w:rsid w:val="00B954EF"/>
    <w:rsid w:val="00BA0C44"/>
    <w:rsid w:val="00BA20CD"/>
    <w:rsid w:val="00BA2F5A"/>
    <w:rsid w:val="00BA3246"/>
    <w:rsid w:val="00BA5DD9"/>
    <w:rsid w:val="00BA673B"/>
    <w:rsid w:val="00BA6CE3"/>
    <w:rsid w:val="00BA6FBA"/>
    <w:rsid w:val="00BB01DD"/>
    <w:rsid w:val="00BB04D8"/>
    <w:rsid w:val="00BB181A"/>
    <w:rsid w:val="00BB2107"/>
    <w:rsid w:val="00BB2A37"/>
    <w:rsid w:val="00BB2FA4"/>
    <w:rsid w:val="00BB40D2"/>
    <w:rsid w:val="00BB42EE"/>
    <w:rsid w:val="00BB7194"/>
    <w:rsid w:val="00BC004D"/>
    <w:rsid w:val="00BC1E4F"/>
    <w:rsid w:val="00BC2CF9"/>
    <w:rsid w:val="00BC5BB5"/>
    <w:rsid w:val="00BC7052"/>
    <w:rsid w:val="00BD0CFB"/>
    <w:rsid w:val="00BD1CA1"/>
    <w:rsid w:val="00BD2EC1"/>
    <w:rsid w:val="00BD3EE9"/>
    <w:rsid w:val="00BE0172"/>
    <w:rsid w:val="00BE0984"/>
    <w:rsid w:val="00BE0BDC"/>
    <w:rsid w:val="00BE2261"/>
    <w:rsid w:val="00BE398F"/>
    <w:rsid w:val="00BE3B81"/>
    <w:rsid w:val="00BE63C5"/>
    <w:rsid w:val="00BE7708"/>
    <w:rsid w:val="00BE786E"/>
    <w:rsid w:val="00BF434C"/>
    <w:rsid w:val="00BF49EF"/>
    <w:rsid w:val="00C05C8A"/>
    <w:rsid w:val="00C05F06"/>
    <w:rsid w:val="00C064D9"/>
    <w:rsid w:val="00C07F0E"/>
    <w:rsid w:val="00C07F42"/>
    <w:rsid w:val="00C12CE0"/>
    <w:rsid w:val="00C208DE"/>
    <w:rsid w:val="00C22433"/>
    <w:rsid w:val="00C23112"/>
    <w:rsid w:val="00C23243"/>
    <w:rsid w:val="00C24151"/>
    <w:rsid w:val="00C317AB"/>
    <w:rsid w:val="00C34138"/>
    <w:rsid w:val="00C3682E"/>
    <w:rsid w:val="00C45829"/>
    <w:rsid w:val="00C47927"/>
    <w:rsid w:val="00C50309"/>
    <w:rsid w:val="00C53E66"/>
    <w:rsid w:val="00C5571B"/>
    <w:rsid w:val="00C60F20"/>
    <w:rsid w:val="00C62BAB"/>
    <w:rsid w:val="00C67CE4"/>
    <w:rsid w:val="00C70F5A"/>
    <w:rsid w:val="00C812D0"/>
    <w:rsid w:val="00C81D87"/>
    <w:rsid w:val="00C862A0"/>
    <w:rsid w:val="00C86A36"/>
    <w:rsid w:val="00C86BD6"/>
    <w:rsid w:val="00C87D79"/>
    <w:rsid w:val="00C91306"/>
    <w:rsid w:val="00C91641"/>
    <w:rsid w:val="00C91C53"/>
    <w:rsid w:val="00C925FD"/>
    <w:rsid w:val="00C93018"/>
    <w:rsid w:val="00C966A6"/>
    <w:rsid w:val="00C96734"/>
    <w:rsid w:val="00C97198"/>
    <w:rsid w:val="00CA1706"/>
    <w:rsid w:val="00CA5446"/>
    <w:rsid w:val="00CA6013"/>
    <w:rsid w:val="00CB08F7"/>
    <w:rsid w:val="00CB2087"/>
    <w:rsid w:val="00CB2A7B"/>
    <w:rsid w:val="00CB7F8B"/>
    <w:rsid w:val="00CC0D9E"/>
    <w:rsid w:val="00CC16E7"/>
    <w:rsid w:val="00CC182D"/>
    <w:rsid w:val="00CC30AB"/>
    <w:rsid w:val="00CC37BD"/>
    <w:rsid w:val="00CC64F7"/>
    <w:rsid w:val="00CD1630"/>
    <w:rsid w:val="00CD3AB1"/>
    <w:rsid w:val="00CD4988"/>
    <w:rsid w:val="00CD55E5"/>
    <w:rsid w:val="00CE06B2"/>
    <w:rsid w:val="00CE15AE"/>
    <w:rsid w:val="00CF44F7"/>
    <w:rsid w:val="00CF4B10"/>
    <w:rsid w:val="00CF51FD"/>
    <w:rsid w:val="00D00064"/>
    <w:rsid w:val="00D0013D"/>
    <w:rsid w:val="00D00F60"/>
    <w:rsid w:val="00D0224C"/>
    <w:rsid w:val="00D03404"/>
    <w:rsid w:val="00D05C68"/>
    <w:rsid w:val="00D06F47"/>
    <w:rsid w:val="00D1094A"/>
    <w:rsid w:val="00D12D97"/>
    <w:rsid w:val="00D147A9"/>
    <w:rsid w:val="00D14868"/>
    <w:rsid w:val="00D15941"/>
    <w:rsid w:val="00D179E6"/>
    <w:rsid w:val="00D20571"/>
    <w:rsid w:val="00D223E5"/>
    <w:rsid w:val="00D23F45"/>
    <w:rsid w:val="00D25E06"/>
    <w:rsid w:val="00D27558"/>
    <w:rsid w:val="00D31672"/>
    <w:rsid w:val="00D34186"/>
    <w:rsid w:val="00D41D37"/>
    <w:rsid w:val="00D44296"/>
    <w:rsid w:val="00D448E1"/>
    <w:rsid w:val="00D44E36"/>
    <w:rsid w:val="00D47576"/>
    <w:rsid w:val="00D506D7"/>
    <w:rsid w:val="00D53EE9"/>
    <w:rsid w:val="00D55B71"/>
    <w:rsid w:val="00D563CC"/>
    <w:rsid w:val="00D57C2E"/>
    <w:rsid w:val="00D57CB5"/>
    <w:rsid w:val="00D636DB"/>
    <w:rsid w:val="00D65434"/>
    <w:rsid w:val="00D65AA8"/>
    <w:rsid w:val="00D72EFB"/>
    <w:rsid w:val="00D73E10"/>
    <w:rsid w:val="00D757CE"/>
    <w:rsid w:val="00D76D80"/>
    <w:rsid w:val="00D80B8E"/>
    <w:rsid w:val="00D80E1E"/>
    <w:rsid w:val="00D81E25"/>
    <w:rsid w:val="00D878EE"/>
    <w:rsid w:val="00D90C5E"/>
    <w:rsid w:val="00D91171"/>
    <w:rsid w:val="00D95A9D"/>
    <w:rsid w:val="00D95ABC"/>
    <w:rsid w:val="00D970B0"/>
    <w:rsid w:val="00D97437"/>
    <w:rsid w:val="00D975E7"/>
    <w:rsid w:val="00D97ECB"/>
    <w:rsid w:val="00D97F55"/>
    <w:rsid w:val="00DA08FE"/>
    <w:rsid w:val="00DA1526"/>
    <w:rsid w:val="00DA1860"/>
    <w:rsid w:val="00DA5084"/>
    <w:rsid w:val="00DA58AF"/>
    <w:rsid w:val="00DA6314"/>
    <w:rsid w:val="00DB00D9"/>
    <w:rsid w:val="00DB1126"/>
    <w:rsid w:val="00DB42E7"/>
    <w:rsid w:val="00DB46C3"/>
    <w:rsid w:val="00DB553D"/>
    <w:rsid w:val="00DB7D95"/>
    <w:rsid w:val="00DC0369"/>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E67D6"/>
    <w:rsid w:val="00DE6AED"/>
    <w:rsid w:val="00DF07FC"/>
    <w:rsid w:val="00DF24C0"/>
    <w:rsid w:val="00DF3088"/>
    <w:rsid w:val="00DF5986"/>
    <w:rsid w:val="00DF5ABB"/>
    <w:rsid w:val="00DF5D23"/>
    <w:rsid w:val="00E00702"/>
    <w:rsid w:val="00E023A7"/>
    <w:rsid w:val="00E03088"/>
    <w:rsid w:val="00E03522"/>
    <w:rsid w:val="00E0400B"/>
    <w:rsid w:val="00E04743"/>
    <w:rsid w:val="00E070CA"/>
    <w:rsid w:val="00E07AAD"/>
    <w:rsid w:val="00E07E45"/>
    <w:rsid w:val="00E10762"/>
    <w:rsid w:val="00E108ED"/>
    <w:rsid w:val="00E12B24"/>
    <w:rsid w:val="00E17007"/>
    <w:rsid w:val="00E17240"/>
    <w:rsid w:val="00E21CB7"/>
    <w:rsid w:val="00E24779"/>
    <w:rsid w:val="00E27D09"/>
    <w:rsid w:val="00E33680"/>
    <w:rsid w:val="00E377FE"/>
    <w:rsid w:val="00E415F3"/>
    <w:rsid w:val="00E429E7"/>
    <w:rsid w:val="00E42D98"/>
    <w:rsid w:val="00E44200"/>
    <w:rsid w:val="00E44F0B"/>
    <w:rsid w:val="00E457E7"/>
    <w:rsid w:val="00E468EC"/>
    <w:rsid w:val="00E46F87"/>
    <w:rsid w:val="00E47863"/>
    <w:rsid w:val="00E4786E"/>
    <w:rsid w:val="00E50650"/>
    <w:rsid w:val="00E527B2"/>
    <w:rsid w:val="00E53468"/>
    <w:rsid w:val="00E537E1"/>
    <w:rsid w:val="00E552A3"/>
    <w:rsid w:val="00E567EC"/>
    <w:rsid w:val="00E57E1C"/>
    <w:rsid w:val="00E64005"/>
    <w:rsid w:val="00E64CB3"/>
    <w:rsid w:val="00E726FA"/>
    <w:rsid w:val="00E76581"/>
    <w:rsid w:val="00E773C4"/>
    <w:rsid w:val="00E81E3B"/>
    <w:rsid w:val="00E830A5"/>
    <w:rsid w:val="00E83CD0"/>
    <w:rsid w:val="00E84917"/>
    <w:rsid w:val="00E85FF7"/>
    <w:rsid w:val="00E86E88"/>
    <w:rsid w:val="00E87904"/>
    <w:rsid w:val="00E90D07"/>
    <w:rsid w:val="00E91FF5"/>
    <w:rsid w:val="00E942FB"/>
    <w:rsid w:val="00E9524E"/>
    <w:rsid w:val="00EA0ADD"/>
    <w:rsid w:val="00EA3D1A"/>
    <w:rsid w:val="00EA7E3D"/>
    <w:rsid w:val="00EB2B80"/>
    <w:rsid w:val="00EB4518"/>
    <w:rsid w:val="00EB54CD"/>
    <w:rsid w:val="00EB6293"/>
    <w:rsid w:val="00EB6674"/>
    <w:rsid w:val="00EB7532"/>
    <w:rsid w:val="00EC1D90"/>
    <w:rsid w:val="00EC2522"/>
    <w:rsid w:val="00EC6C15"/>
    <w:rsid w:val="00EC6C32"/>
    <w:rsid w:val="00EC7F7C"/>
    <w:rsid w:val="00ED3253"/>
    <w:rsid w:val="00ED34E7"/>
    <w:rsid w:val="00ED645B"/>
    <w:rsid w:val="00EE0737"/>
    <w:rsid w:val="00EE3421"/>
    <w:rsid w:val="00EE49A4"/>
    <w:rsid w:val="00EF1C04"/>
    <w:rsid w:val="00EF247F"/>
    <w:rsid w:val="00EF5442"/>
    <w:rsid w:val="00EF5D12"/>
    <w:rsid w:val="00EF7919"/>
    <w:rsid w:val="00F030DB"/>
    <w:rsid w:val="00F0385E"/>
    <w:rsid w:val="00F06079"/>
    <w:rsid w:val="00F14F76"/>
    <w:rsid w:val="00F16617"/>
    <w:rsid w:val="00F175B5"/>
    <w:rsid w:val="00F208D8"/>
    <w:rsid w:val="00F26202"/>
    <w:rsid w:val="00F303A3"/>
    <w:rsid w:val="00F30E07"/>
    <w:rsid w:val="00F35D9F"/>
    <w:rsid w:val="00F35E68"/>
    <w:rsid w:val="00F42961"/>
    <w:rsid w:val="00F43C01"/>
    <w:rsid w:val="00F440C1"/>
    <w:rsid w:val="00F4413D"/>
    <w:rsid w:val="00F475CA"/>
    <w:rsid w:val="00F47D7C"/>
    <w:rsid w:val="00F51BB5"/>
    <w:rsid w:val="00F51DF1"/>
    <w:rsid w:val="00F535E7"/>
    <w:rsid w:val="00F54EFA"/>
    <w:rsid w:val="00F55CEF"/>
    <w:rsid w:val="00F562CC"/>
    <w:rsid w:val="00F56F3A"/>
    <w:rsid w:val="00F57124"/>
    <w:rsid w:val="00F57D82"/>
    <w:rsid w:val="00F601AF"/>
    <w:rsid w:val="00F617E4"/>
    <w:rsid w:val="00F63385"/>
    <w:rsid w:val="00F6406C"/>
    <w:rsid w:val="00F65020"/>
    <w:rsid w:val="00F65565"/>
    <w:rsid w:val="00F70734"/>
    <w:rsid w:val="00F708A1"/>
    <w:rsid w:val="00F7135C"/>
    <w:rsid w:val="00F74F27"/>
    <w:rsid w:val="00F80D9C"/>
    <w:rsid w:val="00F83367"/>
    <w:rsid w:val="00F8680D"/>
    <w:rsid w:val="00F86E23"/>
    <w:rsid w:val="00F87601"/>
    <w:rsid w:val="00F877B8"/>
    <w:rsid w:val="00F909F2"/>
    <w:rsid w:val="00F92368"/>
    <w:rsid w:val="00F93BE2"/>
    <w:rsid w:val="00F949F2"/>
    <w:rsid w:val="00F959B1"/>
    <w:rsid w:val="00FA0739"/>
    <w:rsid w:val="00FA1426"/>
    <w:rsid w:val="00FA3822"/>
    <w:rsid w:val="00FA4C44"/>
    <w:rsid w:val="00FA4FD2"/>
    <w:rsid w:val="00FA5593"/>
    <w:rsid w:val="00FA569C"/>
    <w:rsid w:val="00FA72FC"/>
    <w:rsid w:val="00FB0360"/>
    <w:rsid w:val="00FB1792"/>
    <w:rsid w:val="00FB6812"/>
    <w:rsid w:val="00FB6D1A"/>
    <w:rsid w:val="00FC4CBE"/>
    <w:rsid w:val="00FC56E5"/>
    <w:rsid w:val="00FC5FE0"/>
    <w:rsid w:val="00FC69CE"/>
    <w:rsid w:val="00FD07FF"/>
    <w:rsid w:val="00FD0F26"/>
    <w:rsid w:val="00FD20BF"/>
    <w:rsid w:val="00FD38D7"/>
    <w:rsid w:val="00FD5911"/>
    <w:rsid w:val="00FD7088"/>
    <w:rsid w:val="00FE24FC"/>
    <w:rsid w:val="00FE4A43"/>
    <w:rsid w:val="00FE5C1C"/>
    <w:rsid w:val="00FF09C5"/>
    <w:rsid w:val="00FF2D06"/>
    <w:rsid w:val="00FF43FB"/>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 Accent 1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42FB"/>
    <w:rPr>
      <w:color w:val="605E5C"/>
      <w:shd w:val="clear" w:color="auto" w:fill="E1DFDD"/>
    </w:rPr>
  </w:style>
  <w:style w:type="character" w:customStyle="1" w:styleId="markqvib2akpl">
    <w:name w:val="markqvib2akpl"/>
    <w:basedOn w:val="DefaultParagraphFont"/>
    <w:rsid w:val="00F8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609095592">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687367701">
      <w:bodyDiv w:val="1"/>
      <w:marLeft w:val="0"/>
      <w:marRight w:val="0"/>
      <w:marTop w:val="0"/>
      <w:marBottom w:val="0"/>
      <w:divBdr>
        <w:top w:val="none" w:sz="0" w:space="0" w:color="auto"/>
        <w:left w:val="none" w:sz="0" w:space="0" w:color="auto"/>
        <w:bottom w:val="none" w:sz="0" w:space="0" w:color="auto"/>
        <w:right w:val="none" w:sz="0" w:space="0" w:color="auto"/>
      </w:divBdr>
      <w:divsChild>
        <w:div w:id="912927923">
          <w:marLeft w:val="0"/>
          <w:marRight w:val="0"/>
          <w:marTop w:val="0"/>
          <w:marBottom w:val="0"/>
          <w:divBdr>
            <w:top w:val="none" w:sz="0" w:space="0" w:color="auto"/>
            <w:left w:val="none" w:sz="0" w:space="0" w:color="auto"/>
            <w:bottom w:val="none" w:sz="0" w:space="0" w:color="auto"/>
            <w:right w:val="none" w:sz="0" w:space="0" w:color="auto"/>
          </w:divBdr>
        </w:div>
        <w:div w:id="1988046026">
          <w:marLeft w:val="0"/>
          <w:marRight w:val="0"/>
          <w:marTop w:val="0"/>
          <w:marBottom w:val="0"/>
          <w:divBdr>
            <w:top w:val="none" w:sz="0" w:space="0" w:color="auto"/>
            <w:left w:val="none" w:sz="0" w:space="0" w:color="auto"/>
            <w:bottom w:val="none" w:sz="0" w:space="0" w:color="auto"/>
            <w:right w:val="none" w:sz="0" w:space="0" w:color="auto"/>
          </w:divBdr>
        </w:div>
        <w:div w:id="1606769010">
          <w:marLeft w:val="0"/>
          <w:marRight w:val="0"/>
          <w:marTop w:val="0"/>
          <w:marBottom w:val="0"/>
          <w:divBdr>
            <w:top w:val="none" w:sz="0" w:space="0" w:color="auto"/>
            <w:left w:val="none" w:sz="0" w:space="0" w:color="auto"/>
            <w:bottom w:val="none" w:sz="0" w:space="0" w:color="auto"/>
            <w:right w:val="none" w:sz="0" w:space="0" w:color="auto"/>
          </w:divBdr>
        </w:div>
        <w:div w:id="214662494">
          <w:marLeft w:val="0"/>
          <w:marRight w:val="0"/>
          <w:marTop w:val="0"/>
          <w:marBottom w:val="0"/>
          <w:divBdr>
            <w:top w:val="none" w:sz="0" w:space="0" w:color="auto"/>
            <w:left w:val="none" w:sz="0" w:space="0" w:color="auto"/>
            <w:bottom w:val="none" w:sz="0" w:space="0" w:color="auto"/>
            <w:right w:val="none" w:sz="0" w:space="0" w:color="auto"/>
          </w:divBdr>
        </w:div>
        <w:div w:id="568418300">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nefitcomply.com/enforcement-efforts-for-mental-health-parity-new-comparative-analys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about-ebsa/our-activities/resource-center/faqs/aca-part-45.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laws-and-regulations/laws/mental-health-parity/self-compliance-tool.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4.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2021-04-07T19:49:00Z</dcterms:created>
  <dcterms:modified xsi:type="dcterms:W3CDTF">2021-04-07T19:49:00Z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