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011C" w14:textId="640831CF" w:rsidR="00102C3F" w:rsidRDefault="00521168" w:rsidP="00D20E25">
      <w:r>
        <w:rPr>
          <w:noProof/>
        </w:rPr>
        <mc:AlternateContent>
          <mc:Choice Requires="wps">
            <w:drawing>
              <wp:anchor distT="0" distB="0" distL="114300" distR="114300" simplePos="0" relativeHeight="251656192"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7216"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375E834" w14:textId="46B7640E" w:rsidR="006C6E78" w:rsidRPr="00D20BE7" w:rsidRDefault="00D20BE7" w:rsidP="006C6E78">
      <w:pPr>
        <w:pStyle w:val="MediumGrid2-Accent11"/>
        <w:rPr>
          <w:b/>
          <w:lang w:val="en-US"/>
        </w:rPr>
      </w:pPr>
      <w:r>
        <w:rPr>
          <w:b/>
          <w:lang w:val="en-US"/>
        </w:rPr>
        <w:t>Qualifying Medical Expenses Include COVID</w:t>
      </w:r>
      <w:r w:rsidR="00B61B12">
        <w:rPr>
          <w:b/>
          <w:lang w:val="en-US"/>
        </w:rPr>
        <w:t>-Related PPE</w:t>
      </w:r>
    </w:p>
    <w:p w14:paraId="4D59DAF9" w14:textId="15FDA316" w:rsidR="006C6E78" w:rsidRPr="00C4573C" w:rsidRDefault="006C6E78" w:rsidP="006C6E78">
      <w:pPr>
        <w:pStyle w:val="MediumGrid2-Accent11"/>
        <w:rPr>
          <w:b/>
          <w:lang w:val="en-US"/>
        </w:rPr>
      </w:pPr>
      <w:r w:rsidRPr="006C6E78">
        <w:rPr>
          <w:b/>
        </w:rPr>
        <w:t xml:space="preserve">Issue Date: </w:t>
      </w:r>
      <w:r w:rsidR="002C2E85">
        <w:rPr>
          <w:b/>
          <w:lang w:val="en-US"/>
        </w:rPr>
        <w:t>April</w:t>
      </w:r>
      <w:r w:rsidR="00C4573C">
        <w:rPr>
          <w:b/>
          <w:lang w:val="en-US"/>
        </w:rPr>
        <w:t xml:space="preserve"> 2021</w:t>
      </w:r>
    </w:p>
    <w:p w14:paraId="0B325242" w14:textId="77777777" w:rsidR="006C6E78" w:rsidRPr="006C6E78" w:rsidRDefault="006C6E78" w:rsidP="006C6E78">
      <w:pPr>
        <w:pStyle w:val="MediumGrid2-Accent11"/>
      </w:pPr>
    </w:p>
    <w:p w14:paraId="32DE1C87" w14:textId="1B094126" w:rsidR="00A373CD" w:rsidRPr="00E5498D" w:rsidRDefault="00A373CD" w:rsidP="006C6E78">
      <w:pPr>
        <w:pStyle w:val="MediumGrid2-Accent11"/>
        <w:rPr>
          <w:b/>
          <w:bCs/>
          <w:lang w:val="en-US"/>
        </w:rPr>
      </w:pPr>
      <w:r>
        <w:rPr>
          <w:b/>
          <w:bCs/>
          <w:lang w:val="en-US"/>
        </w:rPr>
        <w:t>Introduction</w:t>
      </w:r>
    </w:p>
    <w:p w14:paraId="248A729D" w14:textId="08ABCD3D" w:rsidR="006C6E78" w:rsidRPr="006C6E78" w:rsidRDefault="006C6E78" w:rsidP="006C6E78">
      <w:pPr>
        <w:pStyle w:val="MediumGrid2-Accent11"/>
      </w:pPr>
      <w:r w:rsidRPr="006C6E78">
        <w:t xml:space="preserve">In </w:t>
      </w:r>
      <w:r w:rsidR="00B61B12">
        <w:rPr>
          <w:lang w:val="en-US"/>
        </w:rPr>
        <w:t>IRS Announcement 2021-07</w:t>
      </w:r>
      <w:r w:rsidRPr="006C6E78">
        <w:t xml:space="preserve">, the IRS </w:t>
      </w:r>
      <w:r w:rsidR="00B61B12">
        <w:rPr>
          <w:lang w:val="en-US"/>
        </w:rPr>
        <w:t>clarified that amounts paid for personal protective equipment (PPE)</w:t>
      </w:r>
      <w:r w:rsidR="00AC103F">
        <w:rPr>
          <w:lang w:val="en-US"/>
        </w:rPr>
        <w:t xml:space="preserve"> such as masks, hand sanitizer, and sanitizing wipes may be treated as qualifying medical expenses and thereby </w:t>
      </w:r>
      <w:r w:rsidR="004E1AD4">
        <w:rPr>
          <w:lang w:val="en-US"/>
        </w:rPr>
        <w:t>qualify for tax-favored reimbursement</w:t>
      </w:r>
      <w:r w:rsidR="00117053">
        <w:rPr>
          <w:lang w:val="en-US"/>
        </w:rPr>
        <w:t xml:space="preserve"> if it is purchased for the primary purpose of preventing the spread of COVID-19</w:t>
      </w:r>
      <w:r w:rsidR="004E1AD4">
        <w:rPr>
          <w:lang w:val="en-US"/>
        </w:rPr>
        <w:t>.</w:t>
      </w:r>
      <w:r w:rsidRPr="006C6E78">
        <w:t xml:space="preserve"> The full text may be found at  </w:t>
      </w:r>
      <w:hyperlink r:id="rId12" w:history="1">
        <w:r w:rsidR="00E74BEA" w:rsidRPr="00CD30CE">
          <w:rPr>
            <w:rStyle w:val="Hyperlink"/>
          </w:rPr>
          <w:t>https://www.irs.gov/pub/irs-drop/a-21-07.pdf</w:t>
        </w:r>
      </w:hyperlink>
      <w:r w:rsidRPr="006C6E78">
        <w:t>.</w:t>
      </w:r>
    </w:p>
    <w:p w14:paraId="565974BD" w14:textId="77777777" w:rsidR="00E5498D" w:rsidRDefault="00E5498D" w:rsidP="006C6E78">
      <w:pPr>
        <w:pStyle w:val="MediumGrid2-Accent11"/>
        <w:rPr>
          <w:b/>
          <w:bCs/>
          <w:lang w:val="en-US"/>
        </w:rPr>
      </w:pPr>
    </w:p>
    <w:p w14:paraId="7F733AD1" w14:textId="6138AD33" w:rsidR="006C6E78" w:rsidRPr="00E5498D" w:rsidRDefault="00764ACB" w:rsidP="006C6E78">
      <w:pPr>
        <w:pStyle w:val="MediumGrid2-Accent11"/>
        <w:rPr>
          <w:b/>
          <w:bCs/>
          <w:lang w:val="en-US"/>
        </w:rPr>
      </w:pPr>
      <w:r>
        <w:rPr>
          <w:b/>
          <w:bCs/>
          <w:lang w:val="en-US"/>
        </w:rPr>
        <w:t>Application for Health FSAs, HRAs, and HSAs</w:t>
      </w:r>
    </w:p>
    <w:p w14:paraId="02A46136" w14:textId="51CE4ED3" w:rsidR="006C6E78" w:rsidRPr="009F0B20" w:rsidRDefault="00F56032" w:rsidP="006C6E78">
      <w:pPr>
        <w:pStyle w:val="MediumGrid2-Accent11"/>
        <w:rPr>
          <w:iCs/>
          <w:lang w:val="en-US"/>
        </w:rPr>
      </w:pPr>
      <w:r>
        <w:rPr>
          <w:iCs/>
          <w:lang w:val="en-US"/>
        </w:rPr>
        <w:t>Health flexible spending arrangements (FSAs), health reimbursement arrangements (HRAs)</w:t>
      </w:r>
      <w:r w:rsidR="00026FD3">
        <w:rPr>
          <w:iCs/>
          <w:lang w:val="en-US"/>
        </w:rPr>
        <w:t>, and health savings accounts (HSAs) are allow</w:t>
      </w:r>
      <w:r w:rsidR="00ED57B4">
        <w:rPr>
          <w:iCs/>
          <w:lang w:val="en-US"/>
        </w:rPr>
        <w:t>ed</w:t>
      </w:r>
      <w:r w:rsidR="00026FD3">
        <w:rPr>
          <w:iCs/>
          <w:lang w:val="en-US"/>
        </w:rPr>
        <w:t xml:space="preserve"> to reimburse most </w:t>
      </w:r>
      <w:r w:rsidR="0011770E">
        <w:rPr>
          <w:iCs/>
          <w:lang w:val="en-US"/>
        </w:rPr>
        <w:t>medical care expenses as defined by the IRS in §213(d)</w:t>
      </w:r>
      <w:r w:rsidR="002C0D6F">
        <w:rPr>
          <w:iCs/>
          <w:lang w:val="en-US"/>
        </w:rPr>
        <w:t xml:space="preserve"> that are incurred by the employee or the employee’s spouse or tax dependents.</w:t>
      </w:r>
      <w:r w:rsidR="00AF39E2">
        <w:rPr>
          <w:iCs/>
          <w:lang w:val="en-US"/>
        </w:rPr>
        <w:t xml:space="preserve"> Such medical care </w:t>
      </w:r>
      <w:r w:rsidR="00AF39E2" w:rsidRPr="00AF39E2">
        <w:rPr>
          <w:iCs/>
          <w:lang w:val="en-US"/>
        </w:rPr>
        <w:t xml:space="preserve">must be </w:t>
      </w:r>
      <w:r w:rsidR="00AF39E2" w:rsidRPr="00AF39E2">
        <w:rPr>
          <w:i/>
          <w:lang w:val="en-US"/>
        </w:rPr>
        <w:t>“for the diagnosis, cure, mitigation, treatment or prevention of disease</w:t>
      </w:r>
      <w:r w:rsidR="00305BBB">
        <w:rPr>
          <w:i/>
          <w:lang w:val="en-US"/>
        </w:rPr>
        <w:t>.</w:t>
      </w:r>
      <w:r w:rsidR="00AF39E2" w:rsidRPr="00AF39E2">
        <w:rPr>
          <w:i/>
          <w:lang w:val="en-US"/>
        </w:rPr>
        <w:t>”</w:t>
      </w:r>
      <w:r w:rsidR="009F0B20">
        <w:rPr>
          <w:iCs/>
          <w:lang w:val="en-US"/>
        </w:rPr>
        <w:t xml:space="preserve"> </w:t>
      </w:r>
      <w:r w:rsidR="00305BBB">
        <w:rPr>
          <w:iCs/>
          <w:lang w:val="en-US"/>
        </w:rPr>
        <w:t xml:space="preserve">Preventive care, which would include </w:t>
      </w:r>
      <w:r w:rsidR="003E4B61">
        <w:rPr>
          <w:iCs/>
          <w:lang w:val="en-US"/>
        </w:rPr>
        <w:t xml:space="preserve">PPE, is </w:t>
      </w:r>
      <w:r w:rsidR="00F84168">
        <w:rPr>
          <w:iCs/>
          <w:lang w:val="en-US"/>
        </w:rPr>
        <w:t xml:space="preserve">generally </w:t>
      </w:r>
      <w:r w:rsidR="003E4B61">
        <w:rPr>
          <w:iCs/>
          <w:lang w:val="en-US"/>
        </w:rPr>
        <w:t xml:space="preserve">reimbursable on a tax-favored basis only if it is </w:t>
      </w:r>
      <w:r w:rsidR="00F84168">
        <w:rPr>
          <w:iCs/>
          <w:lang w:val="en-US"/>
        </w:rPr>
        <w:t>needed to treat an existing or imminently probably disease, physical</w:t>
      </w:r>
      <w:r w:rsidR="00523925">
        <w:rPr>
          <w:iCs/>
          <w:lang w:val="en-US"/>
        </w:rPr>
        <w:t xml:space="preserve"> or mental defect, or illness. Therefore, prior to</w:t>
      </w:r>
      <w:r w:rsidR="00A373CD">
        <w:rPr>
          <w:iCs/>
          <w:lang w:val="en-US"/>
        </w:rPr>
        <w:t xml:space="preserve"> the </w:t>
      </w:r>
      <w:r w:rsidR="00523925">
        <w:rPr>
          <w:iCs/>
          <w:lang w:val="en-US"/>
        </w:rPr>
        <w:t xml:space="preserve">IRS announcement, PPE was reimbursable </w:t>
      </w:r>
      <w:r w:rsidR="00155943">
        <w:rPr>
          <w:iCs/>
          <w:lang w:val="en-US"/>
        </w:rPr>
        <w:t xml:space="preserve">only if, for example, it was </w:t>
      </w:r>
      <w:r w:rsidR="008F3C4B">
        <w:rPr>
          <w:iCs/>
          <w:lang w:val="en-US"/>
        </w:rPr>
        <w:t>prescribed by a physician</w:t>
      </w:r>
      <w:r w:rsidR="00465975">
        <w:rPr>
          <w:iCs/>
          <w:lang w:val="en-US"/>
        </w:rPr>
        <w:t xml:space="preserve"> to treat a specific condition</w:t>
      </w:r>
      <w:r w:rsidR="008F3C4B">
        <w:rPr>
          <w:iCs/>
          <w:lang w:val="en-US"/>
        </w:rPr>
        <w:t xml:space="preserve"> or </w:t>
      </w:r>
      <w:r w:rsidR="00ED57B4">
        <w:rPr>
          <w:iCs/>
          <w:lang w:val="en-US"/>
        </w:rPr>
        <w:t>for an</w:t>
      </w:r>
      <w:r w:rsidR="008F3C4B">
        <w:rPr>
          <w:iCs/>
          <w:lang w:val="en-US"/>
        </w:rPr>
        <w:t xml:space="preserve"> </w:t>
      </w:r>
      <w:proofErr w:type="spellStart"/>
      <w:r w:rsidR="008F3C4B">
        <w:rPr>
          <w:iCs/>
          <w:lang w:val="en-US"/>
        </w:rPr>
        <w:t>indiv</w:t>
      </w:r>
      <w:r w:rsidR="00DD5D45">
        <w:rPr>
          <w:iCs/>
          <w:lang w:val="en-US"/>
        </w:rPr>
        <w:t>’</w:t>
      </w:r>
      <w:r w:rsidR="008F3C4B">
        <w:rPr>
          <w:iCs/>
          <w:lang w:val="en-US"/>
        </w:rPr>
        <w:t>idual</w:t>
      </w:r>
      <w:proofErr w:type="spellEnd"/>
      <w:r w:rsidR="008F3C4B">
        <w:rPr>
          <w:iCs/>
          <w:lang w:val="en-US"/>
        </w:rPr>
        <w:t xml:space="preserve"> </w:t>
      </w:r>
      <w:r w:rsidR="00ED57B4">
        <w:rPr>
          <w:iCs/>
          <w:lang w:val="en-US"/>
        </w:rPr>
        <w:t xml:space="preserve">who </w:t>
      </w:r>
      <w:r w:rsidR="008F3C4B">
        <w:rPr>
          <w:iCs/>
          <w:lang w:val="en-US"/>
        </w:rPr>
        <w:t>was in close and frequent contact with a family member known to have a contagious disease.</w:t>
      </w:r>
      <w:r w:rsidR="006C227F">
        <w:rPr>
          <w:iCs/>
          <w:lang w:val="en-US"/>
        </w:rPr>
        <w:t xml:space="preserve"> The announcement changes this narrow interpretation and allows any PPE (e.g.,</w:t>
      </w:r>
      <w:r w:rsidR="00B00F33">
        <w:rPr>
          <w:iCs/>
          <w:lang w:val="en-US"/>
        </w:rPr>
        <w:t xml:space="preserve"> masks, hand sanitizer, sanitizing wipes) purchased </w:t>
      </w:r>
      <w:r w:rsidR="00B00F33" w:rsidRPr="00117053">
        <w:rPr>
          <w:iCs/>
          <w:lang w:val="en-US"/>
        </w:rPr>
        <w:t>for the primary purpose of preventing the spread of COVID-19</w:t>
      </w:r>
      <w:r w:rsidR="00B00F33">
        <w:rPr>
          <w:iCs/>
          <w:lang w:val="en-US"/>
        </w:rPr>
        <w:t xml:space="preserve"> to be reimbursable on a tax-favored basis</w:t>
      </w:r>
      <w:r w:rsidR="003B64CD">
        <w:rPr>
          <w:iCs/>
          <w:lang w:val="en-US"/>
        </w:rPr>
        <w:t xml:space="preserve"> so long as the expenses are not already being reimbursed </w:t>
      </w:r>
      <w:r w:rsidR="004F321B">
        <w:rPr>
          <w:iCs/>
          <w:lang w:val="en-US"/>
        </w:rPr>
        <w:t>elsewhere.</w:t>
      </w:r>
      <w:r w:rsidR="000206A6">
        <w:rPr>
          <w:iCs/>
          <w:lang w:val="en-US"/>
        </w:rPr>
        <w:t xml:space="preserve"> Such expenses are reimbursable on a tax-favored basis retroactively beginning January 1, 2020.</w:t>
      </w:r>
    </w:p>
    <w:p w14:paraId="7731FCB3" w14:textId="77777777" w:rsidR="006C6E78" w:rsidRPr="00E42891" w:rsidRDefault="006C6E78" w:rsidP="006C6E78">
      <w:pPr>
        <w:pStyle w:val="MediumGrid2-Accent11"/>
        <w:rPr>
          <w:iCs/>
        </w:rPr>
      </w:pPr>
    </w:p>
    <w:p w14:paraId="51B83616" w14:textId="368F591D" w:rsidR="003445CB" w:rsidRPr="0091491E" w:rsidRDefault="003C7654" w:rsidP="00FE3CBC">
      <w:pPr>
        <w:pStyle w:val="MediumGrid2-Accent11"/>
        <w:numPr>
          <w:ilvl w:val="0"/>
          <w:numId w:val="43"/>
        </w:numPr>
        <w:rPr>
          <w:b/>
          <w:bCs/>
          <w:lang w:val="en-US"/>
        </w:rPr>
      </w:pPr>
      <w:r w:rsidRPr="0091491E">
        <w:rPr>
          <w:u w:val="single"/>
          <w:lang w:val="en-US"/>
        </w:rPr>
        <w:t>Health FSAs</w:t>
      </w:r>
      <w:r w:rsidRPr="00FE3CBC">
        <w:rPr>
          <w:lang w:val="en-US"/>
        </w:rPr>
        <w:t xml:space="preserve"> are generally designed to reimburse</w:t>
      </w:r>
      <w:r w:rsidR="00692FD4" w:rsidRPr="00FE3CBC">
        <w:rPr>
          <w:lang w:val="en-US"/>
        </w:rPr>
        <w:t xml:space="preserve"> all</w:t>
      </w:r>
      <w:r w:rsidR="00F17D10" w:rsidRPr="00FE3CBC">
        <w:rPr>
          <w:lang w:val="en-US"/>
        </w:rPr>
        <w:t xml:space="preserve"> </w:t>
      </w:r>
      <w:r w:rsidR="00F17D10" w:rsidRPr="00FE3CBC">
        <w:rPr>
          <w:iCs/>
          <w:lang w:val="en-US"/>
        </w:rPr>
        <w:t>§213(d)</w:t>
      </w:r>
      <w:r w:rsidR="003D3C05" w:rsidRPr="00FE3CBC">
        <w:rPr>
          <w:iCs/>
          <w:lang w:val="en-US"/>
        </w:rPr>
        <w:t xml:space="preserve">, </w:t>
      </w:r>
      <w:r w:rsidR="00A318A7">
        <w:rPr>
          <w:iCs/>
          <w:lang w:val="en-US"/>
        </w:rPr>
        <w:t>except that</w:t>
      </w:r>
      <w:r w:rsidR="003D3C05" w:rsidRPr="00FE3CBC">
        <w:rPr>
          <w:iCs/>
          <w:lang w:val="en-US"/>
        </w:rPr>
        <w:t xml:space="preserve"> cafeteria plan regulations prohibit reimbursement of expenses incurred for </w:t>
      </w:r>
      <w:r w:rsidR="00FE3CBC" w:rsidRPr="00FE3CBC">
        <w:rPr>
          <w:iCs/>
          <w:lang w:val="en-US"/>
        </w:rPr>
        <w:t xml:space="preserve">qualified long-term </w:t>
      </w:r>
      <w:r w:rsidR="00FE3CBC">
        <w:rPr>
          <w:iCs/>
          <w:lang w:val="en-US"/>
        </w:rPr>
        <w:t xml:space="preserve">care services and insurance premiums. </w:t>
      </w:r>
      <w:r w:rsidR="00A318A7">
        <w:rPr>
          <w:iCs/>
          <w:lang w:val="en-US"/>
        </w:rPr>
        <w:t xml:space="preserve">Employers </w:t>
      </w:r>
      <w:r w:rsidR="00A373CD">
        <w:rPr>
          <w:iCs/>
          <w:lang w:val="en-US"/>
        </w:rPr>
        <w:t>may</w:t>
      </w:r>
      <w:r w:rsidR="00A318A7">
        <w:rPr>
          <w:iCs/>
          <w:lang w:val="en-US"/>
        </w:rPr>
        <w:t xml:space="preserve"> further limit reimbursable expenses, but many do not. </w:t>
      </w:r>
      <w:r w:rsidR="00FA4594">
        <w:rPr>
          <w:iCs/>
          <w:lang w:val="en-US"/>
        </w:rPr>
        <w:t>If the plan currently allow</w:t>
      </w:r>
      <w:r w:rsidR="00A373CD">
        <w:rPr>
          <w:iCs/>
          <w:lang w:val="en-US"/>
        </w:rPr>
        <w:t>s</w:t>
      </w:r>
      <w:r w:rsidR="00FA4594">
        <w:rPr>
          <w:iCs/>
          <w:lang w:val="en-US"/>
        </w:rPr>
        <w:t xml:space="preserve"> reimbursement </w:t>
      </w:r>
      <w:r w:rsidR="00EC4305">
        <w:rPr>
          <w:iCs/>
          <w:lang w:val="en-US"/>
        </w:rPr>
        <w:t xml:space="preserve">for all “medical care” as defined by </w:t>
      </w:r>
      <w:r w:rsidR="00EC4305" w:rsidRPr="00FE3CBC">
        <w:rPr>
          <w:iCs/>
          <w:lang w:val="en-US"/>
        </w:rPr>
        <w:t>§213(d)</w:t>
      </w:r>
      <w:r w:rsidR="00EC4305">
        <w:rPr>
          <w:iCs/>
          <w:lang w:val="en-US"/>
        </w:rPr>
        <w:t xml:space="preserve">, except for qualified long-term care services and insurance premiums, then the plan would now allow for reimbursement of PPE without any need to amend such language. However, if </w:t>
      </w:r>
      <w:r w:rsidR="007645FD">
        <w:rPr>
          <w:iCs/>
          <w:lang w:val="en-US"/>
        </w:rPr>
        <w:t>reimbursable expenses have been limited to specifically exclude PPE, or there</w:t>
      </w:r>
      <w:r w:rsidR="00A373CD">
        <w:rPr>
          <w:iCs/>
          <w:lang w:val="en-US"/>
        </w:rPr>
        <w:t xml:space="preserve"> if the plan is written broadly and there</w:t>
      </w:r>
      <w:r w:rsidR="007645FD">
        <w:rPr>
          <w:iCs/>
          <w:lang w:val="en-US"/>
        </w:rPr>
        <w:t xml:space="preserve"> is a desire not to reimburse expenses incurred for PPE, a plan amendment may be required.</w:t>
      </w:r>
    </w:p>
    <w:p w14:paraId="665836BC" w14:textId="77777777" w:rsidR="00E5498D" w:rsidRPr="00E5498D" w:rsidRDefault="0091491E" w:rsidP="00246D41">
      <w:pPr>
        <w:pStyle w:val="MediumGrid2-Accent11"/>
        <w:numPr>
          <w:ilvl w:val="0"/>
          <w:numId w:val="43"/>
        </w:numPr>
        <w:rPr>
          <w:u w:val="single"/>
          <w:lang w:val="en-US"/>
        </w:rPr>
      </w:pPr>
      <w:r>
        <w:rPr>
          <w:u w:val="single"/>
          <w:lang w:val="en-US"/>
        </w:rPr>
        <w:t>HRAs</w:t>
      </w:r>
      <w:r>
        <w:rPr>
          <w:lang w:val="en-US"/>
        </w:rPr>
        <w:t xml:space="preserve"> are </w:t>
      </w:r>
      <w:r w:rsidR="00FF250C">
        <w:rPr>
          <w:lang w:val="en-US"/>
        </w:rPr>
        <w:t xml:space="preserve">permitted to reimburse </w:t>
      </w:r>
      <w:r w:rsidR="00AA01D6">
        <w:rPr>
          <w:iCs/>
          <w:lang w:val="en-US"/>
        </w:rPr>
        <w:t xml:space="preserve">all “medical care” as defined by </w:t>
      </w:r>
      <w:r w:rsidR="00AA01D6" w:rsidRPr="00FE3CBC">
        <w:rPr>
          <w:iCs/>
          <w:lang w:val="en-US"/>
        </w:rPr>
        <w:t>§213(d)</w:t>
      </w:r>
      <w:r w:rsidR="00AA01D6">
        <w:rPr>
          <w:iCs/>
          <w:lang w:val="en-US"/>
        </w:rPr>
        <w:t>,</w:t>
      </w:r>
      <w:r w:rsidR="0069708F">
        <w:rPr>
          <w:iCs/>
          <w:lang w:val="en-US"/>
        </w:rPr>
        <w:t xml:space="preserve"> </w:t>
      </w:r>
      <w:r w:rsidR="00AA01D6">
        <w:rPr>
          <w:iCs/>
          <w:lang w:val="en-US"/>
        </w:rPr>
        <w:t xml:space="preserve">but </w:t>
      </w:r>
      <w:r w:rsidR="007404ED">
        <w:rPr>
          <w:iCs/>
          <w:lang w:val="en-US"/>
        </w:rPr>
        <w:t>reimbursable expense</w:t>
      </w:r>
      <w:r w:rsidR="0069708F">
        <w:rPr>
          <w:iCs/>
          <w:lang w:val="en-US"/>
        </w:rPr>
        <w:t xml:space="preserve">s </w:t>
      </w:r>
      <w:r w:rsidR="00AA01D6">
        <w:rPr>
          <w:iCs/>
          <w:lang w:val="en-US"/>
        </w:rPr>
        <w:t>are often limited by plan design (</w:t>
      </w:r>
      <w:r w:rsidR="00A373CD">
        <w:rPr>
          <w:iCs/>
          <w:lang w:val="en-US"/>
        </w:rPr>
        <w:t xml:space="preserve">i.e., </w:t>
      </w:r>
      <w:r w:rsidR="00AA01D6">
        <w:rPr>
          <w:iCs/>
          <w:lang w:val="en-US"/>
        </w:rPr>
        <w:t>by the employer).</w:t>
      </w:r>
      <w:r w:rsidR="0069708F">
        <w:rPr>
          <w:iCs/>
          <w:lang w:val="en-US"/>
        </w:rPr>
        <w:t xml:space="preserve"> Employers should review the plan’s definition of eligible expenses and</w:t>
      </w:r>
      <w:r>
        <w:rPr>
          <w:lang w:val="en-US"/>
        </w:rPr>
        <w:t xml:space="preserve"> </w:t>
      </w:r>
      <w:r w:rsidR="007404ED">
        <w:rPr>
          <w:lang w:val="en-US"/>
        </w:rPr>
        <w:t xml:space="preserve">make an appropriate amendment to include or exclude PPE as </w:t>
      </w:r>
      <w:r w:rsidR="00D33FE0">
        <w:rPr>
          <w:lang w:val="en-US"/>
        </w:rPr>
        <w:t>needed</w:t>
      </w:r>
      <w:r w:rsidR="007404ED">
        <w:rPr>
          <w:lang w:val="en-US"/>
        </w:rPr>
        <w:t>.</w:t>
      </w:r>
    </w:p>
    <w:p w14:paraId="367F6EC3" w14:textId="1A450EDF" w:rsidR="00D33FE0" w:rsidRPr="00764ACB" w:rsidRDefault="00D33FE0" w:rsidP="00246D41">
      <w:pPr>
        <w:pStyle w:val="MediumGrid2-Accent11"/>
        <w:numPr>
          <w:ilvl w:val="0"/>
          <w:numId w:val="43"/>
        </w:numPr>
        <w:rPr>
          <w:u w:val="single"/>
          <w:lang w:val="en-US"/>
        </w:rPr>
      </w:pPr>
      <w:r w:rsidRPr="00764ACB">
        <w:rPr>
          <w:u w:val="single"/>
          <w:lang w:val="en-US"/>
        </w:rPr>
        <w:t>HSAs</w:t>
      </w:r>
      <w:r w:rsidRPr="00764ACB">
        <w:rPr>
          <w:lang w:val="en-US"/>
        </w:rPr>
        <w:t xml:space="preserve"> are broadly</w:t>
      </w:r>
      <w:r w:rsidR="00246D41" w:rsidRPr="00764ACB">
        <w:rPr>
          <w:lang w:val="en-US"/>
        </w:rPr>
        <w:t xml:space="preserve"> available to reimburse </w:t>
      </w:r>
      <w:r w:rsidR="00246D41" w:rsidRPr="00764ACB">
        <w:rPr>
          <w:iCs/>
          <w:lang w:val="en-US"/>
        </w:rPr>
        <w:t xml:space="preserve">all “medical care” as defined by §213(d), except for </w:t>
      </w:r>
      <w:r w:rsidR="00285879" w:rsidRPr="00764ACB">
        <w:rPr>
          <w:iCs/>
          <w:lang w:val="en-US"/>
        </w:rPr>
        <w:t xml:space="preserve">most </w:t>
      </w:r>
      <w:r w:rsidR="00246D41" w:rsidRPr="00764ACB">
        <w:rPr>
          <w:iCs/>
          <w:lang w:val="en-US"/>
        </w:rPr>
        <w:t>insurance premiums</w:t>
      </w:r>
      <w:r w:rsidR="00285879" w:rsidRPr="00764ACB">
        <w:rPr>
          <w:iCs/>
          <w:lang w:val="en-US"/>
        </w:rPr>
        <w:t xml:space="preserve">. </w:t>
      </w:r>
      <w:r w:rsidR="00CC0811" w:rsidRPr="00764ACB">
        <w:rPr>
          <w:iCs/>
          <w:lang w:val="en-US"/>
        </w:rPr>
        <w:t xml:space="preserve">As an individual-owned account, reimbursable expenses are not limited by plan design, but instead simply follow IRS guidelines. </w:t>
      </w:r>
      <w:r w:rsidR="00285879" w:rsidRPr="00764ACB">
        <w:rPr>
          <w:iCs/>
          <w:lang w:val="en-US"/>
        </w:rPr>
        <w:t xml:space="preserve">Individuals with HSAs will be able to </w:t>
      </w:r>
      <w:r w:rsidR="00F173C4" w:rsidRPr="00764ACB">
        <w:rPr>
          <w:iCs/>
          <w:lang w:val="en-US"/>
        </w:rPr>
        <w:t xml:space="preserve">receive tax-favored reimbursement </w:t>
      </w:r>
      <w:r w:rsidR="008D0854" w:rsidRPr="00764ACB">
        <w:rPr>
          <w:iCs/>
          <w:lang w:val="en-US"/>
        </w:rPr>
        <w:t>from HSAs for any PPE expenses incurred January 1, 2020 or later.</w:t>
      </w:r>
    </w:p>
    <w:p w14:paraId="7B02E1FA" w14:textId="38A42197" w:rsidR="00A373CD" w:rsidRDefault="00A373CD" w:rsidP="00246D41">
      <w:pPr>
        <w:pStyle w:val="MediumGrid2-Accent11"/>
        <w:rPr>
          <w:iCs/>
          <w:lang w:val="en-US"/>
        </w:rPr>
      </w:pPr>
    </w:p>
    <w:p w14:paraId="4C05F690" w14:textId="49822FEC" w:rsidR="00764ACB" w:rsidRPr="00E5498D" w:rsidRDefault="00A373CD" w:rsidP="00E5498D">
      <w:pPr>
        <w:pStyle w:val="MediumGrid2-Accent11"/>
        <w:rPr>
          <w:iCs/>
          <w:lang w:val="en-US"/>
        </w:rPr>
      </w:pPr>
      <w:r>
        <w:rPr>
          <w:b/>
          <w:bCs/>
          <w:iCs/>
          <w:lang w:val="en-US"/>
        </w:rPr>
        <w:t>Conclusion</w:t>
      </w:r>
    </w:p>
    <w:p w14:paraId="60BCDC12" w14:textId="55023495" w:rsidR="0047037D" w:rsidRDefault="00764ACB" w:rsidP="00FE55A9">
      <w:pPr>
        <w:pStyle w:val="MediumGrid2-Accent11"/>
        <w:rPr>
          <w:lang w:val="en-US"/>
        </w:rPr>
      </w:pPr>
      <w:r w:rsidRPr="00FE3CBC">
        <w:rPr>
          <w:lang w:val="en-US"/>
        </w:rPr>
        <w:t>Employers have some flexibility to define what expenses are reimbursed by a health FSA or HRA sponsored by the employer.</w:t>
      </w:r>
      <w:r>
        <w:rPr>
          <w:lang w:val="en-US"/>
        </w:rPr>
        <w:t xml:space="preserve"> Employers should review their plan’s definition of eligible expenses and determine whether an amendment is required. Such amendments may be</w:t>
      </w:r>
      <w:r w:rsidRPr="007A04A1">
        <w:rPr>
          <w:lang w:val="en-US"/>
        </w:rPr>
        <w:t xml:space="preserve"> adopted </w:t>
      </w:r>
      <w:r>
        <w:rPr>
          <w:lang w:val="en-US"/>
        </w:rPr>
        <w:t>up until</w:t>
      </w:r>
      <w:r w:rsidRPr="007A04A1">
        <w:rPr>
          <w:lang w:val="en-US"/>
        </w:rPr>
        <w:t xml:space="preserve"> the last day of the first calendar year beginning</w:t>
      </w:r>
      <w:r>
        <w:rPr>
          <w:lang w:val="en-US"/>
        </w:rPr>
        <w:t xml:space="preserve"> </w:t>
      </w:r>
      <w:r w:rsidRPr="007A04A1">
        <w:rPr>
          <w:lang w:val="en-US"/>
        </w:rPr>
        <w:t>after the end of the plan year in which the amendment is effective</w:t>
      </w:r>
      <w:r>
        <w:rPr>
          <w:lang w:val="en-US"/>
        </w:rPr>
        <w:t xml:space="preserve"> (e.g., by December 31, 2022 for a calendar year 202</w:t>
      </w:r>
      <w:r w:rsidR="00E5498D">
        <w:rPr>
          <w:lang w:val="en-US"/>
        </w:rPr>
        <w:t xml:space="preserve">1 </w:t>
      </w:r>
      <w:r>
        <w:rPr>
          <w:lang w:val="en-US"/>
        </w:rPr>
        <w:t xml:space="preserve">plan or for a non-calendar year plan ending in 2021) so long as </w:t>
      </w:r>
      <w:r w:rsidRPr="007A04A1">
        <w:rPr>
          <w:lang w:val="en-US"/>
        </w:rPr>
        <w:t>the plan is operated</w:t>
      </w:r>
      <w:r>
        <w:rPr>
          <w:lang w:val="en-US"/>
        </w:rPr>
        <w:t xml:space="preserve"> </w:t>
      </w:r>
      <w:r w:rsidRPr="007A04A1">
        <w:rPr>
          <w:lang w:val="en-US"/>
        </w:rPr>
        <w:t>consistent with the terms of the amendment</w:t>
      </w:r>
      <w:r>
        <w:rPr>
          <w:lang w:val="en-US"/>
        </w:rPr>
        <w:t xml:space="preserve"> prior to such adoption</w:t>
      </w:r>
      <w:r w:rsidRPr="007A04A1">
        <w:rPr>
          <w:lang w:val="en-US"/>
        </w:rPr>
        <w:t>.</w:t>
      </w:r>
    </w:p>
    <w:p w14:paraId="50A81E8E" w14:textId="5CA9130A" w:rsidR="002C2E85" w:rsidRDefault="002C2E85" w:rsidP="00FE55A9">
      <w:pPr>
        <w:pStyle w:val="MediumGrid2-Accent11"/>
        <w:rPr>
          <w:lang w:val="en-US"/>
        </w:rPr>
      </w:pPr>
    </w:p>
    <w:p w14:paraId="5D4C3E39" w14:textId="77777777" w:rsidR="002C2E85" w:rsidRPr="00FE55A9" w:rsidRDefault="002C2E85" w:rsidP="00FE55A9">
      <w:pPr>
        <w:pStyle w:val="MediumGrid2-Accent11"/>
        <w:rPr>
          <w:lang w:val="en-US"/>
        </w:rPr>
      </w:pPr>
    </w:p>
    <w:p w14:paraId="47D3152A" w14:textId="77777777" w:rsidR="0047037D" w:rsidRDefault="0047037D" w:rsidP="00D20E25">
      <w:pPr>
        <w:pStyle w:val="MediumGrid2-Accent11"/>
        <w:rPr>
          <w:i/>
          <w:sz w:val="16"/>
          <w:szCs w:val="16"/>
        </w:rPr>
      </w:pPr>
    </w:p>
    <w:p w14:paraId="1E2F7E18" w14:textId="123BDC9D" w:rsidR="008362F4"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4CE06C9A" w14:textId="58B32091" w:rsidR="00E42891" w:rsidRPr="00E42891" w:rsidRDefault="00E42891" w:rsidP="00E42891">
      <w:pPr>
        <w:rPr>
          <w:lang w:val="x-none" w:eastAsia="x-none"/>
        </w:rPr>
      </w:pPr>
    </w:p>
    <w:sectPr w:rsidR="00E42891" w:rsidRPr="00E42891"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8C4A1" w14:textId="77777777" w:rsidR="003D1861" w:rsidRDefault="003D1861" w:rsidP="00D20E25">
      <w:r>
        <w:separator/>
      </w:r>
    </w:p>
  </w:endnote>
  <w:endnote w:type="continuationSeparator" w:id="0">
    <w:p w14:paraId="0E6A49B3" w14:textId="77777777" w:rsidR="003D1861" w:rsidRDefault="003D1861"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BF5" w14:textId="77777777" w:rsidR="005C07B5" w:rsidRDefault="005C07B5" w:rsidP="00D20E25">
    <w:pPr>
      <w:pStyle w:val="Footer"/>
      <w:jc w:val="center"/>
    </w:pPr>
  </w:p>
  <w:p w14:paraId="4D8ACF81" w14:textId="3E7E9C75" w:rsidR="005C07B5" w:rsidRDefault="005C07B5" w:rsidP="00D20E25">
    <w:pPr>
      <w:pStyle w:val="Footer"/>
      <w:jc w:val="center"/>
      <w:rPr>
        <w:lang w:val="en-US"/>
      </w:rPr>
    </w:pPr>
    <w:r w:rsidRPr="006C7EC1">
      <w:t>© 20</w:t>
    </w:r>
    <w:r w:rsidR="0047037D">
      <w:rPr>
        <w:lang w:val="en-US"/>
      </w:rPr>
      <w:t>2</w:t>
    </w:r>
    <w:r w:rsidR="00A373CD">
      <w:rPr>
        <w:lang w:val="en-US"/>
      </w:rPr>
      <w:t>1</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7E9" w14:textId="6518D96C" w:rsidR="00777C72" w:rsidRDefault="005C07B5" w:rsidP="00D20E25">
    <w:pPr>
      <w:pStyle w:val="Footer"/>
      <w:jc w:val="center"/>
      <w:rPr>
        <w:lang w:val="en-US"/>
      </w:rPr>
    </w:pPr>
    <w:r>
      <w:t>© 20</w:t>
    </w:r>
    <w:r w:rsidR="00777C72">
      <w:rPr>
        <w:lang w:val="en-US"/>
      </w:rPr>
      <w:t>2</w:t>
    </w:r>
    <w:r w:rsidR="00E42891">
      <w:rPr>
        <w:lang w:val="en-US"/>
      </w:rPr>
      <w:t>1</w:t>
    </w:r>
  </w:p>
  <w:p w14:paraId="30193533" w14:textId="4E579728" w:rsidR="005C07B5" w:rsidRDefault="005C07B5" w:rsidP="00D20E25">
    <w:pPr>
      <w:pStyle w:val="Footer"/>
      <w:jc w:val="center"/>
      <w:rPr>
        <w:lang w:val="en-US"/>
      </w:rPr>
    </w:pP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7FC6" w14:textId="77777777" w:rsidR="003D1861" w:rsidRDefault="003D1861" w:rsidP="00D20E25">
      <w:r>
        <w:separator/>
      </w:r>
    </w:p>
  </w:footnote>
  <w:footnote w:type="continuationSeparator" w:id="0">
    <w:p w14:paraId="7888BEB4" w14:textId="77777777" w:rsidR="003D1861" w:rsidRDefault="003D1861"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73F3CED"/>
    <w:multiLevelType w:val="hybridMultilevel"/>
    <w:tmpl w:val="0A7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E41BB"/>
    <w:multiLevelType w:val="hybridMultilevel"/>
    <w:tmpl w:val="DE028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7D96999"/>
    <w:multiLevelType w:val="hybridMultilevel"/>
    <w:tmpl w:val="D532A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41A79"/>
    <w:multiLevelType w:val="hybridMultilevel"/>
    <w:tmpl w:val="9AF40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5"/>
  </w:num>
  <w:num w:numId="3">
    <w:abstractNumId w:val="24"/>
  </w:num>
  <w:num w:numId="4">
    <w:abstractNumId w:val="12"/>
  </w:num>
  <w:num w:numId="5">
    <w:abstractNumId w:val="29"/>
  </w:num>
  <w:num w:numId="6">
    <w:abstractNumId w:val="10"/>
  </w:num>
  <w:num w:numId="7">
    <w:abstractNumId w:val="16"/>
  </w:num>
  <w:num w:numId="8">
    <w:abstractNumId w:val="31"/>
  </w:num>
  <w:num w:numId="9">
    <w:abstractNumId w:val="19"/>
  </w:num>
  <w:num w:numId="10">
    <w:abstractNumId w:val="36"/>
  </w:num>
  <w:num w:numId="11">
    <w:abstractNumId w:val="2"/>
  </w:num>
  <w:num w:numId="12">
    <w:abstractNumId w:val="18"/>
  </w:num>
  <w:num w:numId="13">
    <w:abstractNumId w:val="23"/>
  </w:num>
  <w:num w:numId="14">
    <w:abstractNumId w:val="40"/>
  </w:num>
  <w:num w:numId="15">
    <w:abstractNumId w:val="27"/>
  </w:num>
  <w:num w:numId="16">
    <w:abstractNumId w:val="35"/>
  </w:num>
  <w:num w:numId="17">
    <w:abstractNumId w:val="13"/>
  </w:num>
  <w:num w:numId="18">
    <w:abstractNumId w:val="21"/>
  </w:num>
  <w:num w:numId="19">
    <w:abstractNumId w:val="28"/>
  </w:num>
  <w:num w:numId="20">
    <w:abstractNumId w:val="38"/>
  </w:num>
  <w:num w:numId="21">
    <w:abstractNumId w:val="20"/>
  </w:num>
  <w:num w:numId="22">
    <w:abstractNumId w:val="33"/>
  </w:num>
  <w:num w:numId="23">
    <w:abstractNumId w:val="41"/>
  </w:num>
  <w:num w:numId="24">
    <w:abstractNumId w:val="32"/>
  </w:num>
  <w:num w:numId="25">
    <w:abstractNumId w:val="17"/>
  </w:num>
  <w:num w:numId="26">
    <w:abstractNumId w:val="15"/>
  </w:num>
  <w:num w:numId="27">
    <w:abstractNumId w:val="39"/>
  </w:num>
  <w:num w:numId="28">
    <w:abstractNumId w:val="11"/>
  </w:num>
  <w:num w:numId="29">
    <w:abstractNumId w:val="3"/>
  </w:num>
  <w:num w:numId="30">
    <w:abstractNumId w:val="14"/>
  </w:num>
  <w:num w:numId="31">
    <w:abstractNumId w:val="0"/>
  </w:num>
  <w:num w:numId="32">
    <w:abstractNumId w:val="22"/>
  </w:num>
  <w:num w:numId="33">
    <w:abstractNumId w:val="8"/>
  </w:num>
  <w:num w:numId="34">
    <w:abstractNumId w:val="6"/>
  </w:num>
  <w:num w:numId="35">
    <w:abstractNumId w:val="7"/>
  </w:num>
  <w:num w:numId="36">
    <w:abstractNumId w:val="4"/>
  </w:num>
  <w:num w:numId="37">
    <w:abstractNumId w:val="30"/>
  </w:num>
  <w:num w:numId="38">
    <w:abstractNumId w:val="1"/>
  </w:num>
  <w:num w:numId="39">
    <w:abstractNumId w:val="34"/>
  </w:num>
  <w:num w:numId="40">
    <w:abstractNumId w:val="26"/>
  </w:num>
  <w:num w:numId="41">
    <w:abstractNumId w:val="22"/>
  </w:num>
  <w:num w:numId="42">
    <w:abstractNumId w:val="37"/>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07BBE"/>
    <w:rsid w:val="000166F5"/>
    <w:rsid w:val="000206A6"/>
    <w:rsid w:val="00026FD3"/>
    <w:rsid w:val="00030CBF"/>
    <w:rsid w:val="000360C6"/>
    <w:rsid w:val="0003657F"/>
    <w:rsid w:val="00041D34"/>
    <w:rsid w:val="00042D2A"/>
    <w:rsid w:val="000506AC"/>
    <w:rsid w:val="00055D59"/>
    <w:rsid w:val="00056762"/>
    <w:rsid w:val="00056A2E"/>
    <w:rsid w:val="0006084A"/>
    <w:rsid w:val="0006208C"/>
    <w:rsid w:val="0006416F"/>
    <w:rsid w:val="00065F15"/>
    <w:rsid w:val="00071F3D"/>
    <w:rsid w:val="00073F99"/>
    <w:rsid w:val="00076EB8"/>
    <w:rsid w:val="000867F5"/>
    <w:rsid w:val="00086BE4"/>
    <w:rsid w:val="00090F22"/>
    <w:rsid w:val="00093BE1"/>
    <w:rsid w:val="00096B1E"/>
    <w:rsid w:val="000A1DB6"/>
    <w:rsid w:val="000A697A"/>
    <w:rsid w:val="000A797E"/>
    <w:rsid w:val="000B207F"/>
    <w:rsid w:val="000C41B5"/>
    <w:rsid w:val="000C5473"/>
    <w:rsid w:val="000E0239"/>
    <w:rsid w:val="000E03AB"/>
    <w:rsid w:val="000E668C"/>
    <w:rsid w:val="000F11E2"/>
    <w:rsid w:val="0010150B"/>
    <w:rsid w:val="00102B71"/>
    <w:rsid w:val="00102C3F"/>
    <w:rsid w:val="00103F85"/>
    <w:rsid w:val="00104680"/>
    <w:rsid w:val="001134F3"/>
    <w:rsid w:val="00113F23"/>
    <w:rsid w:val="001152AA"/>
    <w:rsid w:val="00117053"/>
    <w:rsid w:val="0011770E"/>
    <w:rsid w:val="00136B3A"/>
    <w:rsid w:val="00137BDB"/>
    <w:rsid w:val="00140769"/>
    <w:rsid w:val="00142A3F"/>
    <w:rsid w:val="001432A3"/>
    <w:rsid w:val="00144A9C"/>
    <w:rsid w:val="00145D3B"/>
    <w:rsid w:val="00150473"/>
    <w:rsid w:val="00150684"/>
    <w:rsid w:val="00155943"/>
    <w:rsid w:val="00160335"/>
    <w:rsid w:val="00162EDC"/>
    <w:rsid w:val="00166021"/>
    <w:rsid w:val="00171AD4"/>
    <w:rsid w:val="001824D9"/>
    <w:rsid w:val="00187547"/>
    <w:rsid w:val="001912DE"/>
    <w:rsid w:val="0019308E"/>
    <w:rsid w:val="001A6AA9"/>
    <w:rsid w:val="001A7C6F"/>
    <w:rsid w:val="001B0158"/>
    <w:rsid w:val="001B1A88"/>
    <w:rsid w:val="001B212E"/>
    <w:rsid w:val="001C1FBC"/>
    <w:rsid w:val="001C256F"/>
    <w:rsid w:val="001C70AE"/>
    <w:rsid w:val="001D1306"/>
    <w:rsid w:val="001D2D6E"/>
    <w:rsid w:val="001D58D8"/>
    <w:rsid w:val="001D745D"/>
    <w:rsid w:val="001E1A83"/>
    <w:rsid w:val="001E2972"/>
    <w:rsid w:val="001E37F9"/>
    <w:rsid w:val="001E622E"/>
    <w:rsid w:val="001E68E8"/>
    <w:rsid w:val="001F0404"/>
    <w:rsid w:val="001F20E5"/>
    <w:rsid w:val="001F4334"/>
    <w:rsid w:val="001F7E84"/>
    <w:rsid w:val="0020023D"/>
    <w:rsid w:val="00200664"/>
    <w:rsid w:val="0020685D"/>
    <w:rsid w:val="00211FC6"/>
    <w:rsid w:val="002168E8"/>
    <w:rsid w:val="00226E7A"/>
    <w:rsid w:val="00231306"/>
    <w:rsid w:val="00235819"/>
    <w:rsid w:val="00246370"/>
    <w:rsid w:val="00246D41"/>
    <w:rsid w:val="00247077"/>
    <w:rsid w:val="00254861"/>
    <w:rsid w:val="00255A5D"/>
    <w:rsid w:val="00261EFA"/>
    <w:rsid w:val="00265FE3"/>
    <w:rsid w:val="00270D0F"/>
    <w:rsid w:val="00273D4E"/>
    <w:rsid w:val="002743FF"/>
    <w:rsid w:val="00277CAA"/>
    <w:rsid w:val="00285879"/>
    <w:rsid w:val="0029167B"/>
    <w:rsid w:val="002A51D5"/>
    <w:rsid w:val="002B061B"/>
    <w:rsid w:val="002B12A4"/>
    <w:rsid w:val="002B1570"/>
    <w:rsid w:val="002C078D"/>
    <w:rsid w:val="002C0D6F"/>
    <w:rsid w:val="002C2E85"/>
    <w:rsid w:val="002C4ADB"/>
    <w:rsid w:val="002C7644"/>
    <w:rsid w:val="002D198D"/>
    <w:rsid w:val="002D2E6A"/>
    <w:rsid w:val="002D6E4B"/>
    <w:rsid w:val="002E3F16"/>
    <w:rsid w:val="002E41EF"/>
    <w:rsid w:val="002F1D78"/>
    <w:rsid w:val="002F2BFF"/>
    <w:rsid w:val="002F3FBC"/>
    <w:rsid w:val="002F5B6A"/>
    <w:rsid w:val="002F7CDF"/>
    <w:rsid w:val="002F7E7A"/>
    <w:rsid w:val="00305BBB"/>
    <w:rsid w:val="00305FF6"/>
    <w:rsid w:val="003105DC"/>
    <w:rsid w:val="00310796"/>
    <w:rsid w:val="00311883"/>
    <w:rsid w:val="00311D22"/>
    <w:rsid w:val="00314066"/>
    <w:rsid w:val="00317F9F"/>
    <w:rsid w:val="003231B2"/>
    <w:rsid w:val="00327CAE"/>
    <w:rsid w:val="00332855"/>
    <w:rsid w:val="003332F7"/>
    <w:rsid w:val="0033539F"/>
    <w:rsid w:val="00337651"/>
    <w:rsid w:val="00341F9B"/>
    <w:rsid w:val="00342727"/>
    <w:rsid w:val="003445CB"/>
    <w:rsid w:val="0034691B"/>
    <w:rsid w:val="00351813"/>
    <w:rsid w:val="003536E9"/>
    <w:rsid w:val="00355C5F"/>
    <w:rsid w:val="0035725D"/>
    <w:rsid w:val="003606B3"/>
    <w:rsid w:val="00360D2B"/>
    <w:rsid w:val="00367D54"/>
    <w:rsid w:val="00373838"/>
    <w:rsid w:val="0037534B"/>
    <w:rsid w:val="00376CF8"/>
    <w:rsid w:val="00376E7C"/>
    <w:rsid w:val="00377A73"/>
    <w:rsid w:val="00383956"/>
    <w:rsid w:val="00386166"/>
    <w:rsid w:val="003902B6"/>
    <w:rsid w:val="003902B9"/>
    <w:rsid w:val="00391C98"/>
    <w:rsid w:val="0039272A"/>
    <w:rsid w:val="00397F1D"/>
    <w:rsid w:val="003A15A0"/>
    <w:rsid w:val="003A234A"/>
    <w:rsid w:val="003A4580"/>
    <w:rsid w:val="003A5845"/>
    <w:rsid w:val="003A5F0F"/>
    <w:rsid w:val="003B0730"/>
    <w:rsid w:val="003B180D"/>
    <w:rsid w:val="003B2A42"/>
    <w:rsid w:val="003B3F75"/>
    <w:rsid w:val="003B64CD"/>
    <w:rsid w:val="003B7105"/>
    <w:rsid w:val="003C5B3D"/>
    <w:rsid w:val="003C7654"/>
    <w:rsid w:val="003D1861"/>
    <w:rsid w:val="003D2FCB"/>
    <w:rsid w:val="003D3ABE"/>
    <w:rsid w:val="003D3C05"/>
    <w:rsid w:val="003D5BB6"/>
    <w:rsid w:val="003E4B61"/>
    <w:rsid w:val="003E5815"/>
    <w:rsid w:val="003F1194"/>
    <w:rsid w:val="003F2783"/>
    <w:rsid w:val="0040100E"/>
    <w:rsid w:val="004019B7"/>
    <w:rsid w:val="00402CF5"/>
    <w:rsid w:val="00403DFE"/>
    <w:rsid w:val="004067B9"/>
    <w:rsid w:val="00410AFB"/>
    <w:rsid w:val="00411921"/>
    <w:rsid w:val="00413426"/>
    <w:rsid w:val="00415D77"/>
    <w:rsid w:val="004164F1"/>
    <w:rsid w:val="0041766D"/>
    <w:rsid w:val="00421453"/>
    <w:rsid w:val="00421B4B"/>
    <w:rsid w:val="00424799"/>
    <w:rsid w:val="00425A06"/>
    <w:rsid w:val="00442014"/>
    <w:rsid w:val="00442266"/>
    <w:rsid w:val="0045000F"/>
    <w:rsid w:val="00453012"/>
    <w:rsid w:val="00453816"/>
    <w:rsid w:val="0046122B"/>
    <w:rsid w:val="00464CBE"/>
    <w:rsid w:val="00465975"/>
    <w:rsid w:val="00467218"/>
    <w:rsid w:val="00467FDA"/>
    <w:rsid w:val="0047037D"/>
    <w:rsid w:val="004827D1"/>
    <w:rsid w:val="004870C3"/>
    <w:rsid w:val="00487B4C"/>
    <w:rsid w:val="004A39D7"/>
    <w:rsid w:val="004A65BB"/>
    <w:rsid w:val="004B2781"/>
    <w:rsid w:val="004B2E8E"/>
    <w:rsid w:val="004B3E30"/>
    <w:rsid w:val="004B4147"/>
    <w:rsid w:val="004B6441"/>
    <w:rsid w:val="004C685A"/>
    <w:rsid w:val="004D6488"/>
    <w:rsid w:val="004D76A4"/>
    <w:rsid w:val="004E114C"/>
    <w:rsid w:val="004E1AD4"/>
    <w:rsid w:val="004E22B0"/>
    <w:rsid w:val="004E4565"/>
    <w:rsid w:val="004F0122"/>
    <w:rsid w:val="004F2946"/>
    <w:rsid w:val="004F321B"/>
    <w:rsid w:val="004F38E5"/>
    <w:rsid w:val="004F4484"/>
    <w:rsid w:val="004F671B"/>
    <w:rsid w:val="00501E0D"/>
    <w:rsid w:val="0051372C"/>
    <w:rsid w:val="00515240"/>
    <w:rsid w:val="00515A9A"/>
    <w:rsid w:val="00521168"/>
    <w:rsid w:val="00521F45"/>
    <w:rsid w:val="00523925"/>
    <w:rsid w:val="0052609C"/>
    <w:rsid w:val="00532F84"/>
    <w:rsid w:val="00535F03"/>
    <w:rsid w:val="005378A2"/>
    <w:rsid w:val="00540CCF"/>
    <w:rsid w:val="00554B62"/>
    <w:rsid w:val="00554D66"/>
    <w:rsid w:val="0055601F"/>
    <w:rsid w:val="0055764A"/>
    <w:rsid w:val="00564D20"/>
    <w:rsid w:val="005660E9"/>
    <w:rsid w:val="0056690A"/>
    <w:rsid w:val="005718C3"/>
    <w:rsid w:val="005816B0"/>
    <w:rsid w:val="00581F18"/>
    <w:rsid w:val="00584C07"/>
    <w:rsid w:val="00584F1A"/>
    <w:rsid w:val="005851D4"/>
    <w:rsid w:val="00586571"/>
    <w:rsid w:val="0058733A"/>
    <w:rsid w:val="005926DA"/>
    <w:rsid w:val="00595A34"/>
    <w:rsid w:val="005B0103"/>
    <w:rsid w:val="005B2609"/>
    <w:rsid w:val="005B4E77"/>
    <w:rsid w:val="005C07B5"/>
    <w:rsid w:val="005C2382"/>
    <w:rsid w:val="005D1DEB"/>
    <w:rsid w:val="005D2525"/>
    <w:rsid w:val="005E0615"/>
    <w:rsid w:val="005E4301"/>
    <w:rsid w:val="005E74DC"/>
    <w:rsid w:val="005F0D4C"/>
    <w:rsid w:val="005F1993"/>
    <w:rsid w:val="005F2269"/>
    <w:rsid w:val="005F3780"/>
    <w:rsid w:val="005F4D3F"/>
    <w:rsid w:val="005F6038"/>
    <w:rsid w:val="005F683F"/>
    <w:rsid w:val="005F6984"/>
    <w:rsid w:val="00600FC4"/>
    <w:rsid w:val="006034D7"/>
    <w:rsid w:val="00605355"/>
    <w:rsid w:val="006102F4"/>
    <w:rsid w:val="00613D28"/>
    <w:rsid w:val="006149F2"/>
    <w:rsid w:val="006158BC"/>
    <w:rsid w:val="00615DB3"/>
    <w:rsid w:val="00616FD0"/>
    <w:rsid w:val="006267B7"/>
    <w:rsid w:val="00633D0E"/>
    <w:rsid w:val="006466D7"/>
    <w:rsid w:val="00652E75"/>
    <w:rsid w:val="006577E9"/>
    <w:rsid w:val="00667C3C"/>
    <w:rsid w:val="006717AA"/>
    <w:rsid w:val="0067395F"/>
    <w:rsid w:val="00675439"/>
    <w:rsid w:val="00683EE3"/>
    <w:rsid w:val="00685C8D"/>
    <w:rsid w:val="00686AFD"/>
    <w:rsid w:val="006924DC"/>
    <w:rsid w:val="00692FD4"/>
    <w:rsid w:val="0069560F"/>
    <w:rsid w:val="00696ABA"/>
    <w:rsid w:val="0069708F"/>
    <w:rsid w:val="006A167F"/>
    <w:rsid w:val="006A5C71"/>
    <w:rsid w:val="006A61F3"/>
    <w:rsid w:val="006B1545"/>
    <w:rsid w:val="006B1E0F"/>
    <w:rsid w:val="006B23FC"/>
    <w:rsid w:val="006B28BC"/>
    <w:rsid w:val="006B35C9"/>
    <w:rsid w:val="006C227F"/>
    <w:rsid w:val="006C3EE1"/>
    <w:rsid w:val="006C6E78"/>
    <w:rsid w:val="006C7B72"/>
    <w:rsid w:val="006C7EC1"/>
    <w:rsid w:val="006D14FE"/>
    <w:rsid w:val="006D5631"/>
    <w:rsid w:val="006E0D2A"/>
    <w:rsid w:val="006E1247"/>
    <w:rsid w:val="006E42C0"/>
    <w:rsid w:val="006E7E55"/>
    <w:rsid w:val="006F6C41"/>
    <w:rsid w:val="0070115B"/>
    <w:rsid w:val="00701E9A"/>
    <w:rsid w:val="00702E6B"/>
    <w:rsid w:val="00704336"/>
    <w:rsid w:val="00705AFD"/>
    <w:rsid w:val="00713909"/>
    <w:rsid w:val="00713D88"/>
    <w:rsid w:val="007208C3"/>
    <w:rsid w:val="00736A9B"/>
    <w:rsid w:val="007404ED"/>
    <w:rsid w:val="007508F7"/>
    <w:rsid w:val="0075284B"/>
    <w:rsid w:val="007571ED"/>
    <w:rsid w:val="007645FD"/>
    <w:rsid w:val="00764ACB"/>
    <w:rsid w:val="00764D79"/>
    <w:rsid w:val="007705AC"/>
    <w:rsid w:val="007709F7"/>
    <w:rsid w:val="00771E34"/>
    <w:rsid w:val="0077650C"/>
    <w:rsid w:val="00776816"/>
    <w:rsid w:val="007773AA"/>
    <w:rsid w:val="00777C72"/>
    <w:rsid w:val="00781D99"/>
    <w:rsid w:val="007821CE"/>
    <w:rsid w:val="0078577D"/>
    <w:rsid w:val="00785C03"/>
    <w:rsid w:val="00787C9C"/>
    <w:rsid w:val="007908B7"/>
    <w:rsid w:val="00793F43"/>
    <w:rsid w:val="007A04A1"/>
    <w:rsid w:val="007A5C28"/>
    <w:rsid w:val="007A5F8B"/>
    <w:rsid w:val="007B1214"/>
    <w:rsid w:val="007B1E18"/>
    <w:rsid w:val="007B4885"/>
    <w:rsid w:val="007B5719"/>
    <w:rsid w:val="007B7B05"/>
    <w:rsid w:val="007C3D13"/>
    <w:rsid w:val="007C4419"/>
    <w:rsid w:val="007C7637"/>
    <w:rsid w:val="007C77AA"/>
    <w:rsid w:val="007C7C7C"/>
    <w:rsid w:val="007D3E4D"/>
    <w:rsid w:val="007E18DE"/>
    <w:rsid w:val="007E193A"/>
    <w:rsid w:val="007E2565"/>
    <w:rsid w:val="007E377B"/>
    <w:rsid w:val="007E4665"/>
    <w:rsid w:val="007E53F1"/>
    <w:rsid w:val="007E6C1D"/>
    <w:rsid w:val="007F33CC"/>
    <w:rsid w:val="007F34B4"/>
    <w:rsid w:val="007F5AD3"/>
    <w:rsid w:val="007F74EB"/>
    <w:rsid w:val="008020F4"/>
    <w:rsid w:val="0080349F"/>
    <w:rsid w:val="00804237"/>
    <w:rsid w:val="008052A3"/>
    <w:rsid w:val="00807AED"/>
    <w:rsid w:val="00807B7A"/>
    <w:rsid w:val="008100A8"/>
    <w:rsid w:val="00820177"/>
    <w:rsid w:val="0082082D"/>
    <w:rsid w:val="0083063B"/>
    <w:rsid w:val="00830ADC"/>
    <w:rsid w:val="00833027"/>
    <w:rsid w:val="008351DA"/>
    <w:rsid w:val="008362F4"/>
    <w:rsid w:val="00840509"/>
    <w:rsid w:val="008477BE"/>
    <w:rsid w:val="00853CBD"/>
    <w:rsid w:val="00855527"/>
    <w:rsid w:val="008557A4"/>
    <w:rsid w:val="00861448"/>
    <w:rsid w:val="008615C4"/>
    <w:rsid w:val="0086304F"/>
    <w:rsid w:val="008655E0"/>
    <w:rsid w:val="00866B99"/>
    <w:rsid w:val="0087409B"/>
    <w:rsid w:val="008928A9"/>
    <w:rsid w:val="008932B8"/>
    <w:rsid w:val="00897617"/>
    <w:rsid w:val="008A2216"/>
    <w:rsid w:val="008A5DF8"/>
    <w:rsid w:val="008A65DA"/>
    <w:rsid w:val="008B7373"/>
    <w:rsid w:val="008C712B"/>
    <w:rsid w:val="008D0598"/>
    <w:rsid w:val="008D0854"/>
    <w:rsid w:val="008D2CED"/>
    <w:rsid w:val="008D3E7A"/>
    <w:rsid w:val="008D5BAD"/>
    <w:rsid w:val="008E2AFE"/>
    <w:rsid w:val="008E2D74"/>
    <w:rsid w:val="008E4117"/>
    <w:rsid w:val="008E61FE"/>
    <w:rsid w:val="008F0F5D"/>
    <w:rsid w:val="008F3C4B"/>
    <w:rsid w:val="008F6B65"/>
    <w:rsid w:val="0091491E"/>
    <w:rsid w:val="00920883"/>
    <w:rsid w:val="00922438"/>
    <w:rsid w:val="009312C4"/>
    <w:rsid w:val="00933CF8"/>
    <w:rsid w:val="00935D00"/>
    <w:rsid w:val="00937411"/>
    <w:rsid w:val="00941C8D"/>
    <w:rsid w:val="00951D03"/>
    <w:rsid w:val="009536DD"/>
    <w:rsid w:val="00953A12"/>
    <w:rsid w:val="00953E85"/>
    <w:rsid w:val="00954AA6"/>
    <w:rsid w:val="00977366"/>
    <w:rsid w:val="009832FD"/>
    <w:rsid w:val="0099275F"/>
    <w:rsid w:val="009A4AD6"/>
    <w:rsid w:val="009B0614"/>
    <w:rsid w:val="009B3D09"/>
    <w:rsid w:val="009B4ECC"/>
    <w:rsid w:val="009B580E"/>
    <w:rsid w:val="009B5ABE"/>
    <w:rsid w:val="009C3F26"/>
    <w:rsid w:val="009C5E1D"/>
    <w:rsid w:val="009C6F68"/>
    <w:rsid w:val="009D2536"/>
    <w:rsid w:val="009D30FA"/>
    <w:rsid w:val="009D3637"/>
    <w:rsid w:val="009D6B8F"/>
    <w:rsid w:val="009D73B3"/>
    <w:rsid w:val="009E2006"/>
    <w:rsid w:val="009E21BA"/>
    <w:rsid w:val="009E2F97"/>
    <w:rsid w:val="009E43E3"/>
    <w:rsid w:val="009E7E96"/>
    <w:rsid w:val="009F0B20"/>
    <w:rsid w:val="009F0EFE"/>
    <w:rsid w:val="009F1035"/>
    <w:rsid w:val="009F112E"/>
    <w:rsid w:val="009F1736"/>
    <w:rsid w:val="009F664E"/>
    <w:rsid w:val="00A04BF4"/>
    <w:rsid w:val="00A065E4"/>
    <w:rsid w:val="00A06657"/>
    <w:rsid w:val="00A10143"/>
    <w:rsid w:val="00A10ACE"/>
    <w:rsid w:val="00A139C1"/>
    <w:rsid w:val="00A20097"/>
    <w:rsid w:val="00A21DC4"/>
    <w:rsid w:val="00A318A7"/>
    <w:rsid w:val="00A32D97"/>
    <w:rsid w:val="00A35CFA"/>
    <w:rsid w:val="00A373CD"/>
    <w:rsid w:val="00A45E46"/>
    <w:rsid w:val="00A50245"/>
    <w:rsid w:val="00A51D54"/>
    <w:rsid w:val="00A54B1E"/>
    <w:rsid w:val="00A62B5A"/>
    <w:rsid w:val="00A65FD1"/>
    <w:rsid w:val="00A671B6"/>
    <w:rsid w:val="00A72ADC"/>
    <w:rsid w:val="00A92AE3"/>
    <w:rsid w:val="00A94DC8"/>
    <w:rsid w:val="00A9585D"/>
    <w:rsid w:val="00A960B0"/>
    <w:rsid w:val="00AA01D6"/>
    <w:rsid w:val="00AA285A"/>
    <w:rsid w:val="00AA3E90"/>
    <w:rsid w:val="00AA6A57"/>
    <w:rsid w:val="00AB08D4"/>
    <w:rsid w:val="00AB0F84"/>
    <w:rsid w:val="00AB1C85"/>
    <w:rsid w:val="00AB2DCF"/>
    <w:rsid w:val="00AC103F"/>
    <w:rsid w:val="00AC60D1"/>
    <w:rsid w:val="00AD14A0"/>
    <w:rsid w:val="00AD4422"/>
    <w:rsid w:val="00AD5E20"/>
    <w:rsid w:val="00AE1425"/>
    <w:rsid w:val="00AE2B47"/>
    <w:rsid w:val="00AE33B8"/>
    <w:rsid w:val="00AF0B9D"/>
    <w:rsid w:val="00AF16AA"/>
    <w:rsid w:val="00AF2D80"/>
    <w:rsid w:val="00AF39E2"/>
    <w:rsid w:val="00AF61C3"/>
    <w:rsid w:val="00B00F33"/>
    <w:rsid w:val="00B03D53"/>
    <w:rsid w:val="00B044DF"/>
    <w:rsid w:val="00B13068"/>
    <w:rsid w:val="00B14799"/>
    <w:rsid w:val="00B15106"/>
    <w:rsid w:val="00B16218"/>
    <w:rsid w:val="00B23092"/>
    <w:rsid w:val="00B3020C"/>
    <w:rsid w:val="00B32724"/>
    <w:rsid w:val="00B347E4"/>
    <w:rsid w:val="00B37088"/>
    <w:rsid w:val="00B44187"/>
    <w:rsid w:val="00B470C4"/>
    <w:rsid w:val="00B51719"/>
    <w:rsid w:val="00B53A94"/>
    <w:rsid w:val="00B554D2"/>
    <w:rsid w:val="00B55BBA"/>
    <w:rsid w:val="00B57B5E"/>
    <w:rsid w:val="00B6090B"/>
    <w:rsid w:val="00B61220"/>
    <w:rsid w:val="00B61B12"/>
    <w:rsid w:val="00B63C1D"/>
    <w:rsid w:val="00B66B60"/>
    <w:rsid w:val="00B75CBA"/>
    <w:rsid w:val="00B76EE4"/>
    <w:rsid w:val="00B77E7B"/>
    <w:rsid w:val="00B803FC"/>
    <w:rsid w:val="00B8463D"/>
    <w:rsid w:val="00B85CE3"/>
    <w:rsid w:val="00B90848"/>
    <w:rsid w:val="00B9310B"/>
    <w:rsid w:val="00B9448D"/>
    <w:rsid w:val="00B96BF7"/>
    <w:rsid w:val="00BA0FD3"/>
    <w:rsid w:val="00BA6FBA"/>
    <w:rsid w:val="00BB01DD"/>
    <w:rsid w:val="00BC1E4F"/>
    <w:rsid w:val="00BC5BB5"/>
    <w:rsid w:val="00BC6C2A"/>
    <w:rsid w:val="00BD04F4"/>
    <w:rsid w:val="00BD2EC1"/>
    <w:rsid w:val="00BE0984"/>
    <w:rsid w:val="00BE1037"/>
    <w:rsid w:val="00BE24DE"/>
    <w:rsid w:val="00BE5FA7"/>
    <w:rsid w:val="00BF49EF"/>
    <w:rsid w:val="00BF4E48"/>
    <w:rsid w:val="00C0500E"/>
    <w:rsid w:val="00C14297"/>
    <w:rsid w:val="00C23BF9"/>
    <w:rsid w:val="00C24151"/>
    <w:rsid w:val="00C24CC8"/>
    <w:rsid w:val="00C24FCB"/>
    <w:rsid w:val="00C30FAA"/>
    <w:rsid w:val="00C3189E"/>
    <w:rsid w:val="00C37884"/>
    <w:rsid w:val="00C43186"/>
    <w:rsid w:val="00C4573C"/>
    <w:rsid w:val="00C60F20"/>
    <w:rsid w:val="00C61CCE"/>
    <w:rsid w:val="00C62CC2"/>
    <w:rsid w:val="00C70F5A"/>
    <w:rsid w:val="00C83A55"/>
    <w:rsid w:val="00C85BF0"/>
    <w:rsid w:val="00C87D79"/>
    <w:rsid w:val="00CA6438"/>
    <w:rsid w:val="00CB0C4C"/>
    <w:rsid w:val="00CB2087"/>
    <w:rsid w:val="00CB7F8B"/>
    <w:rsid w:val="00CC0811"/>
    <w:rsid w:val="00CC5C69"/>
    <w:rsid w:val="00CD3AB1"/>
    <w:rsid w:val="00CD6579"/>
    <w:rsid w:val="00CD6C4A"/>
    <w:rsid w:val="00CE15AE"/>
    <w:rsid w:val="00CE2D96"/>
    <w:rsid w:val="00CE6B1B"/>
    <w:rsid w:val="00CF5294"/>
    <w:rsid w:val="00CF6E62"/>
    <w:rsid w:val="00D00064"/>
    <w:rsid w:val="00D0013D"/>
    <w:rsid w:val="00D04A21"/>
    <w:rsid w:val="00D05C20"/>
    <w:rsid w:val="00D10175"/>
    <w:rsid w:val="00D11913"/>
    <w:rsid w:val="00D12D97"/>
    <w:rsid w:val="00D12E64"/>
    <w:rsid w:val="00D1467F"/>
    <w:rsid w:val="00D20023"/>
    <w:rsid w:val="00D209A7"/>
    <w:rsid w:val="00D20BE7"/>
    <w:rsid w:val="00D20E25"/>
    <w:rsid w:val="00D2204C"/>
    <w:rsid w:val="00D31672"/>
    <w:rsid w:val="00D32DF1"/>
    <w:rsid w:val="00D339BA"/>
    <w:rsid w:val="00D33FE0"/>
    <w:rsid w:val="00D36388"/>
    <w:rsid w:val="00D44E36"/>
    <w:rsid w:val="00D513B0"/>
    <w:rsid w:val="00D51832"/>
    <w:rsid w:val="00D53AA5"/>
    <w:rsid w:val="00D636DB"/>
    <w:rsid w:val="00D67829"/>
    <w:rsid w:val="00D73543"/>
    <w:rsid w:val="00D75540"/>
    <w:rsid w:val="00D76D80"/>
    <w:rsid w:val="00D82A96"/>
    <w:rsid w:val="00D84DDC"/>
    <w:rsid w:val="00D87ED1"/>
    <w:rsid w:val="00D93AFE"/>
    <w:rsid w:val="00D951AF"/>
    <w:rsid w:val="00D95C74"/>
    <w:rsid w:val="00D967F0"/>
    <w:rsid w:val="00D975E7"/>
    <w:rsid w:val="00DA0175"/>
    <w:rsid w:val="00DA1860"/>
    <w:rsid w:val="00DA5084"/>
    <w:rsid w:val="00DA5878"/>
    <w:rsid w:val="00DA6314"/>
    <w:rsid w:val="00DB1126"/>
    <w:rsid w:val="00DB1B08"/>
    <w:rsid w:val="00DB46C3"/>
    <w:rsid w:val="00DB553D"/>
    <w:rsid w:val="00DC5B8F"/>
    <w:rsid w:val="00DC715C"/>
    <w:rsid w:val="00DC76EB"/>
    <w:rsid w:val="00DD1020"/>
    <w:rsid w:val="00DD1F73"/>
    <w:rsid w:val="00DD3692"/>
    <w:rsid w:val="00DD5D45"/>
    <w:rsid w:val="00DE2CB3"/>
    <w:rsid w:val="00DE2CEC"/>
    <w:rsid w:val="00DE2E6F"/>
    <w:rsid w:val="00DE3D73"/>
    <w:rsid w:val="00DE428B"/>
    <w:rsid w:val="00DF24C0"/>
    <w:rsid w:val="00DF5014"/>
    <w:rsid w:val="00DF5D23"/>
    <w:rsid w:val="00E0273B"/>
    <w:rsid w:val="00E03088"/>
    <w:rsid w:val="00E10762"/>
    <w:rsid w:val="00E15EAE"/>
    <w:rsid w:val="00E17B5E"/>
    <w:rsid w:val="00E269D4"/>
    <w:rsid w:val="00E27423"/>
    <w:rsid w:val="00E30F4F"/>
    <w:rsid w:val="00E34058"/>
    <w:rsid w:val="00E37B09"/>
    <w:rsid w:val="00E42891"/>
    <w:rsid w:val="00E44F0B"/>
    <w:rsid w:val="00E46F87"/>
    <w:rsid w:val="00E53468"/>
    <w:rsid w:val="00E53CBA"/>
    <w:rsid w:val="00E5498D"/>
    <w:rsid w:val="00E60066"/>
    <w:rsid w:val="00E74BEA"/>
    <w:rsid w:val="00E76581"/>
    <w:rsid w:val="00E773C4"/>
    <w:rsid w:val="00E85813"/>
    <w:rsid w:val="00E85FF7"/>
    <w:rsid w:val="00EA7801"/>
    <w:rsid w:val="00EB2B80"/>
    <w:rsid w:val="00EB2BD4"/>
    <w:rsid w:val="00EB51B4"/>
    <w:rsid w:val="00EB6293"/>
    <w:rsid w:val="00EB76AE"/>
    <w:rsid w:val="00EC224B"/>
    <w:rsid w:val="00EC4305"/>
    <w:rsid w:val="00EC7661"/>
    <w:rsid w:val="00ED0E7A"/>
    <w:rsid w:val="00ED3020"/>
    <w:rsid w:val="00ED57B4"/>
    <w:rsid w:val="00EE0D2F"/>
    <w:rsid w:val="00EE57CF"/>
    <w:rsid w:val="00EF1C04"/>
    <w:rsid w:val="00EF7919"/>
    <w:rsid w:val="00F03C4B"/>
    <w:rsid w:val="00F04145"/>
    <w:rsid w:val="00F05E10"/>
    <w:rsid w:val="00F06079"/>
    <w:rsid w:val="00F173C4"/>
    <w:rsid w:val="00F17D10"/>
    <w:rsid w:val="00F236BE"/>
    <w:rsid w:val="00F33F3C"/>
    <w:rsid w:val="00F3534D"/>
    <w:rsid w:val="00F40D38"/>
    <w:rsid w:val="00F4702D"/>
    <w:rsid w:val="00F50A82"/>
    <w:rsid w:val="00F51BB5"/>
    <w:rsid w:val="00F51DF1"/>
    <w:rsid w:val="00F535E7"/>
    <w:rsid w:val="00F55CEF"/>
    <w:rsid w:val="00F56032"/>
    <w:rsid w:val="00F562CC"/>
    <w:rsid w:val="00F617E4"/>
    <w:rsid w:val="00F63D69"/>
    <w:rsid w:val="00F64CBE"/>
    <w:rsid w:val="00F75275"/>
    <w:rsid w:val="00F80D9C"/>
    <w:rsid w:val="00F83367"/>
    <w:rsid w:val="00F834A7"/>
    <w:rsid w:val="00F84168"/>
    <w:rsid w:val="00F877B8"/>
    <w:rsid w:val="00F91499"/>
    <w:rsid w:val="00F91756"/>
    <w:rsid w:val="00F942A1"/>
    <w:rsid w:val="00F949F2"/>
    <w:rsid w:val="00F96382"/>
    <w:rsid w:val="00F96597"/>
    <w:rsid w:val="00FA0739"/>
    <w:rsid w:val="00FA2F25"/>
    <w:rsid w:val="00FA4594"/>
    <w:rsid w:val="00FA4C44"/>
    <w:rsid w:val="00FA7D1E"/>
    <w:rsid w:val="00FB0360"/>
    <w:rsid w:val="00FB1408"/>
    <w:rsid w:val="00FB3435"/>
    <w:rsid w:val="00FB6812"/>
    <w:rsid w:val="00FD0F26"/>
    <w:rsid w:val="00FD20BF"/>
    <w:rsid w:val="00FD74A4"/>
    <w:rsid w:val="00FE3CBC"/>
    <w:rsid w:val="00FE55A9"/>
    <w:rsid w:val="00FE5F9B"/>
    <w:rsid w:val="00FE7E7C"/>
    <w:rsid w:val="00FF1F6A"/>
    <w:rsid w:val="00FF250C"/>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 w:type="character" w:styleId="FollowedHyperlink">
    <w:name w:val="FollowedHyperlink"/>
    <w:basedOn w:val="DefaultParagraphFont"/>
    <w:uiPriority w:val="99"/>
    <w:semiHidden/>
    <w:unhideWhenUsed/>
    <w:rsid w:val="00983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a-21-0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25388-A7DA-442B-8547-DD08CBFB42F0}">
  <ds:schemaRefs>
    <ds:schemaRef ds:uri="http://schemas.openxmlformats.org/officeDocument/2006/bibliography"/>
  </ds:schemaRefs>
</ds:datastoreItem>
</file>

<file path=customXml/itemProps2.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3.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D09A21-5F47-4691-86F2-18834BAA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2021-04-07T19:42:00Z</dcterms:created>
  <dcterms:modified xsi:type="dcterms:W3CDTF">2021-04-07T19:42:00Z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