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640831CF" w:rsidR="00102C3F" w:rsidRDefault="00521168" w:rsidP="00D20E25">
      <w:r>
        <w:rPr>
          <w:noProof/>
        </w:rPr>
        <mc:AlternateContent>
          <mc:Choice Requires="wps">
            <w:drawing>
              <wp:anchor distT="0" distB="0" distL="114300" distR="114300" simplePos="0" relativeHeight="251656192"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021B4705" w14:textId="5184E140" w:rsidR="005C07B5" w:rsidRPr="00D636DB" w:rsidRDefault="00E94CD8" w:rsidP="00D20E25">
                            <w:pPr>
                              <w:jc w:val="right"/>
                            </w:pPr>
                            <w:r>
                              <w:rPr>
                                <w:color w:val="FFFFFF"/>
                                <w:sz w:val="44"/>
                                <w:szCs w:val="44"/>
                              </w:rPr>
                              <w:t>Issue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" filled="f" stroked="f">
                <v:textbox>
                  <w:txbxContent>
                    <w:p w14:paraId="021B4705" w14:textId="5184E140" w:rsidR="005C07B5" w:rsidRPr="00D636DB" w:rsidRDefault="00E94CD8" w:rsidP="00D20E25">
                      <w:pPr>
                        <w:jc w:val="right"/>
                      </w:pPr>
                      <w:r>
                        <w:rPr>
                          <w:color w:val="FFFFFF"/>
                          <w:sz w:val="44"/>
                          <w:szCs w:val="44"/>
                        </w:rPr>
                        <w:t>Issue Brief</w:t>
                      </w:r>
                    </w:p>
                  </w:txbxContent>
                </v:textbox>
              </v:shape>
            </w:pict>
          </mc:Fallback>
        </mc:AlternateContent>
      </w:r>
      <w:r>
        <w:rPr>
          <w:noProof/>
        </w:rPr>
        <w:drawing>
          <wp:anchor distT="0" distB="0" distL="114300" distR="114300" simplePos="0" relativeHeight="251657216"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375E834" w14:textId="5B88A425" w:rsidR="006C6E78" w:rsidRPr="00D20BE7" w:rsidRDefault="00F91C41" w:rsidP="006C6E78">
      <w:pPr>
        <w:pStyle w:val="MediumGrid2-Accent11"/>
        <w:rPr>
          <w:b/>
          <w:lang w:val="en-US"/>
        </w:rPr>
      </w:pPr>
      <w:r>
        <w:rPr>
          <w:b/>
          <w:lang w:val="en-US"/>
        </w:rPr>
        <w:t>Blue Cros</w:t>
      </w:r>
      <w:r w:rsidR="005B7868">
        <w:rPr>
          <w:b/>
          <w:lang w:val="en-US"/>
        </w:rPr>
        <w:t xml:space="preserve">s Blue Shield Settlement </w:t>
      </w:r>
    </w:p>
    <w:p w14:paraId="4D59DAF9" w14:textId="69438207" w:rsidR="006C6E78" w:rsidRPr="00C4573C" w:rsidRDefault="006C6E78" w:rsidP="006C6E78">
      <w:pPr>
        <w:pStyle w:val="MediumGrid2-Accent11"/>
        <w:rPr>
          <w:b/>
          <w:lang w:val="en-US"/>
        </w:rPr>
      </w:pPr>
      <w:r w:rsidRPr="006C6E78">
        <w:rPr>
          <w:b/>
        </w:rPr>
        <w:t xml:space="preserve">Issue Date: </w:t>
      </w:r>
      <w:r w:rsidR="00DA64DB">
        <w:rPr>
          <w:b/>
          <w:lang w:val="en-US"/>
        </w:rPr>
        <w:t>May</w:t>
      </w:r>
      <w:r w:rsidR="00C4573C">
        <w:rPr>
          <w:b/>
          <w:lang w:val="en-US"/>
        </w:rPr>
        <w:t xml:space="preserve"> 2021</w:t>
      </w:r>
    </w:p>
    <w:p w14:paraId="0B325242" w14:textId="77777777" w:rsidR="006C6E78" w:rsidRPr="006C6E78" w:rsidRDefault="006C6E78" w:rsidP="006C6E78">
      <w:pPr>
        <w:pStyle w:val="MediumGrid2-Accent11"/>
      </w:pPr>
    </w:p>
    <w:p w14:paraId="32DE1C87" w14:textId="6C193A0A" w:rsidR="00A373CD" w:rsidRDefault="00A373CD" w:rsidP="006C6E78">
      <w:pPr>
        <w:pStyle w:val="MediumGrid2-Accent11"/>
        <w:rPr>
          <w:b/>
          <w:bCs/>
          <w:lang w:val="en-US"/>
        </w:rPr>
      </w:pPr>
      <w:r>
        <w:rPr>
          <w:b/>
          <w:bCs/>
          <w:lang w:val="en-US"/>
        </w:rPr>
        <w:t>Introduction</w:t>
      </w:r>
    </w:p>
    <w:p w14:paraId="1ED48254" w14:textId="59FE53A7" w:rsidR="003D338A" w:rsidRDefault="003D338A" w:rsidP="006C6E78">
      <w:pPr>
        <w:pStyle w:val="MediumGrid2-Accent11"/>
        <w:rPr>
          <w:lang w:val="en-US"/>
        </w:rPr>
      </w:pPr>
      <w:r>
        <w:rPr>
          <w:lang w:val="en-US"/>
        </w:rPr>
        <w:t>Many individuals and employers have recently received a postcard informing them of a</w:t>
      </w:r>
      <w:r w:rsidR="001A2A77">
        <w:rPr>
          <w:lang w:val="en-US"/>
        </w:rPr>
        <w:t xml:space="preserve"> </w:t>
      </w:r>
      <w:r w:rsidR="002855CD">
        <w:rPr>
          <w:lang w:val="en-US"/>
        </w:rPr>
        <w:t>proposed</w:t>
      </w:r>
      <w:r>
        <w:rPr>
          <w:lang w:val="en-US"/>
        </w:rPr>
        <w:t xml:space="preserve"> $2.67 billion settlement stemming from </w:t>
      </w:r>
      <w:r w:rsidR="00960CC6">
        <w:rPr>
          <w:lang w:val="en-US"/>
        </w:rPr>
        <w:t>a</w:t>
      </w:r>
      <w:r w:rsidR="0031191B">
        <w:rPr>
          <w:lang w:val="en-US"/>
        </w:rPr>
        <w:t xml:space="preserve"> 2012</w:t>
      </w:r>
      <w:r w:rsidR="00960CC6">
        <w:rPr>
          <w:lang w:val="en-US"/>
        </w:rPr>
        <w:t xml:space="preserve"> class action lawsuit</w:t>
      </w:r>
      <w:r w:rsidR="008A7B89">
        <w:rPr>
          <w:lang w:val="en-US"/>
        </w:rPr>
        <w:t xml:space="preserve"> (</w:t>
      </w:r>
      <w:r w:rsidR="008A7B89" w:rsidRPr="008A7B89">
        <w:rPr>
          <w:i/>
          <w:iCs/>
          <w:color w:val="000000"/>
          <w:shd w:val="clear" w:color="auto" w:fill="FFFFFF"/>
          <w:lang w:val="en-US" w:eastAsia="en-US"/>
        </w:rPr>
        <w:t>In re: Blue Cross Blue Shield Antitrust Litigation MDL 2406</w:t>
      </w:r>
      <w:r w:rsidR="008A7B89" w:rsidRPr="008A7B89">
        <w:rPr>
          <w:color w:val="000000"/>
          <w:shd w:val="clear" w:color="auto" w:fill="FFFFFF"/>
          <w:lang w:val="en-US" w:eastAsia="en-US"/>
        </w:rPr>
        <w:t>, N.D. Ala. Master File No. 2:13-cv-20000-RDP</w:t>
      </w:r>
      <w:r w:rsidR="008A7B89">
        <w:rPr>
          <w:color w:val="000000"/>
          <w:shd w:val="clear" w:color="auto" w:fill="FFFFFF"/>
          <w:lang w:val="en-US" w:eastAsia="en-US"/>
        </w:rPr>
        <w:t>)</w:t>
      </w:r>
      <w:r w:rsidR="00960CC6">
        <w:rPr>
          <w:lang w:val="en-US"/>
        </w:rPr>
        <w:t xml:space="preserve"> that alleged anti-competitive behavior/collusion among</w:t>
      </w:r>
      <w:r w:rsidR="004534C5">
        <w:rPr>
          <w:lang w:val="en-US"/>
        </w:rPr>
        <w:t xml:space="preserve"> </w:t>
      </w:r>
      <w:r w:rsidR="005B3CCD">
        <w:rPr>
          <w:lang w:val="en-US"/>
        </w:rPr>
        <w:t xml:space="preserve">member companies of the </w:t>
      </w:r>
      <w:r w:rsidR="004534C5">
        <w:rPr>
          <w:lang w:val="en-US"/>
        </w:rPr>
        <w:t xml:space="preserve">Blue Cross Blue Shield </w:t>
      </w:r>
      <w:r w:rsidR="005B3CCD">
        <w:rPr>
          <w:lang w:val="en-US"/>
        </w:rPr>
        <w:t>Association</w:t>
      </w:r>
      <w:r w:rsidR="004534C5">
        <w:rPr>
          <w:lang w:val="en-US"/>
        </w:rPr>
        <w:t xml:space="preserve">. </w:t>
      </w:r>
      <w:r w:rsidR="001A2A77">
        <w:rPr>
          <w:lang w:val="en-US"/>
        </w:rPr>
        <w:t xml:space="preserve">The final hearing </w:t>
      </w:r>
      <w:r w:rsidR="0032654A">
        <w:rPr>
          <w:lang w:val="en-US"/>
        </w:rPr>
        <w:t>deciding whether to</w:t>
      </w:r>
      <w:r w:rsidR="001A2A77">
        <w:rPr>
          <w:lang w:val="en-US"/>
        </w:rPr>
        <w:t xml:space="preserve"> approve the settlement will be held on October 20, 2021.</w:t>
      </w:r>
    </w:p>
    <w:p w14:paraId="1C2326A6" w14:textId="0B8E5E1D" w:rsidR="00F70B22" w:rsidRDefault="00F70B22" w:rsidP="006C6E78">
      <w:pPr>
        <w:pStyle w:val="MediumGrid2-Accent11"/>
        <w:rPr>
          <w:lang w:val="en-US"/>
        </w:rPr>
      </w:pPr>
    </w:p>
    <w:p w14:paraId="6FBD2DAA" w14:textId="394330D2" w:rsidR="00F70B22" w:rsidRDefault="00F70B22" w:rsidP="006C6E78">
      <w:pPr>
        <w:pStyle w:val="MediumGrid2-Accent11"/>
        <w:rPr>
          <w:b/>
          <w:bCs/>
          <w:lang w:val="en-US"/>
        </w:rPr>
      </w:pPr>
      <w:r>
        <w:rPr>
          <w:b/>
          <w:bCs/>
          <w:lang w:val="en-US"/>
        </w:rPr>
        <w:t>Background</w:t>
      </w:r>
    </w:p>
    <w:p w14:paraId="16B626D9" w14:textId="639FE1D1" w:rsidR="008A7B89" w:rsidRDefault="0031191B" w:rsidP="006C6E78">
      <w:pPr>
        <w:pStyle w:val="MediumGrid2-Accent11"/>
        <w:rPr>
          <w:lang w:val="en-US"/>
        </w:rPr>
      </w:pPr>
      <w:r>
        <w:rPr>
          <w:lang w:val="en-US"/>
        </w:rPr>
        <w:t xml:space="preserve">In 2012, plaintiffs alleged that </w:t>
      </w:r>
      <w:r w:rsidR="008922E4">
        <w:rPr>
          <w:lang w:val="en-US"/>
        </w:rPr>
        <w:t>the Blue Cross Blue Shiel</w:t>
      </w:r>
      <w:r w:rsidR="006A716A">
        <w:rPr>
          <w:lang w:val="en-US"/>
        </w:rPr>
        <w:t>d</w:t>
      </w:r>
      <w:r w:rsidR="008922E4">
        <w:rPr>
          <w:lang w:val="en-US"/>
        </w:rPr>
        <w:t xml:space="preserve"> Association and its 35 member companies</w:t>
      </w:r>
      <w:r w:rsidR="000A13ED">
        <w:rPr>
          <w:lang w:val="en-US"/>
        </w:rPr>
        <w:t xml:space="preserve"> </w:t>
      </w:r>
      <w:r w:rsidR="008922E4">
        <w:rPr>
          <w:lang w:val="en-US"/>
        </w:rPr>
        <w:t xml:space="preserve">violated the Sherman Antitrust Act by agreeing not to </w:t>
      </w:r>
      <w:r w:rsidR="00113DC9">
        <w:rPr>
          <w:lang w:val="en-US"/>
        </w:rPr>
        <w:t>compete</w:t>
      </w:r>
      <w:r w:rsidR="008922E4">
        <w:rPr>
          <w:lang w:val="en-US"/>
        </w:rPr>
        <w:t xml:space="preserve"> in selling health insurance </w:t>
      </w:r>
      <w:r w:rsidR="00EC5BE9">
        <w:rPr>
          <w:lang w:val="en-US"/>
        </w:rPr>
        <w:t>and administration of commercia</w:t>
      </w:r>
      <w:r w:rsidR="004340FF">
        <w:rPr>
          <w:lang w:val="en-US"/>
        </w:rPr>
        <w:t>l</w:t>
      </w:r>
      <w:r w:rsidR="00EC5BE9">
        <w:rPr>
          <w:lang w:val="en-US"/>
        </w:rPr>
        <w:t xml:space="preserve"> health benefit products in the United States and Puerto Rico</w:t>
      </w:r>
      <w:r w:rsidR="004340FF">
        <w:rPr>
          <w:lang w:val="en-US"/>
        </w:rPr>
        <w:t xml:space="preserve">, as well as agreeing to other means of limiting competition </w:t>
      </w:r>
      <w:r w:rsidR="006A716A">
        <w:rPr>
          <w:lang w:val="en-US"/>
        </w:rPr>
        <w:t>in the health insurance market and administration of products</w:t>
      </w:r>
      <w:r w:rsidR="00EC5BE9">
        <w:rPr>
          <w:lang w:val="en-US"/>
        </w:rPr>
        <w:t>.</w:t>
      </w:r>
      <w:r w:rsidR="00DA04AC">
        <w:rPr>
          <w:lang w:val="en-US"/>
        </w:rPr>
        <w:t xml:space="preserve"> In 2020, a </w:t>
      </w:r>
      <w:r w:rsidR="000A13ED">
        <w:rPr>
          <w:lang w:val="en-US"/>
        </w:rPr>
        <w:t xml:space="preserve">proposed settlement was reached and received preliminary approval </w:t>
      </w:r>
      <w:r w:rsidR="00233C91">
        <w:rPr>
          <w:lang w:val="en-US"/>
        </w:rPr>
        <w:t>by a federal judge in Alabama.</w:t>
      </w:r>
      <w:r w:rsidR="00017DBA">
        <w:rPr>
          <w:lang w:val="en-US"/>
        </w:rPr>
        <w:t xml:space="preserve"> </w:t>
      </w:r>
    </w:p>
    <w:p w14:paraId="74A439CB" w14:textId="07B25C78" w:rsidR="00930D43" w:rsidRDefault="00930D43" w:rsidP="006C6E78">
      <w:pPr>
        <w:pStyle w:val="MediumGrid2-Accent11"/>
        <w:rPr>
          <w:lang w:val="en-US"/>
        </w:rPr>
      </w:pPr>
    </w:p>
    <w:p w14:paraId="60921BAB" w14:textId="03AF627D" w:rsidR="00017DBA" w:rsidRDefault="00017DBA" w:rsidP="006C6E78">
      <w:pPr>
        <w:pStyle w:val="MediumGrid2-Accent11"/>
        <w:rPr>
          <w:b/>
          <w:bCs/>
          <w:lang w:val="en-US"/>
        </w:rPr>
      </w:pPr>
      <w:r>
        <w:rPr>
          <w:b/>
          <w:bCs/>
          <w:lang w:val="en-US"/>
        </w:rPr>
        <w:t>Key Provisions of the Settlement</w:t>
      </w:r>
    </w:p>
    <w:p w14:paraId="1AC87A57" w14:textId="77777777" w:rsidR="00D67C92" w:rsidRDefault="00D67C92" w:rsidP="00017DBA">
      <w:pPr>
        <w:pStyle w:val="MediumGrid2-Accent11"/>
        <w:rPr>
          <w:lang w:val="en-US"/>
        </w:rPr>
      </w:pPr>
    </w:p>
    <w:p w14:paraId="30E8F283" w14:textId="5E5E8D79" w:rsidR="0032466D" w:rsidRPr="0032466D" w:rsidRDefault="0032466D" w:rsidP="00017DBA">
      <w:pPr>
        <w:pStyle w:val="MediumGrid2-Accent11"/>
        <w:rPr>
          <w:u w:val="single"/>
          <w:lang w:val="en-US"/>
        </w:rPr>
      </w:pPr>
      <w:r w:rsidRPr="0032466D">
        <w:rPr>
          <w:u w:val="single"/>
          <w:lang w:val="en-US"/>
        </w:rPr>
        <w:t>Settlement Terms</w:t>
      </w:r>
    </w:p>
    <w:p w14:paraId="2AA209A6" w14:textId="7A75B43E" w:rsidR="0032466D" w:rsidRDefault="00300E55" w:rsidP="0032466D">
      <w:r>
        <w:t>Under the terms of the settlement, the B</w:t>
      </w:r>
      <w:r w:rsidR="0032466D">
        <w:t>lue Cross Blue Shield Association a</w:t>
      </w:r>
      <w:r w:rsidR="00175D65">
        <w:t xml:space="preserve">nd its member plans </w:t>
      </w:r>
      <w:r w:rsidR="0032466D">
        <w:t xml:space="preserve">would agree to: </w:t>
      </w:r>
    </w:p>
    <w:p w14:paraId="2558FDA6" w14:textId="77777777" w:rsidR="0032466D" w:rsidRDefault="0032466D" w:rsidP="0032466D">
      <w:pPr>
        <w:pStyle w:val="ListParagraph"/>
        <w:numPr>
          <w:ilvl w:val="0"/>
          <w:numId w:val="47"/>
        </w:numPr>
        <w:spacing w:after="160" w:line="259" w:lineRule="auto"/>
        <w:contextualSpacing/>
      </w:pPr>
      <w:r>
        <w:t>Make changes to the way they do business to increase opportunities for competition in the health insurance market; and</w:t>
      </w:r>
    </w:p>
    <w:p w14:paraId="620782B3" w14:textId="00DC1BB6" w:rsidR="0032466D" w:rsidRDefault="0032466D" w:rsidP="0032466D">
      <w:pPr>
        <w:pStyle w:val="ListParagraph"/>
        <w:numPr>
          <w:ilvl w:val="0"/>
          <w:numId w:val="47"/>
        </w:numPr>
        <w:spacing w:after="160" w:line="259" w:lineRule="auto"/>
        <w:contextualSpacing/>
      </w:pPr>
      <w:r>
        <w:t>Allow qualified national self-funded accounts to request a second bid for coverage from a member plan of their choice (“Second Blue Bid”).</w:t>
      </w:r>
    </w:p>
    <w:p w14:paraId="37E71CB2" w14:textId="0CC0B12D" w:rsidR="0032466D" w:rsidRDefault="00D37739" w:rsidP="00667470">
      <w:r>
        <w:t xml:space="preserve">As part of this agreement, a monitoring committee would be established for 5 years to mediate disputes resulting from the implementation of the above two efforts. </w:t>
      </w:r>
      <w:r w:rsidR="00200422">
        <w:t xml:space="preserve">These terms would apply to all class members (both the “damages class” and “injunctive relief class” described below). </w:t>
      </w:r>
    </w:p>
    <w:p w14:paraId="5759CA49" w14:textId="77777777" w:rsidR="00667470" w:rsidRPr="00D37739" w:rsidRDefault="00667470" w:rsidP="00667470"/>
    <w:p w14:paraId="4F0DD20A" w14:textId="73AC668D" w:rsidR="00344DB8" w:rsidRPr="00344DB8" w:rsidRDefault="00D461DB" w:rsidP="00017DBA">
      <w:pPr>
        <w:pStyle w:val="MediumGrid2-Accent11"/>
        <w:rPr>
          <w:u w:val="single"/>
          <w:lang w:val="en-US"/>
        </w:rPr>
      </w:pPr>
      <w:r>
        <w:rPr>
          <w:u w:val="single"/>
          <w:lang w:val="en-US"/>
        </w:rPr>
        <w:t>Settlement Amount</w:t>
      </w:r>
    </w:p>
    <w:p w14:paraId="7E3191A0" w14:textId="4F1EE857" w:rsidR="006A3F2D" w:rsidRDefault="00017DBA" w:rsidP="00017DBA">
      <w:pPr>
        <w:pStyle w:val="MediumGrid2-Accent11"/>
        <w:rPr>
          <w:lang w:val="en-US"/>
        </w:rPr>
      </w:pPr>
      <w:r>
        <w:rPr>
          <w:lang w:val="en-US"/>
        </w:rPr>
        <w:t>If the settlement is approved in October, then the settlement amount</w:t>
      </w:r>
      <w:r w:rsidR="00F84461">
        <w:rPr>
          <w:lang w:val="en-US"/>
        </w:rPr>
        <w:t>, minus attorneys</w:t>
      </w:r>
      <w:r w:rsidR="00175D65">
        <w:rPr>
          <w:lang w:val="en-US"/>
        </w:rPr>
        <w:t>’</w:t>
      </w:r>
      <w:r w:rsidR="00F84461">
        <w:rPr>
          <w:lang w:val="en-US"/>
        </w:rPr>
        <w:t xml:space="preserve"> fees and </w:t>
      </w:r>
      <w:r w:rsidR="006A3F2D">
        <w:rPr>
          <w:lang w:val="en-US"/>
        </w:rPr>
        <w:t>administrative expenses</w:t>
      </w:r>
      <w:r w:rsidR="00F84461">
        <w:rPr>
          <w:lang w:val="en-US"/>
        </w:rPr>
        <w:t xml:space="preserve">, will result in a net </w:t>
      </w:r>
      <w:r w:rsidR="006A3F2D">
        <w:rPr>
          <w:lang w:val="en-US"/>
        </w:rPr>
        <w:t xml:space="preserve">benefit of approximately $1.9 billion that will be distributed to authorized claimants </w:t>
      </w:r>
      <w:r w:rsidR="00DB17F7">
        <w:rPr>
          <w:lang w:val="en-US"/>
        </w:rPr>
        <w:t xml:space="preserve">within the settlement’s “damages class” </w:t>
      </w:r>
      <w:r w:rsidR="006A3F2D">
        <w:rPr>
          <w:lang w:val="en-US"/>
        </w:rPr>
        <w:t xml:space="preserve">(described below). </w:t>
      </w:r>
    </w:p>
    <w:p w14:paraId="7C0EC522" w14:textId="5DADA91A" w:rsidR="007F7F93" w:rsidRDefault="007F7F93" w:rsidP="00017DBA">
      <w:pPr>
        <w:pStyle w:val="MediumGrid2-Accent11"/>
        <w:rPr>
          <w:lang w:val="en-US"/>
        </w:rPr>
      </w:pPr>
    </w:p>
    <w:p w14:paraId="6A3D3F1B" w14:textId="728EBC33" w:rsidR="007F7F93" w:rsidRDefault="00BE29AF" w:rsidP="00017DBA">
      <w:pPr>
        <w:pStyle w:val="MediumGrid2-Accent11"/>
        <w:rPr>
          <w:u w:val="single"/>
          <w:lang w:val="en-US"/>
        </w:rPr>
      </w:pPr>
      <w:r>
        <w:rPr>
          <w:u w:val="single"/>
          <w:lang w:val="en-US"/>
        </w:rPr>
        <w:t>Damages Class</w:t>
      </w:r>
    </w:p>
    <w:p w14:paraId="3F3B36FD" w14:textId="655E78E3" w:rsidR="007F7F93" w:rsidRDefault="007F7F93" w:rsidP="00017DBA">
      <w:pPr>
        <w:pStyle w:val="MediumGrid2-Accent11"/>
        <w:rPr>
          <w:lang w:val="en-US"/>
        </w:rPr>
      </w:pPr>
      <w:r>
        <w:rPr>
          <w:lang w:val="en-US"/>
        </w:rPr>
        <w:t xml:space="preserve">The following classes </w:t>
      </w:r>
      <w:r w:rsidR="00344DB8">
        <w:rPr>
          <w:lang w:val="en-US"/>
        </w:rPr>
        <w:t>may be</w:t>
      </w:r>
      <w:r>
        <w:rPr>
          <w:lang w:val="en-US"/>
        </w:rPr>
        <w:t xml:space="preserve"> eligible for payment from the settlement amount: </w:t>
      </w:r>
    </w:p>
    <w:p w14:paraId="51731E1B" w14:textId="243291B0" w:rsidR="000E5DD2" w:rsidRDefault="004F6FAB" w:rsidP="000E5DD2">
      <w:pPr>
        <w:pStyle w:val="MediumGrid2-Accent11"/>
        <w:numPr>
          <w:ilvl w:val="0"/>
          <w:numId w:val="44"/>
        </w:numPr>
        <w:rPr>
          <w:lang w:val="en-US"/>
        </w:rPr>
      </w:pPr>
      <w:r>
        <w:rPr>
          <w:lang w:val="en-US"/>
        </w:rPr>
        <w:t>Individuals that purchased or were enrolle</w:t>
      </w:r>
      <w:r w:rsidR="007D2D09">
        <w:rPr>
          <w:lang w:val="en-US"/>
        </w:rPr>
        <w:t>d in a Blue Cross or Blue Shield health insurance or administrative services plan between February 7, 2008 – October 16, 2020;</w:t>
      </w:r>
    </w:p>
    <w:p w14:paraId="226F9C6E" w14:textId="1FA8304C" w:rsidR="003771E3" w:rsidRDefault="003771E3" w:rsidP="003771E3">
      <w:pPr>
        <w:pStyle w:val="MediumGrid2-Accent11"/>
        <w:numPr>
          <w:ilvl w:val="0"/>
          <w:numId w:val="44"/>
        </w:numPr>
        <w:rPr>
          <w:lang w:val="en-US"/>
        </w:rPr>
      </w:pPr>
      <w:r>
        <w:rPr>
          <w:lang w:val="en-US"/>
        </w:rPr>
        <w:t>Insured Groups</w:t>
      </w:r>
      <w:r w:rsidR="00C07B27">
        <w:rPr>
          <w:rStyle w:val="FootnoteReference"/>
          <w:lang w:val="en-US"/>
        </w:rPr>
        <w:footnoteReference w:id="1"/>
      </w:r>
      <w:r>
        <w:rPr>
          <w:lang w:val="en-US"/>
        </w:rPr>
        <w:t xml:space="preserve"> (and their employees) that purchased or were enrolled in a Blue Cross or Blue Shield health insurance or administrative services plan between February 7, 2008 – October 16, 2020; and</w:t>
      </w:r>
    </w:p>
    <w:p w14:paraId="6484CF4F" w14:textId="2EB47B10" w:rsidR="003771E3" w:rsidRDefault="003771E3" w:rsidP="003771E3">
      <w:pPr>
        <w:pStyle w:val="MediumGrid2-Accent11"/>
        <w:numPr>
          <w:ilvl w:val="0"/>
          <w:numId w:val="44"/>
        </w:numPr>
        <w:rPr>
          <w:lang w:val="en-US"/>
        </w:rPr>
      </w:pPr>
      <w:r>
        <w:rPr>
          <w:lang w:val="en-US"/>
        </w:rPr>
        <w:t>Self-Funded Accounts</w:t>
      </w:r>
      <w:r w:rsidR="00C07B27">
        <w:rPr>
          <w:rStyle w:val="FootnoteReference"/>
          <w:lang w:val="en-US"/>
        </w:rPr>
        <w:footnoteReference w:id="2"/>
      </w:r>
      <w:r>
        <w:rPr>
          <w:lang w:val="en-US"/>
        </w:rPr>
        <w:t xml:space="preserve"> (and their employees) that purchased or were enrolled in a Blue Cross or Blue Shield health insurance or administrative services plan between September 1, 2015 – October 16, 2020.</w:t>
      </w:r>
    </w:p>
    <w:p w14:paraId="5CE1DF4A" w14:textId="77777777" w:rsidR="00D37739" w:rsidRDefault="00D37739" w:rsidP="00D37739">
      <w:pPr>
        <w:pStyle w:val="MediumGrid2-Accent11"/>
        <w:rPr>
          <w:lang w:val="en-US"/>
        </w:rPr>
      </w:pPr>
    </w:p>
    <w:p w14:paraId="6344C426" w14:textId="2AB2428A" w:rsidR="005A6998" w:rsidRDefault="005A6998" w:rsidP="003771E3">
      <w:pPr>
        <w:pStyle w:val="MediumGrid2-Accent11"/>
        <w:rPr>
          <w:lang w:val="en-US"/>
        </w:rPr>
      </w:pPr>
    </w:p>
    <w:p w14:paraId="13AF70D1" w14:textId="4C87BCBE" w:rsidR="00667470" w:rsidRDefault="00667470" w:rsidP="003771E3">
      <w:pPr>
        <w:pStyle w:val="MediumGrid2-Accent11"/>
        <w:rPr>
          <w:lang w:val="en-US"/>
        </w:rPr>
      </w:pPr>
    </w:p>
    <w:p w14:paraId="0E60B56B" w14:textId="2F1C8F08" w:rsidR="00667470" w:rsidRDefault="00667470" w:rsidP="003771E3">
      <w:pPr>
        <w:pStyle w:val="MediumGrid2-Accent11"/>
        <w:rPr>
          <w:lang w:val="en-US"/>
        </w:rPr>
      </w:pPr>
    </w:p>
    <w:p w14:paraId="75A7F27B" w14:textId="77777777" w:rsidR="00667470" w:rsidRDefault="00667470" w:rsidP="003771E3">
      <w:pPr>
        <w:pStyle w:val="MediumGrid2-Accent11"/>
        <w:rPr>
          <w:lang w:val="en-US"/>
        </w:rPr>
      </w:pPr>
    </w:p>
    <w:p w14:paraId="6FC89324" w14:textId="68427F72" w:rsidR="003771E3" w:rsidRDefault="00BE29AF" w:rsidP="003771E3">
      <w:pPr>
        <w:pStyle w:val="MediumGrid2-Accent11"/>
        <w:rPr>
          <w:lang w:val="en-US"/>
        </w:rPr>
      </w:pPr>
      <w:r>
        <w:rPr>
          <w:u w:val="single"/>
          <w:lang w:val="en-US"/>
        </w:rPr>
        <w:lastRenderedPageBreak/>
        <w:t>Injunctive Relief Class</w:t>
      </w:r>
    </w:p>
    <w:p w14:paraId="5A201746" w14:textId="045667C4" w:rsidR="00BE29AF" w:rsidRDefault="00BE29AF" w:rsidP="003771E3">
      <w:pPr>
        <w:pStyle w:val="MediumGrid2-Accent11"/>
        <w:rPr>
          <w:color w:val="000000"/>
          <w:shd w:val="clear" w:color="auto" w:fill="FFFFFF"/>
          <w:lang w:val="en-US"/>
        </w:rPr>
      </w:pPr>
      <w:r>
        <w:rPr>
          <w:color w:val="000000"/>
          <w:shd w:val="clear" w:color="auto" w:fill="FFFFFF"/>
        </w:rPr>
        <w:t>Dependents, beneficiaries (including minors), and non-employees are</w:t>
      </w:r>
      <w:r>
        <w:rPr>
          <w:color w:val="000000"/>
          <w:shd w:val="clear" w:color="auto" w:fill="FFFFFF"/>
          <w:lang w:val="en-US"/>
        </w:rPr>
        <w:t xml:space="preserve"> not part of the damages class and are not eligible to receive payment; however, they will still benefit from changes made to current market practices as a result of the settlement. </w:t>
      </w:r>
    </w:p>
    <w:p w14:paraId="3303313D" w14:textId="49F97BDB" w:rsidR="00F85C49" w:rsidRDefault="00F85C49" w:rsidP="00017DBA">
      <w:pPr>
        <w:pStyle w:val="MediumGrid2-Accent11"/>
        <w:rPr>
          <w:lang w:val="en-US"/>
        </w:rPr>
      </w:pPr>
    </w:p>
    <w:p w14:paraId="031163FE" w14:textId="1B6ECFE8" w:rsidR="004F6FAB" w:rsidRDefault="00D461DB" w:rsidP="00017DBA">
      <w:pPr>
        <w:pStyle w:val="MediumGrid2-Accent11"/>
        <w:rPr>
          <w:u w:val="single"/>
          <w:lang w:val="en-US"/>
        </w:rPr>
      </w:pPr>
      <w:r>
        <w:rPr>
          <w:u w:val="single"/>
          <w:lang w:val="en-US"/>
        </w:rPr>
        <w:t>Settlement Distribution</w:t>
      </w:r>
    </w:p>
    <w:p w14:paraId="007C4D81" w14:textId="5CB6C484" w:rsidR="004F6FAB" w:rsidRPr="007F7F93" w:rsidRDefault="00D461DB" w:rsidP="00017DBA">
      <w:pPr>
        <w:pStyle w:val="MediumGrid2-Accent11"/>
        <w:rPr>
          <w:lang w:val="en-US"/>
        </w:rPr>
      </w:pPr>
      <w:r>
        <w:rPr>
          <w:lang w:val="en-US"/>
        </w:rPr>
        <w:t>The $1.9 billion net settlement amount will be split into two funds, with $1.78 billion allocated to individuals and insured groups (and their employees) and $120 million allocated to self-funded accounts (and their employees).</w:t>
      </w:r>
      <w:r w:rsidR="00494DA2">
        <w:rPr>
          <w:lang w:val="en-US"/>
        </w:rPr>
        <w:t xml:space="preserve"> These two funds will be </w:t>
      </w:r>
      <w:r w:rsidR="00D44714">
        <w:rPr>
          <w:lang w:val="en-US"/>
        </w:rPr>
        <w:t>kept</w:t>
      </w:r>
      <w:r w:rsidR="00494DA2">
        <w:rPr>
          <w:lang w:val="en-US"/>
        </w:rPr>
        <w:t xml:space="preserve"> </w:t>
      </w:r>
      <w:r w:rsidR="003A2A5D">
        <w:rPr>
          <w:lang w:val="en-US"/>
        </w:rPr>
        <w:t>separate</w:t>
      </w:r>
      <w:r w:rsidR="00D44714">
        <w:rPr>
          <w:lang w:val="en-US"/>
        </w:rPr>
        <w:t>.</w:t>
      </w:r>
      <w:r w:rsidR="00911F01">
        <w:rPr>
          <w:lang w:val="en-US"/>
        </w:rPr>
        <w:t xml:space="preserve"> Payments will be made to authorized claimants according to the following formulas:</w:t>
      </w:r>
    </w:p>
    <w:p w14:paraId="51C9F3FE" w14:textId="66753FAD" w:rsidR="006A3F2D" w:rsidRDefault="006A3F2D" w:rsidP="00017DBA">
      <w:pPr>
        <w:pStyle w:val="MediumGrid2-Accent11"/>
        <w:rPr>
          <w:lang w:val="en-US"/>
        </w:rPr>
      </w:pPr>
    </w:p>
    <w:p w14:paraId="3B18C257" w14:textId="24D41258" w:rsidR="00D257AA" w:rsidRPr="00C02514" w:rsidRDefault="003B4B3C" w:rsidP="00C02514">
      <w:pPr>
        <w:pStyle w:val="MediumGrid2-Accent11"/>
        <w:jc w:val="center"/>
        <w:rPr>
          <w:b/>
          <w:bCs/>
          <w:lang w:val="en-US"/>
        </w:rPr>
      </w:pPr>
      <w:r w:rsidRPr="00BC1A1E">
        <w:rPr>
          <w:b/>
          <w:bCs/>
          <w:highlight w:val="lightGray"/>
          <w:shd w:val="clear" w:color="auto" w:fill="B4C6E7" w:themeFill="accent1" w:themeFillTint="66"/>
          <w:lang w:val="en-US"/>
        </w:rPr>
        <w:t>Individuals/Insured Groups (and their employees)</w:t>
      </w:r>
    </w:p>
    <w:p w14:paraId="2ED7D271" w14:textId="77777777" w:rsidR="00764F88" w:rsidRDefault="00764F88" w:rsidP="00911F01">
      <w:pPr>
        <w:pStyle w:val="MediumGrid2-Accent11"/>
        <w:rPr>
          <w:lang w:val="en-US"/>
        </w:rPr>
      </w:pPr>
    </w:p>
    <w:p w14:paraId="69A37B12" w14:textId="193DB412" w:rsidR="00764F88" w:rsidRDefault="003B4B3C" w:rsidP="00C02514">
      <w:pPr>
        <w:pStyle w:val="MediumGrid2-Accent11"/>
        <w:jc w:val="center"/>
      </w:pPr>
      <w:r>
        <w:t>“Total Premiums Paid” during FI Class Period by FI Claimant A</w:t>
      </w:r>
    </w:p>
    <w:p w14:paraId="2C7C274F" w14:textId="77777777" w:rsidR="00764F88" w:rsidRDefault="00764F88" w:rsidP="00C02514">
      <w:pPr>
        <w:pStyle w:val="MediumGrid2-Accent11"/>
        <w:jc w:val="center"/>
      </w:pPr>
    </w:p>
    <w:p w14:paraId="62EF4391" w14:textId="6F31DCE5" w:rsidR="003D7F91" w:rsidRPr="009E3F02" w:rsidRDefault="003B4B3C" w:rsidP="00C02514">
      <w:pPr>
        <w:pStyle w:val="MediumGrid2-Accent11"/>
        <w:jc w:val="center"/>
        <w:rPr>
          <w:b/>
          <w:bCs/>
          <w:i/>
          <w:iCs/>
        </w:rPr>
      </w:pPr>
      <w:r w:rsidRPr="009E3F02">
        <w:rPr>
          <w:b/>
          <w:bCs/>
          <w:i/>
          <w:iCs/>
        </w:rPr>
        <w:t>Divided by</w:t>
      </w:r>
    </w:p>
    <w:p w14:paraId="69B88494" w14:textId="77777777" w:rsidR="003D7F91" w:rsidRDefault="003D7F91" w:rsidP="00C02514">
      <w:pPr>
        <w:pStyle w:val="MediumGrid2-Accent11"/>
        <w:jc w:val="center"/>
      </w:pPr>
    </w:p>
    <w:p w14:paraId="4577DF87" w14:textId="66F42C88" w:rsidR="009E3F02" w:rsidRDefault="003B4B3C" w:rsidP="00C02514">
      <w:pPr>
        <w:pStyle w:val="MediumGrid2-Accent11"/>
        <w:jc w:val="center"/>
      </w:pPr>
      <w:r>
        <w:t>Total Premiums Paid during FI Class Period by all FI Authorized Claimants who submit claims</w:t>
      </w:r>
    </w:p>
    <w:p w14:paraId="4B7BC44F" w14:textId="77777777" w:rsidR="009E3F02" w:rsidRDefault="009E3F02" w:rsidP="00C02514">
      <w:pPr>
        <w:pStyle w:val="MediumGrid2-Accent11"/>
        <w:jc w:val="center"/>
      </w:pPr>
    </w:p>
    <w:p w14:paraId="7AE6ED26" w14:textId="405D5A9D" w:rsidR="009E3F02" w:rsidRPr="009E3F02" w:rsidRDefault="003B4B3C" w:rsidP="00C02514">
      <w:pPr>
        <w:pStyle w:val="MediumGrid2-Accent11"/>
        <w:jc w:val="center"/>
        <w:rPr>
          <w:b/>
          <w:bCs/>
          <w:i/>
          <w:iCs/>
        </w:rPr>
      </w:pPr>
      <w:r w:rsidRPr="009E3F02">
        <w:rPr>
          <w:b/>
          <w:bCs/>
          <w:i/>
          <w:iCs/>
        </w:rPr>
        <w:t>Multiplied by</w:t>
      </w:r>
    </w:p>
    <w:p w14:paraId="06CC1AA2" w14:textId="77777777" w:rsidR="009E3F02" w:rsidRDefault="009E3F02" w:rsidP="00C02514">
      <w:pPr>
        <w:pStyle w:val="MediumGrid2-Accent11"/>
        <w:jc w:val="center"/>
      </w:pPr>
    </w:p>
    <w:p w14:paraId="5EFA10FD" w14:textId="586A0084" w:rsidR="009E3F02" w:rsidRDefault="003B4B3C" w:rsidP="00C02514">
      <w:pPr>
        <w:pStyle w:val="MediumGrid2-Accent11"/>
        <w:jc w:val="center"/>
      </w:pPr>
      <w:r>
        <w:t>Total dollars in FI Net Settlement Fund</w:t>
      </w:r>
    </w:p>
    <w:p w14:paraId="2947F52B" w14:textId="77777777" w:rsidR="009E3F02" w:rsidRDefault="009E3F02" w:rsidP="00C02514">
      <w:pPr>
        <w:pStyle w:val="MediumGrid2-Accent11"/>
        <w:jc w:val="center"/>
      </w:pPr>
    </w:p>
    <w:p w14:paraId="4214AFD5" w14:textId="3A6AABA7" w:rsidR="003B4B3C" w:rsidRPr="009E3F02" w:rsidRDefault="003B4B3C" w:rsidP="00C02514">
      <w:pPr>
        <w:pStyle w:val="MediumGrid2-Accent11"/>
        <w:jc w:val="center"/>
        <w:rPr>
          <w:b/>
          <w:bCs/>
          <w:i/>
          <w:iCs/>
        </w:rPr>
      </w:pPr>
      <w:r w:rsidRPr="009E3F02">
        <w:rPr>
          <w:b/>
          <w:bCs/>
          <w:i/>
          <w:iCs/>
        </w:rPr>
        <w:t>= FI Claimant A’s claim payment</w:t>
      </w:r>
    </w:p>
    <w:p w14:paraId="58EAB27F" w14:textId="77777777" w:rsidR="000A58D7" w:rsidRDefault="000A58D7" w:rsidP="00017DBA">
      <w:pPr>
        <w:pStyle w:val="MediumGrid2-Accent11"/>
        <w:rPr>
          <w:lang w:val="en-US"/>
        </w:rPr>
      </w:pPr>
    </w:p>
    <w:p w14:paraId="457FEF4B" w14:textId="464B4470" w:rsidR="00990994" w:rsidRDefault="00990994" w:rsidP="00990994">
      <w:r>
        <w:t xml:space="preserve">The total premiums paid will be the sum of premiums paid for commercial health benefit products (including medical, pharmacy, vision, and dental plans) to any of the defendants for coverage during the class coverage periods described above (pro-rated for the partial months of February 2008 and October 2020). </w:t>
      </w:r>
      <w:r w:rsidR="00D613B1">
        <w:t>This amount will be calculated based on data provided by the Blue Cross member plans. Claimants will not have to submit any premium data unless it is specifically requested.</w:t>
      </w:r>
    </w:p>
    <w:p w14:paraId="1AE40776" w14:textId="77777777" w:rsidR="008C0F72" w:rsidRDefault="008C0F72" w:rsidP="00990994"/>
    <w:p w14:paraId="5AB8CFD4" w14:textId="77777777" w:rsidR="00990994" w:rsidRDefault="00990994" w:rsidP="00990994">
      <w:r>
        <w:t>When a fully-insured employer and its employee both submit a claim, total premiums paid by each will be determined based on a default allocation process that assumes:</w:t>
      </w:r>
    </w:p>
    <w:p w14:paraId="7F09E1D0" w14:textId="77777777" w:rsidR="00990994" w:rsidRDefault="00990994" w:rsidP="00990994">
      <w:pPr>
        <w:pStyle w:val="ListParagraph"/>
        <w:numPr>
          <w:ilvl w:val="0"/>
          <w:numId w:val="45"/>
        </w:numPr>
      </w:pPr>
      <w:r>
        <w:t xml:space="preserve">15% by the employee for single coverage/85% by the employer; or </w:t>
      </w:r>
    </w:p>
    <w:p w14:paraId="3928D4AF" w14:textId="77777777" w:rsidR="00990994" w:rsidRDefault="00990994" w:rsidP="00990994">
      <w:pPr>
        <w:pStyle w:val="ListParagraph"/>
        <w:numPr>
          <w:ilvl w:val="0"/>
          <w:numId w:val="45"/>
        </w:numPr>
      </w:pPr>
      <w:r>
        <w:t>34% by the employee for family coverage/66% by the employer.</w:t>
      </w:r>
    </w:p>
    <w:p w14:paraId="6E741B9B" w14:textId="77777777" w:rsidR="00990994" w:rsidRDefault="00990994" w:rsidP="00990994"/>
    <w:p w14:paraId="3E20AA5F" w14:textId="77777777" w:rsidR="001E516C" w:rsidRDefault="001E516C" w:rsidP="00BC1A1E">
      <w:pPr>
        <w:pStyle w:val="MediumGrid2-Accent11"/>
        <w:rPr>
          <w:lang w:val="en-US"/>
        </w:rPr>
      </w:pPr>
    </w:p>
    <w:p w14:paraId="0634E3E5" w14:textId="77777777" w:rsidR="001E516C" w:rsidRPr="00BC1A1E" w:rsidRDefault="001E516C" w:rsidP="00BC1A1E">
      <w:pPr>
        <w:jc w:val="center"/>
        <w:rPr>
          <w:b/>
          <w:bCs/>
        </w:rPr>
      </w:pPr>
      <w:r w:rsidRPr="00BC1A1E">
        <w:rPr>
          <w:b/>
          <w:bCs/>
          <w:highlight w:val="lightGray"/>
        </w:rPr>
        <w:t>Self-Funded Accounts (and their employees)</w:t>
      </w:r>
    </w:p>
    <w:p w14:paraId="3C8E90B3" w14:textId="4D257C7C" w:rsidR="001E516C" w:rsidRDefault="001E516C" w:rsidP="00911F01"/>
    <w:p w14:paraId="44520496" w14:textId="77777777" w:rsidR="001E516C" w:rsidRDefault="001E516C" w:rsidP="00BC1A1E">
      <w:pPr>
        <w:jc w:val="center"/>
      </w:pPr>
    </w:p>
    <w:p w14:paraId="1986B501" w14:textId="43F836B8" w:rsidR="001E516C" w:rsidRDefault="001E516C" w:rsidP="00BC1A1E">
      <w:pPr>
        <w:jc w:val="center"/>
      </w:pPr>
      <w:r>
        <w:t>“Total Administrative Fees Paid” during Self-Funded Class Period by Self-Funded Claimant B</w:t>
      </w:r>
    </w:p>
    <w:p w14:paraId="5FDA97EA" w14:textId="77777777" w:rsidR="001E516C" w:rsidRDefault="001E516C" w:rsidP="00BC1A1E">
      <w:pPr>
        <w:jc w:val="center"/>
      </w:pPr>
    </w:p>
    <w:p w14:paraId="6002E0D2" w14:textId="2457FF12" w:rsidR="001E516C" w:rsidRPr="00F66941" w:rsidRDefault="001E516C" w:rsidP="00BC1A1E">
      <w:pPr>
        <w:jc w:val="center"/>
        <w:rPr>
          <w:b/>
          <w:bCs/>
          <w:i/>
          <w:iCs/>
        </w:rPr>
      </w:pPr>
      <w:r w:rsidRPr="00F66941">
        <w:rPr>
          <w:b/>
          <w:bCs/>
          <w:i/>
          <w:iCs/>
        </w:rPr>
        <w:t>Divided by</w:t>
      </w:r>
    </w:p>
    <w:p w14:paraId="6977B8F2" w14:textId="77777777" w:rsidR="001E516C" w:rsidRDefault="001E516C" w:rsidP="00BC1A1E">
      <w:pPr>
        <w:jc w:val="center"/>
      </w:pPr>
    </w:p>
    <w:p w14:paraId="30FF01E5" w14:textId="5EE1214A" w:rsidR="001E516C" w:rsidRDefault="001E516C" w:rsidP="00BC1A1E">
      <w:pPr>
        <w:jc w:val="center"/>
      </w:pPr>
      <w:r>
        <w:t>Total Administrative Fees Paid during Self-Funded Class Period by all Self-Funded Authorized Claimants who submit claims</w:t>
      </w:r>
    </w:p>
    <w:p w14:paraId="41F869D6" w14:textId="77777777" w:rsidR="001E516C" w:rsidRDefault="001E516C" w:rsidP="00BC1A1E">
      <w:pPr>
        <w:jc w:val="center"/>
      </w:pPr>
    </w:p>
    <w:p w14:paraId="720100B2" w14:textId="7DC70638" w:rsidR="001E516C" w:rsidRDefault="001E516C" w:rsidP="00BC1A1E">
      <w:pPr>
        <w:jc w:val="center"/>
        <w:rPr>
          <w:b/>
          <w:bCs/>
          <w:i/>
          <w:iCs/>
        </w:rPr>
      </w:pPr>
      <w:r w:rsidRPr="00F66941">
        <w:rPr>
          <w:b/>
          <w:bCs/>
          <w:i/>
          <w:iCs/>
        </w:rPr>
        <w:t>Multiplied by</w:t>
      </w:r>
    </w:p>
    <w:p w14:paraId="2B849138" w14:textId="77777777" w:rsidR="001E516C" w:rsidRDefault="001E516C" w:rsidP="00BC1A1E">
      <w:pPr>
        <w:jc w:val="center"/>
        <w:rPr>
          <w:b/>
          <w:bCs/>
          <w:i/>
          <w:iCs/>
        </w:rPr>
      </w:pPr>
    </w:p>
    <w:p w14:paraId="17C3E232" w14:textId="57469997" w:rsidR="001E516C" w:rsidRDefault="001E516C" w:rsidP="00BC1A1E">
      <w:pPr>
        <w:jc w:val="center"/>
      </w:pPr>
      <w:r w:rsidRPr="00F66941">
        <w:t xml:space="preserve">Total </w:t>
      </w:r>
      <w:r>
        <w:t>dollars in Self-Funded Net Settlement Fund</w:t>
      </w:r>
    </w:p>
    <w:p w14:paraId="50C94B44" w14:textId="77777777" w:rsidR="001E516C" w:rsidRDefault="001E516C" w:rsidP="00BC1A1E">
      <w:pPr>
        <w:jc w:val="center"/>
      </w:pPr>
    </w:p>
    <w:p w14:paraId="555944E5" w14:textId="4A7F0A73" w:rsidR="001E516C" w:rsidRDefault="001E516C" w:rsidP="00BC1A1E">
      <w:pPr>
        <w:jc w:val="center"/>
        <w:rPr>
          <w:b/>
          <w:bCs/>
          <w:i/>
          <w:iCs/>
        </w:rPr>
      </w:pPr>
      <w:r w:rsidRPr="00F66941">
        <w:rPr>
          <w:b/>
          <w:bCs/>
          <w:i/>
          <w:iCs/>
        </w:rPr>
        <w:t>= Self-Funded Claimant B’s claim payment</w:t>
      </w:r>
    </w:p>
    <w:p w14:paraId="406C57F3" w14:textId="1776D0F5" w:rsidR="00456944" w:rsidRDefault="00456944" w:rsidP="001E516C">
      <w:pPr>
        <w:rPr>
          <w:b/>
          <w:bCs/>
          <w:i/>
          <w:iCs/>
        </w:rPr>
      </w:pPr>
    </w:p>
    <w:p w14:paraId="443B0C03" w14:textId="6E673803" w:rsidR="00456944" w:rsidRDefault="00456944" w:rsidP="001E516C">
      <w:r>
        <w:t xml:space="preserve">The “Administrative Fees” to be used in the calculation above will include fees paid for any commercial health benefit product, including the administration of medical, pharmaceutical, vision, and dental plans, plus any </w:t>
      </w:r>
      <w:r>
        <w:lastRenderedPageBreak/>
        <w:t xml:space="preserve">amounts paid for stop-loss insurance. </w:t>
      </w:r>
      <w:r w:rsidR="00AA1533">
        <w:t>This amount will be calculated based on data provided by the Blue Cross member plans. Claimants will not have to submit any premium data unless it is specifically requested.</w:t>
      </w:r>
    </w:p>
    <w:p w14:paraId="16CB2881" w14:textId="0ADD92D1" w:rsidR="00A03409" w:rsidRDefault="00A03409" w:rsidP="001E516C"/>
    <w:p w14:paraId="0C57C294" w14:textId="06C0D625" w:rsidR="00A03409" w:rsidRDefault="00A03409" w:rsidP="00A03409">
      <w:r>
        <w:t xml:space="preserve">When a </w:t>
      </w:r>
      <w:r w:rsidR="00884D41">
        <w:t>self-funded</w:t>
      </w:r>
      <w:r>
        <w:t xml:space="preserve"> employer and its employee both submit a claim, total </w:t>
      </w:r>
      <w:r w:rsidR="00D75902">
        <w:t>administrative fees</w:t>
      </w:r>
      <w:r>
        <w:t xml:space="preserve"> paid by each will be determined based on a default allocation process that assumes:</w:t>
      </w:r>
    </w:p>
    <w:p w14:paraId="1DD05C25" w14:textId="50FEEB9F" w:rsidR="00A03409" w:rsidRDefault="00A03409" w:rsidP="00A03409">
      <w:pPr>
        <w:pStyle w:val="ListParagraph"/>
        <w:numPr>
          <w:ilvl w:val="0"/>
          <w:numId w:val="48"/>
        </w:numPr>
      </w:pPr>
      <w:r>
        <w:t>1</w:t>
      </w:r>
      <w:r w:rsidR="00884D41">
        <w:t>8</w:t>
      </w:r>
      <w:r>
        <w:t>% by the employee for single coverage/8</w:t>
      </w:r>
      <w:r w:rsidR="00884D41">
        <w:t>2</w:t>
      </w:r>
      <w:r>
        <w:t xml:space="preserve">% by the employer; or </w:t>
      </w:r>
    </w:p>
    <w:p w14:paraId="5D6BA9A4" w14:textId="64DAAE25" w:rsidR="00A03409" w:rsidRDefault="00884D41" w:rsidP="00A03409">
      <w:pPr>
        <w:pStyle w:val="ListParagraph"/>
        <w:numPr>
          <w:ilvl w:val="0"/>
          <w:numId w:val="48"/>
        </w:numPr>
      </w:pPr>
      <w:r>
        <w:t>25</w:t>
      </w:r>
      <w:r w:rsidR="00A03409">
        <w:t>% by the employee for family coverage/</w:t>
      </w:r>
      <w:r>
        <w:t>75</w:t>
      </w:r>
      <w:r w:rsidR="00A03409">
        <w:t>% by the employer.</w:t>
      </w:r>
    </w:p>
    <w:p w14:paraId="09821879" w14:textId="2A775CE5" w:rsidR="00A03409" w:rsidRDefault="00A03409" w:rsidP="001E516C"/>
    <w:p w14:paraId="09EE76C9" w14:textId="780389A7" w:rsidR="00E342B7" w:rsidRDefault="00E342B7" w:rsidP="00E342B7">
      <w:r>
        <w:t xml:space="preserve">For both fully-insured and self-funded claimants, employers and employees have the option, when filing, to elect an alternative option for calculating the allocation. In this case, the Claims Administrator will contact them and provide them the opportunity to submit additional evidence to support their case before making a final determination. If the request for the alternative option is rejected, the calculation will revert to the default allocation. </w:t>
      </w:r>
    </w:p>
    <w:p w14:paraId="1C4FBAB0" w14:textId="77777777" w:rsidR="00E342B7" w:rsidRDefault="00E342B7" w:rsidP="00E342B7"/>
    <w:p w14:paraId="39B9B839" w14:textId="77777777" w:rsidR="00E342B7" w:rsidRDefault="00E342B7" w:rsidP="00E342B7">
      <w:r>
        <w:t>In cases where the employer does not elect the alternative option, but one or more employees does (and their election is approved), the alternative calculation will only be used for those employees who requested it. However, in cases where the employer elects the alternative option (and it is approved), the alternative calculation will be used for the employer and all filing employees.</w:t>
      </w:r>
    </w:p>
    <w:p w14:paraId="24DD24B9" w14:textId="77777777" w:rsidR="00E342B7" w:rsidRDefault="00E342B7" w:rsidP="00E342B7"/>
    <w:p w14:paraId="30018E09" w14:textId="72641861" w:rsidR="005224F1" w:rsidRDefault="00E342B7" w:rsidP="00990994">
      <w:r>
        <w:t>When calculated payments total $5 or less, no distribution will be made to a claimant.</w:t>
      </w:r>
    </w:p>
    <w:p w14:paraId="547B019A" w14:textId="0DF949BD" w:rsidR="005224F1" w:rsidRDefault="005224F1" w:rsidP="00990994"/>
    <w:p w14:paraId="6C2BB3DB" w14:textId="425BA0B7" w:rsidR="0064621F" w:rsidRDefault="0064621F" w:rsidP="00017DBA">
      <w:pPr>
        <w:pStyle w:val="MediumGrid2-Accent11"/>
        <w:rPr>
          <w:b/>
          <w:bCs/>
          <w:lang w:val="en-US"/>
        </w:rPr>
      </w:pPr>
      <w:r>
        <w:rPr>
          <w:b/>
          <w:bCs/>
          <w:lang w:val="en-US"/>
        </w:rPr>
        <w:t>Options for Damage Class Members</w:t>
      </w:r>
    </w:p>
    <w:p w14:paraId="503153D0" w14:textId="0F692968" w:rsidR="0064621F" w:rsidRDefault="0064621F" w:rsidP="00017DBA">
      <w:pPr>
        <w:pStyle w:val="MediumGrid2-Accent11"/>
        <w:rPr>
          <w:b/>
          <w:bCs/>
          <w:lang w:val="en-US"/>
        </w:rPr>
      </w:pPr>
    </w:p>
    <w:p w14:paraId="038CDF41" w14:textId="15A3B043" w:rsidR="00130E49" w:rsidRDefault="00130E49" w:rsidP="00130E49">
      <w:pPr>
        <w:pStyle w:val="MediumGrid2-Accent11"/>
        <w:rPr>
          <w:lang w:val="en-US"/>
        </w:rPr>
      </w:pPr>
      <w:r>
        <w:rPr>
          <w:lang w:val="en-US"/>
        </w:rPr>
        <w:t>The Notice of Proposed Settlement was issued to inform employers and individuals</w:t>
      </w:r>
      <w:r w:rsidR="002F1ECE">
        <w:rPr>
          <w:lang w:val="en-US"/>
        </w:rPr>
        <w:t xml:space="preserve"> who are eligible for payment (the damage class)</w:t>
      </w:r>
      <w:r>
        <w:rPr>
          <w:lang w:val="en-US"/>
        </w:rPr>
        <w:t xml:space="preserve"> about the proposed settlement and give them time to decide what action (if any) they wish to take and the deadlines for doing so. If the settlement is approved, class members will be bound by the terms of the settlement unless they affirmatively opt-out of the settlement. The following table describes the options</w:t>
      </w:r>
      <w:r w:rsidR="002F1ECE">
        <w:rPr>
          <w:lang w:val="en-US"/>
        </w:rPr>
        <w:t xml:space="preserve"> these</w:t>
      </w:r>
      <w:r>
        <w:rPr>
          <w:lang w:val="en-US"/>
        </w:rPr>
        <w:t xml:space="preserve"> class members have. </w:t>
      </w:r>
    </w:p>
    <w:p w14:paraId="314B5920" w14:textId="32A6E2F0" w:rsidR="005224F1" w:rsidRDefault="005224F1" w:rsidP="00017DBA">
      <w:pPr>
        <w:pStyle w:val="MediumGrid2-Accent11"/>
        <w:rPr>
          <w:lang w:val="en-US"/>
        </w:rPr>
      </w:pPr>
    </w:p>
    <w:tbl>
      <w:tblPr>
        <w:tblStyle w:val="TableGrid"/>
        <w:tblW w:w="0" w:type="auto"/>
        <w:tblLook w:val="04A0" w:firstRow="1" w:lastRow="0" w:firstColumn="1" w:lastColumn="0" w:noHBand="0" w:noVBand="1"/>
      </w:tblPr>
      <w:tblGrid>
        <w:gridCol w:w="3356"/>
        <w:gridCol w:w="3357"/>
        <w:gridCol w:w="3357"/>
      </w:tblGrid>
      <w:tr w:rsidR="005224F1" w14:paraId="18336C5C" w14:textId="77777777" w:rsidTr="00C92D28">
        <w:tc>
          <w:tcPr>
            <w:tcW w:w="3356" w:type="dxa"/>
            <w:shd w:val="clear" w:color="auto" w:fill="D9D9D9" w:themeFill="background1" w:themeFillShade="D9"/>
          </w:tcPr>
          <w:p w14:paraId="5F991400" w14:textId="58D9DC56" w:rsidR="005224F1" w:rsidRPr="00C92D28" w:rsidRDefault="005224F1" w:rsidP="00017DBA">
            <w:pPr>
              <w:pStyle w:val="MediumGrid2-Accent11"/>
              <w:rPr>
                <w:b/>
                <w:bCs/>
                <w:highlight w:val="lightGray"/>
                <w:lang w:val="en-US"/>
              </w:rPr>
            </w:pPr>
            <w:r w:rsidRPr="00C92D28">
              <w:rPr>
                <w:b/>
                <w:bCs/>
                <w:highlight w:val="lightGray"/>
                <w:lang w:val="en-US"/>
              </w:rPr>
              <w:t>Option</w:t>
            </w:r>
          </w:p>
        </w:tc>
        <w:tc>
          <w:tcPr>
            <w:tcW w:w="3357" w:type="dxa"/>
            <w:shd w:val="clear" w:color="auto" w:fill="D9D9D9" w:themeFill="background1" w:themeFillShade="D9"/>
          </w:tcPr>
          <w:p w14:paraId="0EA122DD" w14:textId="6C6A555F" w:rsidR="005224F1" w:rsidRPr="00C92D28" w:rsidRDefault="005224F1" w:rsidP="00017DBA">
            <w:pPr>
              <w:pStyle w:val="MediumGrid2-Accent11"/>
              <w:rPr>
                <w:b/>
                <w:bCs/>
                <w:highlight w:val="lightGray"/>
                <w:lang w:val="en-US"/>
              </w:rPr>
            </w:pPr>
            <w:r w:rsidRPr="00C92D28">
              <w:rPr>
                <w:b/>
                <w:bCs/>
                <w:highlight w:val="lightGray"/>
                <w:lang w:val="en-US"/>
              </w:rPr>
              <w:t>Details</w:t>
            </w:r>
          </w:p>
        </w:tc>
        <w:tc>
          <w:tcPr>
            <w:tcW w:w="3357" w:type="dxa"/>
            <w:shd w:val="clear" w:color="auto" w:fill="D9D9D9" w:themeFill="background1" w:themeFillShade="D9"/>
          </w:tcPr>
          <w:p w14:paraId="56C32A1D" w14:textId="4A68646C" w:rsidR="005224F1" w:rsidRPr="00C92D28" w:rsidRDefault="005224F1" w:rsidP="00017DBA">
            <w:pPr>
              <w:pStyle w:val="MediumGrid2-Accent11"/>
              <w:rPr>
                <w:b/>
                <w:bCs/>
                <w:highlight w:val="lightGray"/>
                <w:lang w:val="en-US"/>
              </w:rPr>
            </w:pPr>
            <w:r w:rsidRPr="00C92D28">
              <w:rPr>
                <w:b/>
                <w:bCs/>
                <w:highlight w:val="lightGray"/>
                <w:lang w:val="en-US"/>
              </w:rPr>
              <w:t>Due Date (Subject to Change)</w:t>
            </w:r>
          </w:p>
        </w:tc>
      </w:tr>
      <w:tr w:rsidR="005224F1" w14:paraId="0CEEECAB" w14:textId="77777777" w:rsidTr="005224F1">
        <w:tc>
          <w:tcPr>
            <w:tcW w:w="3356" w:type="dxa"/>
          </w:tcPr>
          <w:p w14:paraId="07D0C663" w14:textId="4C15176F" w:rsidR="005224F1" w:rsidRDefault="005224F1" w:rsidP="00017DBA">
            <w:pPr>
              <w:pStyle w:val="MediumGrid2-Accent11"/>
              <w:rPr>
                <w:lang w:val="en-US"/>
              </w:rPr>
            </w:pPr>
            <w:r>
              <w:rPr>
                <w:lang w:val="en-US"/>
              </w:rPr>
              <w:t>File Claim</w:t>
            </w:r>
          </w:p>
        </w:tc>
        <w:tc>
          <w:tcPr>
            <w:tcW w:w="3357" w:type="dxa"/>
          </w:tcPr>
          <w:p w14:paraId="1395803A" w14:textId="7ED78831" w:rsidR="005224F1" w:rsidRDefault="005224F1" w:rsidP="005224F1">
            <w:pPr>
              <w:pStyle w:val="MediumGrid2-Accent11"/>
              <w:numPr>
                <w:ilvl w:val="0"/>
                <w:numId w:val="46"/>
              </w:numPr>
              <w:rPr>
                <w:lang w:val="en-US"/>
              </w:rPr>
            </w:pPr>
            <w:r>
              <w:rPr>
                <w:lang w:val="en-US"/>
              </w:rPr>
              <w:t>May be eligible for settlement payment</w:t>
            </w:r>
          </w:p>
          <w:p w14:paraId="40B50BCF" w14:textId="77777777" w:rsidR="005224F1" w:rsidRDefault="005224F1" w:rsidP="005224F1">
            <w:pPr>
              <w:pStyle w:val="MediumGrid2-Accent11"/>
              <w:numPr>
                <w:ilvl w:val="0"/>
                <w:numId w:val="46"/>
              </w:numPr>
              <w:rPr>
                <w:lang w:val="en-US"/>
              </w:rPr>
            </w:pPr>
            <w:r>
              <w:rPr>
                <w:lang w:val="en-US"/>
              </w:rPr>
              <w:t>Bound by terms of settlement</w:t>
            </w:r>
          </w:p>
          <w:p w14:paraId="6F5789F2" w14:textId="32FE7B65" w:rsidR="005224F1" w:rsidRDefault="005224F1" w:rsidP="005224F1">
            <w:pPr>
              <w:pStyle w:val="MediumGrid2-Accent11"/>
              <w:numPr>
                <w:ilvl w:val="0"/>
                <w:numId w:val="46"/>
              </w:numPr>
              <w:rPr>
                <w:lang w:val="en-US"/>
              </w:rPr>
            </w:pPr>
            <w:r>
              <w:rPr>
                <w:lang w:val="en-US"/>
              </w:rPr>
              <w:t>Give up right to sue</w:t>
            </w:r>
          </w:p>
        </w:tc>
        <w:tc>
          <w:tcPr>
            <w:tcW w:w="3357" w:type="dxa"/>
          </w:tcPr>
          <w:p w14:paraId="0C53FBC8" w14:textId="30AA6ACB" w:rsidR="005224F1" w:rsidRDefault="005224F1" w:rsidP="00017DBA">
            <w:pPr>
              <w:pStyle w:val="MediumGrid2-Accent11"/>
              <w:rPr>
                <w:lang w:val="en-US"/>
              </w:rPr>
            </w:pPr>
            <w:r>
              <w:rPr>
                <w:lang w:val="en-US"/>
              </w:rPr>
              <w:t>November 5, 2021</w:t>
            </w:r>
          </w:p>
        </w:tc>
      </w:tr>
      <w:tr w:rsidR="005224F1" w14:paraId="7DC4BFCC" w14:textId="77777777" w:rsidTr="005224F1">
        <w:tc>
          <w:tcPr>
            <w:tcW w:w="3356" w:type="dxa"/>
          </w:tcPr>
          <w:p w14:paraId="44FA1AC3" w14:textId="278299E6" w:rsidR="005224F1" w:rsidRDefault="005224F1" w:rsidP="00017DBA">
            <w:pPr>
              <w:pStyle w:val="MediumGrid2-Accent11"/>
              <w:rPr>
                <w:lang w:val="en-US"/>
              </w:rPr>
            </w:pPr>
            <w:r>
              <w:rPr>
                <w:lang w:val="en-US"/>
              </w:rPr>
              <w:t>Do Nothing</w:t>
            </w:r>
          </w:p>
        </w:tc>
        <w:tc>
          <w:tcPr>
            <w:tcW w:w="3357" w:type="dxa"/>
          </w:tcPr>
          <w:p w14:paraId="385B237C" w14:textId="77777777" w:rsidR="005224F1" w:rsidRDefault="005224F1" w:rsidP="005224F1">
            <w:pPr>
              <w:pStyle w:val="MediumGrid2-Accent11"/>
              <w:numPr>
                <w:ilvl w:val="0"/>
                <w:numId w:val="46"/>
              </w:numPr>
              <w:rPr>
                <w:lang w:val="en-US"/>
              </w:rPr>
            </w:pPr>
            <w:r>
              <w:rPr>
                <w:lang w:val="en-US"/>
              </w:rPr>
              <w:t>Not eligible for payment</w:t>
            </w:r>
          </w:p>
          <w:p w14:paraId="6A073F1C" w14:textId="77777777" w:rsidR="005224F1" w:rsidRDefault="005224F1" w:rsidP="005224F1">
            <w:pPr>
              <w:pStyle w:val="MediumGrid2-Accent11"/>
              <w:numPr>
                <w:ilvl w:val="0"/>
                <w:numId w:val="46"/>
              </w:numPr>
              <w:rPr>
                <w:lang w:val="en-US"/>
              </w:rPr>
            </w:pPr>
            <w:r>
              <w:rPr>
                <w:lang w:val="en-US"/>
              </w:rPr>
              <w:t>Bound by terms of settlement</w:t>
            </w:r>
          </w:p>
          <w:p w14:paraId="49E17EFC" w14:textId="018F0D2B" w:rsidR="005224F1" w:rsidRPr="005224F1" w:rsidRDefault="005224F1" w:rsidP="005224F1">
            <w:pPr>
              <w:pStyle w:val="MediumGrid2-Accent11"/>
              <w:numPr>
                <w:ilvl w:val="0"/>
                <w:numId w:val="46"/>
              </w:numPr>
              <w:rPr>
                <w:lang w:val="en-US"/>
              </w:rPr>
            </w:pPr>
            <w:r>
              <w:rPr>
                <w:lang w:val="en-US"/>
              </w:rPr>
              <w:t>Give up right to sue</w:t>
            </w:r>
          </w:p>
        </w:tc>
        <w:tc>
          <w:tcPr>
            <w:tcW w:w="3357" w:type="dxa"/>
          </w:tcPr>
          <w:p w14:paraId="6AD162B6" w14:textId="25F739EB" w:rsidR="005224F1" w:rsidRDefault="005224F1" w:rsidP="00017DBA">
            <w:pPr>
              <w:pStyle w:val="MediumGrid2-Accent11"/>
              <w:rPr>
                <w:lang w:val="en-US"/>
              </w:rPr>
            </w:pPr>
            <w:r>
              <w:rPr>
                <w:lang w:val="en-US"/>
              </w:rPr>
              <w:t>N/A</w:t>
            </w:r>
          </w:p>
        </w:tc>
      </w:tr>
      <w:tr w:rsidR="005224F1" w14:paraId="1C78EB8A" w14:textId="77777777" w:rsidTr="005224F1">
        <w:tc>
          <w:tcPr>
            <w:tcW w:w="3356" w:type="dxa"/>
          </w:tcPr>
          <w:p w14:paraId="7FFEF3A9" w14:textId="0BEFF043" w:rsidR="005224F1" w:rsidRDefault="005224F1" w:rsidP="00017DBA">
            <w:pPr>
              <w:pStyle w:val="MediumGrid2-Accent11"/>
              <w:rPr>
                <w:lang w:val="en-US"/>
              </w:rPr>
            </w:pPr>
            <w:r>
              <w:rPr>
                <w:lang w:val="en-US"/>
              </w:rPr>
              <w:t>Opt-Out</w:t>
            </w:r>
          </w:p>
        </w:tc>
        <w:tc>
          <w:tcPr>
            <w:tcW w:w="3357" w:type="dxa"/>
          </w:tcPr>
          <w:p w14:paraId="4AF2370F" w14:textId="77777777" w:rsidR="005224F1" w:rsidRDefault="005224F1" w:rsidP="00017DBA">
            <w:pPr>
              <w:pStyle w:val="MediumGrid2-Accent11"/>
              <w:numPr>
                <w:ilvl w:val="0"/>
                <w:numId w:val="46"/>
              </w:numPr>
              <w:rPr>
                <w:lang w:val="en-US"/>
              </w:rPr>
            </w:pPr>
            <w:r>
              <w:rPr>
                <w:lang w:val="en-US"/>
              </w:rPr>
              <w:t>Not eligible for payment</w:t>
            </w:r>
          </w:p>
          <w:p w14:paraId="585E0DFA" w14:textId="77777777" w:rsidR="005224F1" w:rsidRDefault="005224F1" w:rsidP="00017DBA">
            <w:pPr>
              <w:pStyle w:val="MediumGrid2-Accent11"/>
              <w:numPr>
                <w:ilvl w:val="0"/>
                <w:numId w:val="46"/>
              </w:numPr>
              <w:rPr>
                <w:lang w:val="en-US"/>
              </w:rPr>
            </w:pPr>
            <w:r w:rsidRPr="005224F1">
              <w:rPr>
                <w:lang w:val="en-US"/>
              </w:rPr>
              <w:t>Not bound by terms of settlement</w:t>
            </w:r>
          </w:p>
          <w:p w14:paraId="72D692A7" w14:textId="7AC0F2EA" w:rsidR="005224F1" w:rsidRPr="005224F1" w:rsidRDefault="005224F1" w:rsidP="00017DBA">
            <w:pPr>
              <w:pStyle w:val="MediumGrid2-Accent11"/>
              <w:numPr>
                <w:ilvl w:val="0"/>
                <w:numId w:val="46"/>
              </w:numPr>
              <w:rPr>
                <w:lang w:val="en-US"/>
              </w:rPr>
            </w:pPr>
            <w:r w:rsidRPr="005224F1">
              <w:rPr>
                <w:lang w:val="en-US"/>
              </w:rPr>
              <w:t>May sue defendants</w:t>
            </w:r>
          </w:p>
        </w:tc>
        <w:tc>
          <w:tcPr>
            <w:tcW w:w="3357" w:type="dxa"/>
          </w:tcPr>
          <w:p w14:paraId="2CC4FF0A" w14:textId="3AB4AA2A" w:rsidR="005224F1" w:rsidRDefault="005224F1" w:rsidP="00017DBA">
            <w:pPr>
              <w:pStyle w:val="MediumGrid2-Accent11"/>
              <w:rPr>
                <w:lang w:val="en-US"/>
              </w:rPr>
            </w:pPr>
            <w:r>
              <w:rPr>
                <w:lang w:val="en-US"/>
              </w:rPr>
              <w:t>July 28, 2021</w:t>
            </w:r>
          </w:p>
        </w:tc>
      </w:tr>
      <w:tr w:rsidR="005224F1" w14:paraId="5650FB17" w14:textId="77777777" w:rsidTr="005224F1">
        <w:tc>
          <w:tcPr>
            <w:tcW w:w="3356" w:type="dxa"/>
          </w:tcPr>
          <w:p w14:paraId="65F0DCDB" w14:textId="4BF8823D" w:rsidR="005224F1" w:rsidRDefault="005224F1" w:rsidP="00017DBA">
            <w:pPr>
              <w:pStyle w:val="MediumGrid2-Accent11"/>
              <w:rPr>
                <w:lang w:val="en-US"/>
              </w:rPr>
            </w:pPr>
            <w:r>
              <w:rPr>
                <w:lang w:val="en-US"/>
              </w:rPr>
              <w:t>Object</w:t>
            </w:r>
          </w:p>
        </w:tc>
        <w:tc>
          <w:tcPr>
            <w:tcW w:w="3357" w:type="dxa"/>
          </w:tcPr>
          <w:p w14:paraId="005AAF93" w14:textId="3C7880E3" w:rsidR="005224F1" w:rsidRDefault="005224F1" w:rsidP="00017DBA">
            <w:pPr>
              <w:pStyle w:val="MediumGrid2-Accent11"/>
              <w:numPr>
                <w:ilvl w:val="0"/>
                <w:numId w:val="46"/>
              </w:numPr>
              <w:rPr>
                <w:lang w:val="en-US"/>
              </w:rPr>
            </w:pPr>
            <w:r>
              <w:rPr>
                <w:lang w:val="en-US"/>
              </w:rPr>
              <w:t>Object t</w:t>
            </w:r>
            <w:r w:rsidR="00996967">
              <w:rPr>
                <w:lang w:val="en-US"/>
              </w:rPr>
              <w:t>o</w:t>
            </w:r>
            <w:r>
              <w:rPr>
                <w:lang w:val="en-US"/>
              </w:rPr>
              <w:t xml:space="preserve"> Court in</w:t>
            </w:r>
            <w:r w:rsidR="00996967">
              <w:rPr>
                <w:lang w:val="en-US"/>
              </w:rPr>
              <w:t xml:space="preserve"> writing</w:t>
            </w:r>
            <w:r>
              <w:rPr>
                <w:lang w:val="en-US"/>
              </w:rPr>
              <w:t xml:space="preserve"> about terms/aspect of settlement</w:t>
            </w:r>
          </w:p>
          <w:p w14:paraId="6455A196" w14:textId="1CA4FBC0" w:rsidR="005224F1" w:rsidRPr="005224F1" w:rsidRDefault="005224F1" w:rsidP="00017DBA">
            <w:pPr>
              <w:pStyle w:val="MediumGrid2-Accent11"/>
              <w:numPr>
                <w:ilvl w:val="0"/>
                <w:numId w:val="46"/>
              </w:numPr>
              <w:rPr>
                <w:lang w:val="en-US"/>
              </w:rPr>
            </w:pPr>
            <w:r w:rsidRPr="005224F1">
              <w:rPr>
                <w:lang w:val="en-US"/>
              </w:rPr>
              <w:t>Only an option for those who do not opt-out</w:t>
            </w:r>
          </w:p>
        </w:tc>
        <w:tc>
          <w:tcPr>
            <w:tcW w:w="3357" w:type="dxa"/>
          </w:tcPr>
          <w:p w14:paraId="4424E423" w14:textId="163ACEA3" w:rsidR="005224F1" w:rsidRDefault="005224F1" w:rsidP="00017DBA">
            <w:pPr>
              <w:pStyle w:val="MediumGrid2-Accent11"/>
              <w:rPr>
                <w:lang w:val="en-US"/>
              </w:rPr>
            </w:pPr>
            <w:r>
              <w:rPr>
                <w:lang w:val="en-US"/>
              </w:rPr>
              <w:t>July 28, 2021</w:t>
            </w:r>
          </w:p>
        </w:tc>
      </w:tr>
      <w:tr w:rsidR="005224F1" w14:paraId="5638A615" w14:textId="77777777" w:rsidTr="005224F1">
        <w:tc>
          <w:tcPr>
            <w:tcW w:w="3356" w:type="dxa"/>
          </w:tcPr>
          <w:p w14:paraId="7BBD7C2A" w14:textId="7334A9BF" w:rsidR="005224F1" w:rsidRDefault="005224F1" w:rsidP="00017DBA">
            <w:pPr>
              <w:pStyle w:val="MediumGrid2-Accent11"/>
              <w:rPr>
                <w:lang w:val="en-US"/>
              </w:rPr>
            </w:pPr>
            <w:r>
              <w:rPr>
                <w:lang w:val="en-US"/>
              </w:rPr>
              <w:t>Speak at Hearing</w:t>
            </w:r>
          </w:p>
        </w:tc>
        <w:tc>
          <w:tcPr>
            <w:tcW w:w="3357" w:type="dxa"/>
          </w:tcPr>
          <w:p w14:paraId="2F515D28" w14:textId="03BEDD56" w:rsidR="005224F1" w:rsidRDefault="005224F1" w:rsidP="005224F1">
            <w:pPr>
              <w:pStyle w:val="MediumGrid2-Accent11"/>
              <w:numPr>
                <w:ilvl w:val="0"/>
                <w:numId w:val="46"/>
              </w:numPr>
              <w:rPr>
                <w:lang w:val="en-US"/>
              </w:rPr>
            </w:pPr>
            <w:r>
              <w:rPr>
                <w:lang w:val="en-US"/>
              </w:rPr>
              <w:t>Submit “Notice of Intent” to speak at hearing to be held October 20, 2021 (10 AM CST)</w:t>
            </w:r>
          </w:p>
        </w:tc>
        <w:tc>
          <w:tcPr>
            <w:tcW w:w="3357" w:type="dxa"/>
          </w:tcPr>
          <w:p w14:paraId="5F6F91C9" w14:textId="6F14C496" w:rsidR="005224F1" w:rsidRPr="005224F1" w:rsidRDefault="005224F1" w:rsidP="00017DBA">
            <w:pPr>
              <w:pStyle w:val="MediumGrid2-Accent11"/>
              <w:rPr>
                <w:b/>
                <w:bCs/>
                <w:lang w:val="en-US"/>
              </w:rPr>
            </w:pPr>
            <w:r>
              <w:rPr>
                <w:lang w:val="en-US"/>
              </w:rPr>
              <w:t>Notice of Intent due July 28, 2021</w:t>
            </w:r>
          </w:p>
        </w:tc>
      </w:tr>
    </w:tbl>
    <w:p w14:paraId="475CE183" w14:textId="77777777" w:rsidR="005224F1" w:rsidRPr="0064621F" w:rsidRDefault="005224F1" w:rsidP="00017DBA">
      <w:pPr>
        <w:pStyle w:val="MediumGrid2-Accent11"/>
        <w:rPr>
          <w:lang w:val="en-US"/>
        </w:rPr>
      </w:pPr>
    </w:p>
    <w:p w14:paraId="3825FE1A" w14:textId="3AD40809" w:rsidR="00B75819" w:rsidRDefault="00640B01" w:rsidP="00017DBA">
      <w:pPr>
        <w:pStyle w:val="MediumGrid2-Accent11"/>
        <w:rPr>
          <w:lang w:val="en-US"/>
        </w:rPr>
      </w:pPr>
      <w:r>
        <w:rPr>
          <w:lang w:val="en-US"/>
        </w:rPr>
        <w:lastRenderedPageBreak/>
        <w:t>Of note here is the fact that while those who choose to do nothing will not be eligible for payment, it is only when somebody actively opts-out of the settlement that they will retain the right to sue and not be bound by the settlement’s terms.</w:t>
      </w:r>
    </w:p>
    <w:p w14:paraId="734506E0" w14:textId="3A25B5C3" w:rsidR="00B75819" w:rsidRDefault="00B75819" w:rsidP="00017DBA">
      <w:pPr>
        <w:pStyle w:val="MediumGrid2-Accent11"/>
        <w:rPr>
          <w:lang w:val="en-US"/>
        </w:rPr>
      </w:pPr>
    </w:p>
    <w:p w14:paraId="53BAD361" w14:textId="5D5B6D7F" w:rsidR="00B75819" w:rsidRDefault="00B75819" w:rsidP="00017DBA">
      <w:pPr>
        <w:pStyle w:val="MediumGrid2-Accent11"/>
        <w:rPr>
          <w:b/>
          <w:bCs/>
          <w:lang w:val="en-US"/>
        </w:rPr>
      </w:pPr>
      <w:r>
        <w:rPr>
          <w:b/>
          <w:bCs/>
          <w:lang w:val="en-US"/>
        </w:rPr>
        <w:t>What Can/Should Employers Do?</w:t>
      </w:r>
    </w:p>
    <w:p w14:paraId="17848398" w14:textId="098C2115" w:rsidR="00B75819" w:rsidRDefault="00B75819" w:rsidP="00017DBA">
      <w:pPr>
        <w:pStyle w:val="MediumGrid2-Accent11"/>
        <w:rPr>
          <w:lang w:val="en-US"/>
        </w:rPr>
      </w:pPr>
      <w:r>
        <w:rPr>
          <w:lang w:val="en-US"/>
        </w:rPr>
        <w:t xml:space="preserve">Employers may receive questions from their employees about this settlement, including advice on whether to file a claim or requests for information </w:t>
      </w:r>
      <w:r w:rsidR="004B7528">
        <w:rPr>
          <w:lang w:val="en-US"/>
        </w:rPr>
        <w:t>the employee needs to submit as part of their claim submission. While employers do not have any formal obligations to provide any notice/information, it may be</w:t>
      </w:r>
      <w:r w:rsidR="0030643D">
        <w:rPr>
          <w:lang w:val="en-US"/>
        </w:rPr>
        <w:t xml:space="preserve"> helpful to provide some type of notice explaining </w:t>
      </w:r>
      <w:r w:rsidR="00BE79B8">
        <w:rPr>
          <w:lang w:val="en-US"/>
        </w:rPr>
        <w:t xml:space="preserve">the settlement to employees and informing them that they may have the right to file their own claims. Employees may also request certain information from employers (e.g., group numbers, policy numbers, coverage dates, etc.) that they need to file their claims. If employers have this information readily available, they may wish to provide it to employees (although again, there is no specific requirement to do so). Employers should be cautious in any communications with employees and should avoid saying or doing anything that appear to dissuade employees from filing their own claims. </w:t>
      </w:r>
    </w:p>
    <w:p w14:paraId="5FDDD5E1" w14:textId="0F1E3749" w:rsidR="009E1349" w:rsidRDefault="009E1349" w:rsidP="00017DBA">
      <w:pPr>
        <w:pStyle w:val="MediumGrid2-Accent11"/>
        <w:rPr>
          <w:lang w:val="en-US"/>
        </w:rPr>
      </w:pPr>
    </w:p>
    <w:p w14:paraId="153BA06C" w14:textId="66B76A7C" w:rsidR="009E1349" w:rsidRDefault="009E1349" w:rsidP="00017DBA">
      <w:pPr>
        <w:pStyle w:val="MediumGrid2-Accent11"/>
        <w:rPr>
          <w:lang w:val="en-US"/>
        </w:rPr>
      </w:pPr>
      <w:r>
        <w:rPr>
          <w:lang w:val="en-US"/>
        </w:rPr>
        <w:t xml:space="preserve">Employers may find additional information regarding this settlement at the following websites: </w:t>
      </w:r>
    </w:p>
    <w:p w14:paraId="257CF35C" w14:textId="4590E1DE" w:rsidR="009E1349" w:rsidRDefault="009E1349" w:rsidP="00017DBA">
      <w:pPr>
        <w:pStyle w:val="MediumGrid2-Accent11"/>
        <w:rPr>
          <w:lang w:val="en-US"/>
        </w:rPr>
      </w:pPr>
    </w:p>
    <w:p w14:paraId="6235EC7F" w14:textId="3A844E12" w:rsidR="009E1349" w:rsidRDefault="0090581B" w:rsidP="00017DBA">
      <w:pPr>
        <w:pStyle w:val="MediumGrid2-Accent11"/>
        <w:rPr>
          <w:lang w:val="en-US"/>
        </w:rPr>
      </w:pPr>
      <w:r>
        <w:rPr>
          <w:lang w:val="en-US"/>
        </w:rPr>
        <w:t xml:space="preserve">Settlement Website: </w:t>
      </w:r>
      <w:hyperlink r:id="rId12" w:history="1">
        <w:r w:rsidRPr="00457EDE">
          <w:rPr>
            <w:rStyle w:val="Hyperlink"/>
            <w:lang w:val="en-US"/>
          </w:rPr>
          <w:t>https://www.bcbssettlement.com/</w:t>
        </w:r>
      </w:hyperlink>
    </w:p>
    <w:p w14:paraId="3CE3B9BD" w14:textId="3324F18E" w:rsidR="0012405B" w:rsidRDefault="0012405B" w:rsidP="00017DBA">
      <w:pPr>
        <w:pStyle w:val="MediumGrid2-Accent11"/>
        <w:rPr>
          <w:lang w:val="en-US"/>
        </w:rPr>
      </w:pPr>
    </w:p>
    <w:p w14:paraId="2B539194" w14:textId="232E1C05" w:rsidR="0012405B" w:rsidRDefault="0090581B" w:rsidP="00017DBA">
      <w:pPr>
        <w:pStyle w:val="MediumGrid2-Accent11"/>
        <w:rPr>
          <w:lang w:val="en-US"/>
        </w:rPr>
      </w:pPr>
      <w:r>
        <w:rPr>
          <w:lang w:val="en-US"/>
        </w:rPr>
        <w:t xml:space="preserve">Settlement FAQs: </w:t>
      </w:r>
      <w:hyperlink r:id="rId13" w:history="1">
        <w:r w:rsidR="00E43BF8" w:rsidRPr="00457EDE">
          <w:rPr>
            <w:rStyle w:val="Hyperlink"/>
            <w:lang w:val="en-US"/>
          </w:rPr>
          <w:t>https://www.bcbssettlement.com/faq</w:t>
        </w:r>
      </w:hyperlink>
    </w:p>
    <w:p w14:paraId="02B183BC" w14:textId="6F177D4A" w:rsidR="00351F59" w:rsidRDefault="00351F59" w:rsidP="00017DBA">
      <w:pPr>
        <w:pStyle w:val="MediumGrid2-Accent11"/>
        <w:rPr>
          <w:lang w:val="en-US"/>
        </w:rPr>
      </w:pPr>
    </w:p>
    <w:p w14:paraId="732E7BD9" w14:textId="1995D7EE" w:rsidR="00351F59" w:rsidRDefault="00351F59" w:rsidP="00017DBA">
      <w:pPr>
        <w:pStyle w:val="MediumGrid2-Accent11"/>
        <w:rPr>
          <w:lang w:val="en-US"/>
        </w:rPr>
      </w:pPr>
      <w:r>
        <w:rPr>
          <w:lang w:val="en-US"/>
        </w:rPr>
        <w:t xml:space="preserve">Claim Form: </w:t>
      </w:r>
      <w:hyperlink r:id="rId14" w:history="1">
        <w:r w:rsidRPr="00457EDE">
          <w:rPr>
            <w:rStyle w:val="Hyperlink"/>
            <w:lang w:val="en-US"/>
          </w:rPr>
          <w:t>https://www.bcbssettlement.com/admin/services/connectedapps.cms.extensions/1.0.0.0/asset?id=5399b96e-406f-4a1a-89ba-09c960f94107&amp;languageId=1033&amp;inline=true</w:t>
        </w:r>
      </w:hyperlink>
    </w:p>
    <w:p w14:paraId="70E5E11B" w14:textId="5F42FA59" w:rsidR="0012405B" w:rsidRDefault="0012405B" w:rsidP="00017DBA">
      <w:pPr>
        <w:pStyle w:val="MediumGrid2-Accent11"/>
        <w:rPr>
          <w:lang w:val="en-US"/>
        </w:rPr>
      </w:pPr>
    </w:p>
    <w:p w14:paraId="278AFFB3" w14:textId="008D9BA4" w:rsidR="0012405B" w:rsidRDefault="00351F59" w:rsidP="00017DBA">
      <w:pPr>
        <w:pStyle w:val="MediumGrid2-Accent11"/>
        <w:rPr>
          <w:lang w:val="en-US"/>
        </w:rPr>
      </w:pPr>
      <w:r>
        <w:rPr>
          <w:lang w:val="en-US"/>
        </w:rPr>
        <w:t xml:space="preserve">Long Form Notice: </w:t>
      </w:r>
      <w:hyperlink r:id="rId15" w:history="1">
        <w:r w:rsidRPr="00457EDE">
          <w:rPr>
            <w:rStyle w:val="Hyperlink"/>
            <w:lang w:val="en-US"/>
          </w:rPr>
          <w:t>https://www.bcbssettlement.com/admin/services/connectedapps.cms.extensions/1.0.0.0/asset?id=bac08427-3ee3-4547-85c7-cd8fac480acd&amp;languageId=1033&amp;inline=true</w:t>
        </w:r>
      </w:hyperlink>
    </w:p>
    <w:p w14:paraId="4B18EFB5" w14:textId="35096B0B" w:rsidR="00351F59" w:rsidRDefault="00351F59" w:rsidP="00017DBA">
      <w:pPr>
        <w:pStyle w:val="MediumGrid2-Accent11"/>
        <w:rPr>
          <w:lang w:val="en-US"/>
        </w:rPr>
      </w:pPr>
    </w:p>
    <w:p w14:paraId="0AC4D174" w14:textId="77D672B9" w:rsidR="00017DBA" w:rsidRDefault="00C43827" w:rsidP="00017DBA">
      <w:pPr>
        <w:pStyle w:val="MediumGrid2-Accent11"/>
        <w:rPr>
          <w:lang w:val="en-US"/>
        </w:rPr>
      </w:pPr>
      <w:r>
        <w:rPr>
          <w:lang w:val="en-US"/>
        </w:rPr>
        <w:t xml:space="preserve">Proposed Plan of Distribution: </w:t>
      </w:r>
      <w:hyperlink r:id="rId16" w:history="1">
        <w:r w:rsidRPr="00457EDE">
          <w:rPr>
            <w:rStyle w:val="Hyperlink"/>
            <w:lang w:val="en-US"/>
          </w:rPr>
          <w:t>https://www.bcbssettlement.com/admin/services/connectedapps.cms.extensions/1.0.0.0/asset?id=4a81c01d-f915-4cc4-bec8-3df1d1dda5c5&amp;languageId=1033&amp;inline=true</w:t>
        </w:r>
      </w:hyperlink>
    </w:p>
    <w:p w14:paraId="3499C93E" w14:textId="32D469AE" w:rsidR="00C43827" w:rsidRDefault="00C43827" w:rsidP="00017DBA">
      <w:pPr>
        <w:pStyle w:val="MediumGrid2-Accent11"/>
        <w:rPr>
          <w:lang w:val="en-US"/>
        </w:rPr>
      </w:pPr>
    </w:p>
    <w:p w14:paraId="19E71520" w14:textId="248D8ADA" w:rsidR="00C43827" w:rsidRDefault="0090581B" w:rsidP="00017DBA">
      <w:pPr>
        <w:pStyle w:val="MediumGrid2-Accent11"/>
        <w:rPr>
          <w:lang w:val="en-US"/>
        </w:rPr>
      </w:pPr>
      <w:r>
        <w:rPr>
          <w:lang w:val="en-US"/>
        </w:rPr>
        <w:t xml:space="preserve">Settlement Agreement: </w:t>
      </w:r>
      <w:hyperlink r:id="rId17" w:history="1">
        <w:r w:rsidRPr="00457EDE">
          <w:rPr>
            <w:rStyle w:val="Hyperlink"/>
            <w:lang w:val="en-US"/>
          </w:rPr>
          <w:t>https://www.bcbssettlement.com/admin/services/connectedapps.cms.extensions/1.0.0.0/asset?id=36668bb7-ef49-45b6-bbd5-93bc9b3e70b5&amp;languageId=1033&amp;inline=true</w:t>
        </w:r>
      </w:hyperlink>
    </w:p>
    <w:p w14:paraId="30112476" w14:textId="79F4CC9D" w:rsidR="0090581B" w:rsidRDefault="0090581B" w:rsidP="00017DBA">
      <w:pPr>
        <w:pStyle w:val="MediumGrid2-Accent11"/>
        <w:rPr>
          <w:lang w:val="en-US"/>
        </w:rPr>
      </w:pPr>
    </w:p>
    <w:p w14:paraId="41347CB0" w14:textId="2F641A25" w:rsidR="005B7868" w:rsidRDefault="00E43BF8" w:rsidP="00E5498D">
      <w:pPr>
        <w:pStyle w:val="MediumGrid2-Accent11"/>
        <w:rPr>
          <w:lang w:val="en-US"/>
        </w:rPr>
      </w:pPr>
      <w:r>
        <w:rPr>
          <w:lang w:val="en-US"/>
        </w:rPr>
        <w:t xml:space="preserve">Second Blue Bid: </w:t>
      </w:r>
      <w:hyperlink r:id="rId18" w:history="1">
        <w:r w:rsidRPr="00457EDE">
          <w:rPr>
            <w:rStyle w:val="Hyperlink"/>
            <w:lang w:val="en-US"/>
          </w:rPr>
          <w:t>https://www.bcbssettlement.com/secondbluebid</w:t>
        </w:r>
      </w:hyperlink>
    </w:p>
    <w:p w14:paraId="66AAEFD6" w14:textId="66DC610D" w:rsidR="00E43BF8" w:rsidRDefault="00E43BF8" w:rsidP="00E5498D">
      <w:pPr>
        <w:pStyle w:val="MediumGrid2-Accent11"/>
        <w:rPr>
          <w:lang w:val="en-US"/>
        </w:rPr>
      </w:pPr>
    </w:p>
    <w:p w14:paraId="24E58DD4" w14:textId="71C6C266" w:rsidR="00DC41C0" w:rsidRPr="00DC41C0" w:rsidRDefault="00DC41C0" w:rsidP="00E5498D">
      <w:pPr>
        <w:pStyle w:val="MediumGrid2-Accent11"/>
        <w:rPr>
          <w:b/>
          <w:bCs/>
          <w:lang w:val="en-US"/>
        </w:rPr>
      </w:pPr>
      <w:r w:rsidRPr="00DC41C0">
        <w:rPr>
          <w:b/>
          <w:bCs/>
          <w:lang w:val="en-US"/>
        </w:rPr>
        <w:t>Next Steps</w:t>
      </w:r>
    </w:p>
    <w:p w14:paraId="74EF0A01" w14:textId="77777777" w:rsidR="00DC41C0" w:rsidRDefault="00DC41C0" w:rsidP="00DC41C0">
      <w:pPr>
        <w:pStyle w:val="MediumGrid2-Accent11"/>
        <w:rPr>
          <w:lang w:val="en-US"/>
        </w:rPr>
      </w:pPr>
      <w:r>
        <w:rPr>
          <w:lang w:val="en-US"/>
        </w:rPr>
        <w:t xml:space="preserve">Next steps for employers who are eligible to file a claim: </w:t>
      </w:r>
    </w:p>
    <w:p w14:paraId="115FB097" w14:textId="77777777" w:rsidR="00DC41C0" w:rsidRDefault="00DC41C0" w:rsidP="00DC41C0">
      <w:pPr>
        <w:pStyle w:val="MediumGrid2-Accent11"/>
        <w:numPr>
          <w:ilvl w:val="0"/>
          <w:numId w:val="50"/>
        </w:numPr>
        <w:rPr>
          <w:lang w:val="en-US"/>
        </w:rPr>
      </w:pPr>
      <w:r>
        <w:rPr>
          <w:lang w:val="en-US"/>
        </w:rPr>
        <w:t xml:space="preserve">Decide whether to: </w:t>
      </w:r>
    </w:p>
    <w:p w14:paraId="1F065DCF" w14:textId="77777777" w:rsidR="00DC41C0" w:rsidRDefault="00DC41C0" w:rsidP="00DC41C0">
      <w:pPr>
        <w:pStyle w:val="MediumGrid2-Accent11"/>
        <w:numPr>
          <w:ilvl w:val="1"/>
          <w:numId w:val="50"/>
        </w:numPr>
        <w:rPr>
          <w:lang w:val="en-US"/>
        </w:rPr>
      </w:pPr>
      <w:r>
        <w:rPr>
          <w:lang w:val="en-US"/>
        </w:rPr>
        <w:t>File Claim</w:t>
      </w:r>
    </w:p>
    <w:p w14:paraId="52499694" w14:textId="77777777" w:rsidR="00DC41C0" w:rsidRDefault="00DC41C0" w:rsidP="00DC41C0">
      <w:pPr>
        <w:pStyle w:val="MediumGrid2-Accent11"/>
        <w:numPr>
          <w:ilvl w:val="2"/>
          <w:numId w:val="50"/>
        </w:numPr>
        <w:rPr>
          <w:lang w:val="en-US"/>
        </w:rPr>
      </w:pPr>
      <w:r>
        <w:rPr>
          <w:lang w:val="en-US"/>
        </w:rPr>
        <w:t>If filing claim, determine whether to use default assumptions or elect an alternative option for calculating allocation.</w:t>
      </w:r>
    </w:p>
    <w:p w14:paraId="6C22976F" w14:textId="77777777" w:rsidR="00DC41C0" w:rsidRDefault="00DC41C0" w:rsidP="00DC41C0">
      <w:pPr>
        <w:pStyle w:val="MediumGrid2-Accent11"/>
        <w:numPr>
          <w:ilvl w:val="1"/>
          <w:numId w:val="50"/>
        </w:numPr>
        <w:rPr>
          <w:lang w:val="en-US"/>
        </w:rPr>
      </w:pPr>
      <w:r>
        <w:rPr>
          <w:lang w:val="en-US"/>
        </w:rPr>
        <w:t>Do Nothing</w:t>
      </w:r>
    </w:p>
    <w:p w14:paraId="06187E34" w14:textId="77777777" w:rsidR="00DC41C0" w:rsidRDefault="00DC41C0" w:rsidP="00DC41C0">
      <w:pPr>
        <w:pStyle w:val="MediumGrid2-Accent11"/>
        <w:numPr>
          <w:ilvl w:val="1"/>
          <w:numId w:val="50"/>
        </w:numPr>
        <w:rPr>
          <w:lang w:val="en-US"/>
        </w:rPr>
      </w:pPr>
      <w:r>
        <w:rPr>
          <w:lang w:val="en-US"/>
        </w:rPr>
        <w:t>Opt-out</w:t>
      </w:r>
    </w:p>
    <w:p w14:paraId="74AE548C" w14:textId="77777777" w:rsidR="00DC41C0" w:rsidRDefault="00DC41C0" w:rsidP="00DC41C0">
      <w:pPr>
        <w:pStyle w:val="MediumGrid2-Accent11"/>
        <w:numPr>
          <w:ilvl w:val="1"/>
          <w:numId w:val="50"/>
        </w:numPr>
        <w:rPr>
          <w:lang w:val="en-US"/>
        </w:rPr>
      </w:pPr>
      <w:r>
        <w:rPr>
          <w:lang w:val="en-US"/>
        </w:rPr>
        <w:t>Object</w:t>
      </w:r>
    </w:p>
    <w:p w14:paraId="5EEE7FE2" w14:textId="77777777" w:rsidR="00DC41C0" w:rsidRDefault="00DC41C0" w:rsidP="00DC41C0">
      <w:pPr>
        <w:pStyle w:val="MediumGrid2-Accent11"/>
        <w:numPr>
          <w:ilvl w:val="1"/>
          <w:numId w:val="50"/>
        </w:numPr>
        <w:rPr>
          <w:lang w:val="en-US"/>
        </w:rPr>
      </w:pPr>
      <w:r>
        <w:rPr>
          <w:lang w:val="en-US"/>
        </w:rPr>
        <w:t>Speak at Hearing</w:t>
      </w:r>
    </w:p>
    <w:p w14:paraId="7EACF935" w14:textId="470E4AF3" w:rsidR="00DC41C0" w:rsidRDefault="00DC41C0" w:rsidP="00DC41C0">
      <w:pPr>
        <w:pStyle w:val="MediumGrid2-Accent11"/>
        <w:numPr>
          <w:ilvl w:val="0"/>
          <w:numId w:val="50"/>
        </w:numPr>
        <w:rPr>
          <w:lang w:val="en-US"/>
        </w:rPr>
      </w:pPr>
      <w:r>
        <w:rPr>
          <w:lang w:val="en-US"/>
        </w:rPr>
        <w:t>Decide what, if anything</w:t>
      </w:r>
      <w:r w:rsidR="00667470">
        <w:rPr>
          <w:lang w:val="en-US"/>
        </w:rPr>
        <w:t>,</w:t>
      </w:r>
      <w:r>
        <w:rPr>
          <w:lang w:val="en-US"/>
        </w:rPr>
        <w:t xml:space="preserve"> to communicate to employees</w:t>
      </w:r>
    </w:p>
    <w:p w14:paraId="4CE16CF9" w14:textId="77777777" w:rsidR="00DC41C0" w:rsidRPr="00DC41C0" w:rsidRDefault="00DC41C0" w:rsidP="00DC41C0">
      <w:pPr>
        <w:pStyle w:val="MediumGrid2-Accent11"/>
        <w:numPr>
          <w:ilvl w:val="1"/>
          <w:numId w:val="50"/>
        </w:numPr>
        <w:rPr>
          <w:lang w:val="en-US"/>
        </w:rPr>
      </w:pPr>
      <w:r>
        <w:rPr>
          <w:lang w:val="en-US"/>
        </w:rPr>
        <w:t>If communicating up front, determine what information to provide upon request, if any.</w:t>
      </w:r>
    </w:p>
    <w:p w14:paraId="711CB23F" w14:textId="77777777" w:rsidR="00DC41C0" w:rsidRPr="00DC41C0" w:rsidRDefault="00DC41C0" w:rsidP="00E5498D">
      <w:pPr>
        <w:pStyle w:val="MediumGrid2-Accent11"/>
        <w:rPr>
          <w:lang w:val="en-US"/>
        </w:rPr>
      </w:pPr>
    </w:p>
    <w:p w14:paraId="2F840C56" w14:textId="24B3E85A" w:rsidR="005E1BB7" w:rsidRDefault="005E1BB7" w:rsidP="00E5498D">
      <w:pPr>
        <w:pStyle w:val="MediumGrid2-Accent11"/>
        <w:rPr>
          <w:b/>
          <w:bCs/>
          <w:lang w:val="en-US"/>
        </w:rPr>
      </w:pPr>
      <w:r>
        <w:rPr>
          <w:b/>
          <w:bCs/>
          <w:lang w:val="en-US"/>
        </w:rPr>
        <w:t>Conclusion</w:t>
      </w:r>
    </w:p>
    <w:p w14:paraId="223AB19E" w14:textId="26A719EA" w:rsidR="005E1BB7" w:rsidRDefault="005E1BB7" w:rsidP="00E5498D">
      <w:pPr>
        <w:pStyle w:val="MediumGrid2-Accent11"/>
        <w:rPr>
          <w:lang w:val="en-US"/>
        </w:rPr>
      </w:pPr>
      <w:r>
        <w:rPr>
          <w:lang w:val="en-US"/>
        </w:rPr>
        <w:t xml:space="preserve">It is important for employers to keep in mind that any individual settlement amount is likely to be relatively small – e.g., a few hundred dollars for a large employer, and under $100 for any individual employee. So while it will be </w:t>
      </w:r>
      <w:r>
        <w:rPr>
          <w:lang w:val="en-US"/>
        </w:rPr>
        <w:lastRenderedPageBreak/>
        <w:t xml:space="preserve">important to understand the allocation methods and the filing options, perspective is needed when determining whether to propose an alternative allocation formula or engage the services of a third party vendor to assist with this calculation/filing. </w:t>
      </w:r>
      <w:r w:rsidR="00933569">
        <w:rPr>
          <w:lang w:val="en-US"/>
        </w:rPr>
        <w:t>The major changes employers will see (and perhaps benefit from) will be the changes to the Blue Cross members’ practices, which should result in increased market competition and lower payments for employers and employees alike.</w:t>
      </w:r>
    </w:p>
    <w:p w14:paraId="7399FD26" w14:textId="77777777" w:rsidR="00DC41C0" w:rsidRDefault="00DC41C0" w:rsidP="00E5498D">
      <w:pPr>
        <w:pStyle w:val="MediumGrid2-Accent11"/>
        <w:rPr>
          <w:lang w:val="en-US"/>
        </w:rPr>
      </w:pPr>
    </w:p>
    <w:p w14:paraId="22F9A25E" w14:textId="5DD6A8B8" w:rsidR="00DC41C0" w:rsidRDefault="00DC41C0" w:rsidP="00E5498D">
      <w:pPr>
        <w:pStyle w:val="MediumGrid2-Accent11"/>
        <w:rPr>
          <w:lang w:val="en-US"/>
        </w:rPr>
      </w:pPr>
    </w:p>
    <w:p w14:paraId="1AC074D5" w14:textId="77777777" w:rsidR="0012405B" w:rsidRPr="00FE55A9" w:rsidRDefault="0012405B" w:rsidP="00FE55A9">
      <w:pPr>
        <w:pStyle w:val="MediumGrid2-Accent11"/>
        <w:rPr>
          <w:lang w:val="en-US"/>
        </w:rPr>
      </w:pPr>
    </w:p>
    <w:p w14:paraId="47D3152A" w14:textId="77777777" w:rsidR="0047037D" w:rsidRDefault="0047037D" w:rsidP="00D20E25">
      <w:pPr>
        <w:pStyle w:val="MediumGrid2-Accent11"/>
        <w:rPr>
          <w:i/>
          <w:sz w:val="16"/>
          <w:szCs w:val="16"/>
        </w:rPr>
      </w:pPr>
    </w:p>
    <w:p w14:paraId="1E2F7E18" w14:textId="123BDC9D" w:rsidR="008362F4"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4CE06C9A" w14:textId="58B32091" w:rsidR="00E42891" w:rsidRPr="00E42891" w:rsidRDefault="00E42891" w:rsidP="00E42891">
      <w:pPr>
        <w:rPr>
          <w:lang w:val="x-none" w:eastAsia="x-none"/>
        </w:rPr>
      </w:pPr>
    </w:p>
    <w:sectPr w:rsidR="00E42891" w:rsidRPr="00E42891" w:rsidSect="00D20E25">
      <w:footerReference w:type="default" r:id="rId19"/>
      <w:footerReference w:type="first" r:id="rId20"/>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F3D3" w14:textId="77777777" w:rsidR="00CB26A4" w:rsidRDefault="00CB26A4" w:rsidP="00D20E25">
      <w:r>
        <w:separator/>
      </w:r>
    </w:p>
  </w:endnote>
  <w:endnote w:type="continuationSeparator" w:id="0">
    <w:p w14:paraId="1EFAA353" w14:textId="77777777" w:rsidR="00CB26A4" w:rsidRDefault="00CB26A4"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3E7E9C75" w:rsidR="005C07B5" w:rsidRDefault="005C07B5" w:rsidP="00D20E25">
    <w:pPr>
      <w:pStyle w:val="Footer"/>
      <w:jc w:val="center"/>
      <w:rPr>
        <w:lang w:val="en-US"/>
      </w:rPr>
    </w:pPr>
    <w:r w:rsidRPr="006C7EC1">
      <w:t>© 20</w:t>
    </w:r>
    <w:r w:rsidR="0047037D">
      <w:rPr>
        <w:lang w:val="en-US"/>
      </w:rPr>
      <w:t>2</w:t>
    </w:r>
    <w:r w:rsidR="00A373CD">
      <w:rPr>
        <w:lang w:val="en-US"/>
      </w:rPr>
      <w:t>1</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6518D96C" w:rsidR="00777C72" w:rsidRDefault="005C07B5" w:rsidP="00D20E25">
    <w:pPr>
      <w:pStyle w:val="Footer"/>
      <w:jc w:val="center"/>
      <w:rPr>
        <w:lang w:val="en-US"/>
      </w:rPr>
    </w:pPr>
    <w:r>
      <w:t>© 20</w:t>
    </w:r>
    <w:r w:rsidR="00777C72">
      <w:rPr>
        <w:lang w:val="en-US"/>
      </w:rPr>
      <w:t>2</w:t>
    </w:r>
    <w:r w:rsidR="00E42891">
      <w:rPr>
        <w:lang w:val="en-US"/>
      </w:rPr>
      <w:t>1</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58D8D" w14:textId="77777777" w:rsidR="00CB26A4" w:rsidRDefault="00CB26A4" w:rsidP="00D20E25">
      <w:r>
        <w:separator/>
      </w:r>
    </w:p>
  </w:footnote>
  <w:footnote w:type="continuationSeparator" w:id="0">
    <w:p w14:paraId="78F1A33E" w14:textId="77777777" w:rsidR="00CB26A4" w:rsidRDefault="00CB26A4" w:rsidP="00D20E25">
      <w:r>
        <w:continuationSeparator/>
      </w:r>
    </w:p>
  </w:footnote>
  <w:footnote w:id="1">
    <w:p w14:paraId="12519BFE" w14:textId="6B2FC65B" w:rsidR="00C07B27" w:rsidRDefault="00C07B27">
      <w:pPr>
        <w:pStyle w:val="FootnoteText"/>
      </w:pPr>
      <w:r>
        <w:rPr>
          <w:rStyle w:val="FootnoteReference"/>
        </w:rPr>
        <w:footnoteRef/>
      </w:r>
      <w:r>
        <w:t xml:space="preserve"> </w:t>
      </w:r>
      <w:r>
        <w:rPr>
          <w:color w:val="000000"/>
          <w:sz w:val="18"/>
          <w:szCs w:val="18"/>
          <w:shd w:val="clear" w:color="auto" w:fill="FFFFFF"/>
        </w:rPr>
        <w:t>Insured Groups include both employers and other groups (e.g., Taft-Hartley plans, multi-employer welfare arrangements, association health plans, retiree groups, and other non-employer groups).</w:t>
      </w:r>
    </w:p>
  </w:footnote>
  <w:footnote w:id="2">
    <w:p w14:paraId="3BA3F95E" w14:textId="5405F368" w:rsidR="00C07B27" w:rsidRDefault="00C07B27">
      <w:pPr>
        <w:pStyle w:val="FootnoteText"/>
      </w:pPr>
      <w:r>
        <w:rPr>
          <w:rStyle w:val="FootnoteReference"/>
        </w:rPr>
        <w:footnoteRef/>
      </w:r>
      <w:r>
        <w:t xml:space="preserve"> </w:t>
      </w:r>
      <w:r w:rsidR="002E69BD">
        <w:rPr>
          <w:color w:val="000000"/>
          <w:sz w:val="18"/>
          <w:szCs w:val="18"/>
          <w:shd w:val="clear" w:color="auto" w:fill="FFFFFF"/>
        </w:rPr>
        <w:t>Self-Funded Accounts include both employers and other groups (e.g., Taft-Hartley plans, multi-employer welfare arrangements, association health plans, retiree groups, and other non-employer 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73F3CED"/>
    <w:multiLevelType w:val="hybridMultilevel"/>
    <w:tmpl w:val="0A7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6904FB"/>
    <w:multiLevelType w:val="hybridMultilevel"/>
    <w:tmpl w:val="8BDE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2CFF5F00"/>
    <w:multiLevelType w:val="hybridMultilevel"/>
    <w:tmpl w:val="5D22403A"/>
    <w:lvl w:ilvl="0" w:tplc="64988AB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7862B6"/>
    <w:multiLevelType w:val="hybridMultilevel"/>
    <w:tmpl w:val="FB6E5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28096B"/>
    <w:multiLevelType w:val="hybridMultilevel"/>
    <w:tmpl w:val="FB348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7B38B8"/>
    <w:multiLevelType w:val="hybridMultilevel"/>
    <w:tmpl w:val="E0A2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C0B5C25"/>
    <w:multiLevelType w:val="hybridMultilevel"/>
    <w:tmpl w:val="15C2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41A79"/>
    <w:multiLevelType w:val="hybridMultilevel"/>
    <w:tmpl w:val="9AF40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D2130"/>
    <w:multiLevelType w:val="hybridMultilevel"/>
    <w:tmpl w:val="FB348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8"/>
  </w:num>
  <w:num w:numId="3">
    <w:abstractNumId w:val="27"/>
  </w:num>
  <w:num w:numId="4">
    <w:abstractNumId w:val="12"/>
  </w:num>
  <w:num w:numId="5">
    <w:abstractNumId w:val="33"/>
  </w:num>
  <w:num w:numId="6">
    <w:abstractNumId w:val="10"/>
  </w:num>
  <w:num w:numId="7">
    <w:abstractNumId w:val="16"/>
  </w:num>
  <w:num w:numId="8">
    <w:abstractNumId w:val="36"/>
  </w:num>
  <w:num w:numId="9">
    <w:abstractNumId w:val="21"/>
  </w:num>
  <w:num w:numId="10">
    <w:abstractNumId w:val="42"/>
  </w:num>
  <w:num w:numId="11">
    <w:abstractNumId w:val="2"/>
  </w:num>
  <w:num w:numId="12">
    <w:abstractNumId w:val="20"/>
  </w:num>
  <w:num w:numId="13">
    <w:abstractNumId w:val="26"/>
  </w:num>
  <w:num w:numId="14">
    <w:abstractNumId w:val="47"/>
  </w:num>
  <w:num w:numId="15">
    <w:abstractNumId w:val="31"/>
  </w:num>
  <w:num w:numId="16">
    <w:abstractNumId w:val="41"/>
  </w:num>
  <w:num w:numId="17">
    <w:abstractNumId w:val="13"/>
  </w:num>
  <w:num w:numId="18">
    <w:abstractNumId w:val="23"/>
  </w:num>
  <w:num w:numId="19">
    <w:abstractNumId w:val="32"/>
  </w:num>
  <w:num w:numId="20">
    <w:abstractNumId w:val="45"/>
  </w:num>
  <w:num w:numId="21">
    <w:abstractNumId w:val="22"/>
  </w:num>
  <w:num w:numId="22">
    <w:abstractNumId w:val="38"/>
  </w:num>
  <w:num w:numId="23">
    <w:abstractNumId w:val="48"/>
  </w:num>
  <w:num w:numId="24">
    <w:abstractNumId w:val="37"/>
  </w:num>
  <w:num w:numId="25">
    <w:abstractNumId w:val="18"/>
  </w:num>
  <w:num w:numId="26">
    <w:abstractNumId w:val="15"/>
  </w:num>
  <w:num w:numId="27">
    <w:abstractNumId w:val="46"/>
  </w:num>
  <w:num w:numId="28">
    <w:abstractNumId w:val="11"/>
  </w:num>
  <w:num w:numId="29">
    <w:abstractNumId w:val="3"/>
  </w:num>
  <w:num w:numId="30">
    <w:abstractNumId w:val="14"/>
  </w:num>
  <w:num w:numId="31">
    <w:abstractNumId w:val="0"/>
  </w:num>
  <w:num w:numId="32">
    <w:abstractNumId w:val="24"/>
  </w:num>
  <w:num w:numId="33">
    <w:abstractNumId w:val="8"/>
  </w:num>
  <w:num w:numId="34">
    <w:abstractNumId w:val="6"/>
  </w:num>
  <w:num w:numId="35">
    <w:abstractNumId w:val="7"/>
  </w:num>
  <w:num w:numId="36">
    <w:abstractNumId w:val="4"/>
  </w:num>
  <w:num w:numId="37">
    <w:abstractNumId w:val="34"/>
  </w:num>
  <w:num w:numId="38">
    <w:abstractNumId w:val="1"/>
  </w:num>
  <w:num w:numId="39">
    <w:abstractNumId w:val="39"/>
  </w:num>
  <w:num w:numId="40">
    <w:abstractNumId w:val="29"/>
  </w:num>
  <w:num w:numId="41">
    <w:abstractNumId w:val="24"/>
  </w:num>
  <w:num w:numId="42">
    <w:abstractNumId w:val="43"/>
  </w:num>
  <w:num w:numId="43">
    <w:abstractNumId w:val="5"/>
  </w:num>
  <w:num w:numId="44">
    <w:abstractNumId w:val="40"/>
  </w:num>
  <w:num w:numId="45">
    <w:abstractNumId w:val="30"/>
  </w:num>
  <w:num w:numId="46">
    <w:abstractNumId w:val="19"/>
  </w:num>
  <w:num w:numId="47">
    <w:abstractNumId w:val="35"/>
  </w:num>
  <w:num w:numId="48">
    <w:abstractNumId w:val="44"/>
  </w:num>
  <w:num w:numId="49">
    <w:abstractNumId w:val="17"/>
  </w:num>
  <w:num w:numId="5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1992"/>
    <w:rsid w:val="000166F5"/>
    <w:rsid w:val="00017DBA"/>
    <w:rsid w:val="000206A6"/>
    <w:rsid w:val="00026FD3"/>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3ED"/>
    <w:rsid w:val="000A1DB6"/>
    <w:rsid w:val="000A58D7"/>
    <w:rsid w:val="000A697A"/>
    <w:rsid w:val="000A797E"/>
    <w:rsid w:val="000B207F"/>
    <w:rsid w:val="000C41B5"/>
    <w:rsid w:val="000C4336"/>
    <w:rsid w:val="000C5473"/>
    <w:rsid w:val="000E0239"/>
    <w:rsid w:val="000E03AB"/>
    <w:rsid w:val="000E5DD2"/>
    <w:rsid w:val="000E668C"/>
    <w:rsid w:val="000F11E2"/>
    <w:rsid w:val="0010150B"/>
    <w:rsid w:val="00102B71"/>
    <w:rsid w:val="00102C3F"/>
    <w:rsid w:val="00103F85"/>
    <w:rsid w:val="00104680"/>
    <w:rsid w:val="001134F3"/>
    <w:rsid w:val="00113DC9"/>
    <w:rsid w:val="00113F23"/>
    <w:rsid w:val="001152AA"/>
    <w:rsid w:val="00117053"/>
    <w:rsid w:val="0011770E"/>
    <w:rsid w:val="0012405B"/>
    <w:rsid w:val="0012681F"/>
    <w:rsid w:val="00130E49"/>
    <w:rsid w:val="00136B3A"/>
    <w:rsid w:val="00137BDB"/>
    <w:rsid w:val="00140769"/>
    <w:rsid w:val="00142A3F"/>
    <w:rsid w:val="001432A3"/>
    <w:rsid w:val="00144A9C"/>
    <w:rsid w:val="00145D3B"/>
    <w:rsid w:val="00150473"/>
    <w:rsid w:val="00150684"/>
    <w:rsid w:val="00155943"/>
    <w:rsid w:val="00160335"/>
    <w:rsid w:val="00162EDC"/>
    <w:rsid w:val="00166021"/>
    <w:rsid w:val="00171AD4"/>
    <w:rsid w:val="00175D65"/>
    <w:rsid w:val="001824D9"/>
    <w:rsid w:val="00187547"/>
    <w:rsid w:val="001912DE"/>
    <w:rsid w:val="0019308E"/>
    <w:rsid w:val="001A2304"/>
    <w:rsid w:val="001A2A77"/>
    <w:rsid w:val="001A6AA9"/>
    <w:rsid w:val="001A7C6F"/>
    <w:rsid w:val="001B0158"/>
    <w:rsid w:val="001B1A88"/>
    <w:rsid w:val="001B212E"/>
    <w:rsid w:val="001C1FBC"/>
    <w:rsid w:val="001C256F"/>
    <w:rsid w:val="001C70AE"/>
    <w:rsid w:val="001D1306"/>
    <w:rsid w:val="001D2D6E"/>
    <w:rsid w:val="001D58D8"/>
    <w:rsid w:val="001D5DF8"/>
    <w:rsid w:val="001D745D"/>
    <w:rsid w:val="001E1A83"/>
    <w:rsid w:val="001E2972"/>
    <w:rsid w:val="001E37F9"/>
    <w:rsid w:val="001E516C"/>
    <w:rsid w:val="001E622E"/>
    <w:rsid w:val="001E68E8"/>
    <w:rsid w:val="001F0404"/>
    <w:rsid w:val="001F20E5"/>
    <w:rsid w:val="001F4334"/>
    <w:rsid w:val="001F7E84"/>
    <w:rsid w:val="0020023D"/>
    <w:rsid w:val="00200422"/>
    <w:rsid w:val="00200664"/>
    <w:rsid w:val="0020685D"/>
    <w:rsid w:val="00211FC6"/>
    <w:rsid w:val="002168E8"/>
    <w:rsid w:val="00226E7A"/>
    <w:rsid w:val="00231306"/>
    <w:rsid w:val="00233C91"/>
    <w:rsid w:val="00235819"/>
    <w:rsid w:val="00246370"/>
    <w:rsid w:val="00246D41"/>
    <w:rsid w:val="00247077"/>
    <w:rsid w:val="00254861"/>
    <w:rsid w:val="00255A5D"/>
    <w:rsid w:val="00261EFA"/>
    <w:rsid w:val="00265FE3"/>
    <w:rsid w:val="00270D0F"/>
    <w:rsid w:val="00273D4E"/>
    <w:rsid w:val="002743FF"/>
    <w:rsid w:val="00277CAA"/>
    <w:rsid w:val="002855CD"/>
    <w:rsid w:val="00285879"/>
    <w:rsid w:val="0029167B"/>
    <w:rsid w:val="002A51D5"/>
    <w:rsid w:val="002B061B"/>
    <w:rsid w:val="002B12A4"/>
    <w:rsid w:val="002B1570"/>
    <w:rsid w:val="002B67B4"/>
    <w:rsid w:val="002C078D"/>
    <w:rsid w:val="002C0D6F"/>
    <w:rsid w:val="002C2E85"/>
    <w:rsid w:val="002C4ADB"/>
    <w:rsid w:val="002C7644"/>
    <w:rsid w:val="002D198D"/>
    <w:rsid w:val="002D2E6A"/>
    <w:rsid w:val="002D6E4B"/>
    <w:rsid w:val="002E3F16"/>
    <w:rsid w:val="002E41EF"/>
    <w:rsid w:val="002E69BD"/>
    <w:rsid w:val="002F1D78"/>
    <w:rsid w:val="002F1ECE"/>
    <w:rsid w:val="002F2BFF"/>
    <w:rsid w:val="002F3FBC"/>
    <w:rsid w:val="002F5B6A"/>
    <w:rsid w:val="002F7CDF"/>
    <w:rsid w:val="002F7E7A"/>
    <w:rsid w:val="00300E55"/>
    <w:rsid w:val="0030426E"/>
    <w:rsid w:val="00305BBB"/>
    <w:rsid w:val="00305FF6"/>
    <w:rsid w:val="0030643D"/>
    <w:rsid w:val="003105DC"/>
    <w:rsid w:val="00310796"/>
    <w:rsid w:val="00311883"/>
    <w:rsid w:val="0031191B"/>
    <w:rsid w:val="00311D22"/>
    <w:rsid w:val="00314066"/>
    <w:rsid w:val="00317F9F"/>
    <w:rsid w:val="003231B2"/>
    <w:rsid w:val="0032466D"/>
    <w:rsid w:val="0032654A"/>
    <w:rsid w:val="00327CAE"/>
    <w:rsid w:val="00332855"/>
    <w:rsid w:val="003332F7"/>
    <w:rsid w:val="0033539F"/>
    <w:rsid w:val="00337651"/>
    <w:rsid w:val="00341F9B"/>
    <w:rsid w:val="00342727"/>
    <w:rsid w:val="003445CB"/>
    <w:rsid w:val="00344DB8"/>
    <w:rsid w:val="0034691B"/>
    <w:rsid w:val="00351813"/>
    <w:rsid w:val="00351F59"/>
    <w:rsid w:val="003536E9"/>
    <w:rsid w:val="00355C5F"/>
    <w:rsid w:val="0035725D"/>
    <w:rsid w:val="003606B3"/>
    <w:rsid w:val="00360D2B"/>
    <w:rsid w:val="00367D54"/>
    <w:rsid w:val="00373838"/>
    <w:rsid w:val="0037534B"/>
    <w:rsid w:val="00376CF8"/>
    <w:rsid w:val="00376E7C"/>
    <w:rsid w:val="003771E3"/>
    <w:rsid w:val="00377A73"/>
    <w:rsid w:val="00383956"/>
    <w:rsid w:val="00386166"/>
    <w:rsid w:val="00387CD9"/>
    <w:rsid w:val="003902B6"/>
    <w:rsid w:val="003902B9"/>
    <w:rsid w:val="00391C98"/>
    <w:rsid w:val="0039272A"/>
    <w:rsid w:val="00397F1D"/>
    <w:rsid w:val="003A15A0"/>
    <w:rsid w:val="003A234A"/>
    <w:rsid w:val="003A2A5D"/>
    <w:rsid w:val="003A4580"/>
    <w:rsid w:val="003A5845"/>
    <w:rsid w:val="003A5F0F"/>
    <w:rsid w:val="003B0730"/>
    <w:rsid w:val="003B180D"/>
    <w:rsid w:val="003B2A42"/>
    <w:rsid w:val="003B3F75"/>
    <w:rsid w:val="003B4B3C"/>
    <w:rsid w:val="003B64CD"/>
    <w:rsid w:val="003B7105"/>
    <w:rsid w:val="003C5B3D"/>
    <w:rsid w:val="003C7654"/>
    <w:rsid w:val="003D2FCB"/>
    <w:rsid w:val="003D338A"/>
    <w:rsid w:val="003D3ABE"/>
    <w:rsid w:val="003D3C05"/>
    <w:rsid w:val="003D5BB6"/>
    <w:rsid w:val="003D7F91"/>
    <w:rsid w:val="003E4B61"/>
    <w:rsid w:val="003E5815"/>
    <w:rsid w:val="003F1194"/>
    <w:rsid w:val="003F2783"/>
    <w:rsid w:val="0040100E"/>
    <w:rsid w:val="004019B7"/>
    <w:rsid w:val="00402CF5"/>
    <w:rsid w:val="00403DFE"/>
    <w:rsid w:val="004067B9"/>
    <w:rsid w:val="00410AFB"/>
    <w:rsid w:val="00411921"/>
    <w:rsid w:val="00413426"/>
    <w:rsid w:val="00415D77"/>
    <w:rsid w:val="004164F1"/>
    <w:rsid w:val="0041766D"/>
    <w:rsid w:val="00421453"/>
    <w:rsid w:val="00421B4B"/>
    <w:rsid w:val="00424799"/>
    <w:rsid w:val="00425A06"/>
    <w:rsid w:val="00431F60"/>
    <w:rsid w:val="004340FF"/>
    <w:rsid w:val="00442014"/>
    <w:rsid w:val="00442266"/>
    <w:rsid w:val="0045000F"/>
    <w:rsid w:val="00453012"/>
    <w:rsid w:val="004534C5"/>
    <w:rsid w:val="00453816"/>
    <w:rsid w:val="00456944"/>
    <w:rsid w:val="0046122B"/>
    <w:rsid w:val="00464CBE"/>
    <w:rsid w:val="00465975"/>
    <w:rsid w:val="00467218"/>
    <w:rsid w:val="00467FDA"/>
    <w:rsid w:val="0047037D"/>
    <w:rsid w:val="004827D1"/>
    <w:rsid w:val="004870C3"/>
    <w:rsid w:val="00487B4C"/>
    <w:rsid w:val="00494DA2"/>
    <w:rsid w:val="004A2E69"/>
    <w:rsid w:val="004A39D7"/>
    <w:rsid w:val="004A65BB"/>
    <w:rsid w:val="004B2781"/>
    <w:rsid w:val="004B2E8E"/>
    <w:rsid w:val="004B3E30"/>
    <w:rsid w:val="004B4147"/>
    <w:rsid w:val="004B6441"/>
    <w:rsid w:val="004B7528"/>
    <w:rsid w:val="004C685A"/>
    <w:rsid w:val="004D6488"/>
    <w:rsid w:val="004D76A4"/>
    <w:rsid w:val="004E114C"/>
    <w:rsid w:val="004E1AD4"/>
    <w:rsid w:val="004E22B0"/>
    <w:rsid w:val="004E4565"/>
    <w:rsid w:val="004F0122"/>
    <w:rsid w:val="004F2946"/>
    <w:rsid w:val="004F321B"/>
    <w:rsid w:val="004F38E5"/>
    <w:rsid w:val="004F4484"/>
    <w:rsid w:val="004F671B"/>
    <w:rsid w:val="004F6FAB"/>
    <w:rsid w:val="00501E0D"/>
    <w:rsid w:val="0051372C"/>
    <w:rsid w:val="00515240"/>
    <w:rsid w:val="00515A9A"/>
    <w:rsid w:val="00521168"/>
    <w:rsid w:val="00521F45"/>
    <w:rsid w:val="005224F1"/>
    <w:rsid w:val="00523925"/>
    <w:rsid w:val="0052609C"/>
    <w:rsid w:val="005306E8"/>
    <w:rsid w:val="00532F84"/>
    <w:rsid w:val="00535F03"/>
    <w:rsid w:val="005378A2"/>
    <w:rsid w:val="00540CCF"/>
    <w:rsid w:val="00554B62"/>
    <w:rsid w:val="00554D66"/>
    <w:rsid w:val="0055601F"/>
    <w:rsid w:val="0055764A"/>
    <w:rsid w:val="005632CE"/>
    <w:rsid w:val="00564D20"/>
    <w:rsid w:val="005660E9"/>
    <w:rsid w:val="0056690A"/>
    <w:rsid w:val="005718C3"/>
    <w:rsid w:val="005816B0"/>
    <w:rsid w:val="00581F18"/>
    <w:rsid w:val="00584C07"/>
    <w:rsid w:val="00584F1A"/>
    <w:rsid w:val="005851D4"/>
    <w:rsid w:val="00586571"/>
    <w:rsid w:val="0058733A"/>
    <w:rsid w:val="005926DA"/>
    <w:rsid w:val="00595A34"/>
    <w:rsid w:val="005A6998"/>
    <w:rsid w:val="005B0103"/>
    <w:rsid w:val="005B2609"/>
    <w:rsid w:val="005B3CCD"/>
    <w:rsid w:val="005B4E77"/>
    <w:rsid w:val="005B7868"/>
    <w:rsid w:val="005C07B5"/>
    <w:rsid w:val="005C2382"/>
    <w:rsid w:val="005D1DEB"/>
    <w:rsid w:val="005D2525"/>
    <w:rsid w:val="005E0615"/>
    <w:rsid w:val="005E1BB7"/>
    <w:rsid w:val="005E4301"/>
    <w:rsid w:val="005E74DC"/>
    <w:rsid w:val="005F0D4C"/>
    <w:rsid w:val="005F1993"/>
    <w:rsid w:val="005F2269"/>
    <w:rsid w:val="005F3780"/>
    <w:rsid w:val="005F4D3F"/>
    <w:rsid w:val="005F6038"/>
    <w:rsid w:val="005F683F"/>
    <w:rsid w:val="005F6984"/>
    <w:rsid w:val="00600FC4"/>
    <w:rsid w:val="006034D7"/>
    <w:rsid w:val="00605355"/>
    <w:rsid w:val="006102F4"/>
    <w:rsid w:val="00613D28"/>
    <w:rsid w:val="006149F2"/>
    <w:rsid w:val="006158BC"/>
    <w:rsid w:val="00615DB3"/>
    <w:rsid w:val="00616FD0"/>
    <w:rsid w:val="006267B7"/>
    <w:rsid w:val="006334BA"/>
    <w:rsid w:val="00633D0E"/>
    <w:rsid w:val="00640B01"/>
    <w:rsid w:val="00640DFF"/>
    <w:rsid w:val="0064621F"/>
    <w:rsid w:val="006466D7"/>
    <w:rsid w:val="00652E75"/>
    <w:rsid w:val="006577E9"/>
    <w:rsid w:val="00667470"/>
    <w:rsid w:val="00667C3C"/>
    <w:rsid w:val="006717AA"/>
    <w:rsid w:val="0067395F"/>
    <w:rsid w:val="00675439"/>
    <w:rsid w:val="00683EE3"/>
    <w:rsid w:val="00685C8D"/>
    <w:rsid w:val="00686AFD"/>
    <w:rsid w:val="006924DC"/>
    <w:rsid w:val="00692FD4"/>
    <w:rsid w:val="0069560F"/>
    <w:rsid w:val="00696ABA"/>
    <w:rsid w:val="0069708F"/>
    <w:rsid w:val="006A167F"/>
    <w:rsid w:val="006A3F2D"/>
    <w:rsid w:val="006A61F3"/>
    <w:rsid w:val="006A716A"/>
    <w:rsid w:val="006B1545"/>
    <w:rsid w:val="006B1E0F"/>
    <w:rsid w:val="006B23FC"/>
    <w:rsid w:val="006B28BC"/>
    <w:rsid w:val="006B35C9"/>
    <w:rsid w:val="006C227F"/>
    <w:rsid w:val="006C3EE1"/>
    <w:rsid w:val="006C6E78"/>
    <w:rsid w:val="006C7B72"/>
    <w:rsid w:val="006C7EC1"/>
    <w:rsid w:val="006D14FE"/>
    <w:rsid w:val="006D5631"/>
    <w:rsid w:val="006E0112"/>
    <w:rsid w:val="006E0D2A"/>
    <w:rsid w:val="006E1247"/>
    <w:rsid w:val="006E42C0"/>
    <w:rsid w:val="006E7E55"/>
    <w:rsid w:val="006F6C41"/>
    <w:rsid w:val="0070115B"/>
    <w:rsid w:val="00701E9A"/>
    <w:rsid w:val="00702E6B"/>
    <w:rsid w:val="00704336"/>
    <w:rsid w:val="00705AFD"/>
    <w:rsid w:val="00713909"/>
    <w:rsid w:val="00713D88"/>
    <w:rsid w:val="007208C3"/>
    <w:rsid w:val="00736A9B"/>
    <w:rsid w:val="007404ED"/>
    <w:rsid w:val="007508F7"/>
    <w:rsid w:val="0075284B"/>
    <w:rsid w:val="007571ED"/>
    <w:rsid w:val="007645FD"/>
    <w:rsid w:val="00764ACB"/>
    <w:rsid w:val="00764D79"/>
    <w:rsid w:val="00764F88"/>
    <w:rsid w:val="007705AC"/>
    <w:rsid w:val="007709F7"/>
    <w:rsid w:val="00771E34"/>
    <w:rsid w:val="0077650C"/>
    <w:rsid w:val="00776816"/>
    <w:rsid w:val="007773AA"/>
    <w:rsid w:val="00777C72"/>
    <w:rsid w:val="00781D99"/>
    <w:rsid w:val="007821CE"/>
    <w:rsid w:val="0078577D"/>
    <w:rsid w:val="00785C03"/>
    <w:rsid w:val="00787C9C"/>
    <w:rsid w:val="007908B7"/>
    <w:rsid w:val="00793F43"/>
    <w:rsid w:val="007A04A1"/>
    <w:rsid w:val="007A5C28"/>
    <w:rsid w:val="007A5F8B"/>
    <w:rsid w:val="007B1214"/>
    <w:rsid w:val="007B1E18"/>
    <w:rsid w:val="007B4885"/>
    <w:rsid w:val="007B5719"/>
    <w:rsid w:val="007B7B05"/>
    <w:rsid w:val="007C3D13"/>
    <w:rsid w:val="007C4419"/>
    <w:rsid w:val="007C7637"/>
    <w:rsid w:val="007C77AA"/>
    <w:rsid w:val="007C7C7C"/>
    <w:rsid w:val="007D2D09"/>
    <w:rsid w:val="007D3E4D"/>
    <w:rsid w:val="007E18DE"/>
    <w:rsid w:val="007E193A"/>
    <w:rsid w:val="007E2565"/>
    <w:rsid w:val="007E2732"/>
    <w:rsid w:val="007E377B"/>
    <w:rsid w:val="007E4665"/>
    <w:rsid w:val="007E53F1"/>
    <w:rsid w:val="007E6C1D"/>
    <w:rsid w:val="007F33CC"/>
    <w:rsid w:val="007F34B4"/>
    <w:rsid w:val="007F5AD3"/>
    <w:rsid w:val="007F74EB"/>
    <w:rsid w:val="007F7F93"/>
    <w:rsid w:val="008020F4"/>
    <w:rsid w:val="0080349F"/>
    <w:rsid w:val="00804237"/>
    <w:rsid w:val="008052A3"/>
    <w:rsid w:val="00807AED"/>
    <w:rsid w:val="00807B7A"/>
    <w:rsid w:val="008100A8"/>
    <w:rsid w:val="00817D5E"/>
    <w:rsid w:val="00820177"/>
    <w:rsid w:val="0082082D"/>
    <w:rsid w:val="00827F6A"/>
    <w:rsid w:val="0083063B"/>
    <w:rsid w:val="00830ADC"/>
    <w:rsid w:val="00833027"/>
    <w:rsid w:val="008351DA"/>
    <w:rsid w:val="008362F4"/>
    <w:rsid w:val="00840509"/>
    <w:rsid w:val="008477BE"/>
    <w:rsid w:val="00853CBD"/>
    <w:rsid w:val="00855527"/>
    <w:rsid w:val="008557A4"/>
    <w:rsid w:val="00861448"/>
    <w:rsid w:val="008615C4"/>
    <w:rsid w:val="0086304F"/>
    <w:rsid w:val="008655E0"/>
    <w:rsid w:val="00866B99"/>
    <w:rsid w:val="00871F0C"/>
    <w:rsid w:val="0087409B"/>
    <w:rsid w:val="00884D41"/>
    <w:rsid w:val="008922E4"/>
    <w:rsid w:val="008928A9"/>
    <w:rsid w:val="008932B8"/>
    <w:rsid w:val="00895DB7"/>
    <w:rsid w:val="00897617"/>
    <w:rsid w:val="008A2216"/>
    <w:rsid w:val="008A5DF8"/>
    <w:rsid w:val="008A65DA"/>
    <w:rsid w:val="008A7B89"/>
    <w:rsid w:val="008B7373"/>
    <w:rsid w:val="008C0F72"/>
    <w:rsid w:val="008C712B"/>
    <w:rsid w:val="008D0598"/>
    <w:rsid w:val="008D0854"/>
    <w:rsid w:val="008D2CED"/>
    <w:rsid w:val="008D3E7A"/>
    <w:rsid w:val="008D5BAD"/>
    <w:rsid w:val="008E2AFE"/>
    <w:rsid w:val="008E2D74"/>
    <w:rsid w:val="008E4117"/>
    <w:rsid w:val="008E61FE"/>
    <w:rsid w:val="008F0F5D"/>
    <w:rsid w:val="008F3C4B"/>
    <w:rsid w:val="008F6B65"/>
    <w:rsid w:val="0090581B"/>
    <w:rsid w:val="00911F01"/>
    <w:rsid w:val="0091491E"/>
    <w:rsid w:val="00920883"/>
    <w:rsid w:val="00922438"/>
    <w:rsid w:val="00930D43"/>
    <w:rsid w:val="009312C4"/>
    <w:rsid w:val="00933569"/>
    <w:rsid w:val="00933CF8"/>
    <w:rsid w:val="00935D00"/>
    <w:rsid w:val="00937411"/>
    <w:rsid w:val="00941C8D"/>
    <w:rsid w:val="00951D03"/>
    <w:rsid w:val="009536DD"/>
    <w:rsid w:val="00953A12"/>
    <w:rsid w:val="00953E85"/>
    <w:rsid w:val="00954AA6"/>
    <w:rsid w:val="00960CC6"/>
    <w:rsid w:val="00977366"/>
    <w:rsid w:val="009832FD"/>
    <w:rsid w:val="00990994"/>
    <w:rsid w:val="0099275F"/>
    <w:rsid w:val="00996967"/>
    <w:rsid w:val="009A4AD6"/>
    <w:rsid w:val="009B0482"/>
    <w:rsid w:val="009B0614"/>
    <w:rsid w:val="009B3D09"/>
    <w:rsid w:val="009B4ECC"/>
    <w:rsid w:val="009B580E"/>
    <w:rsid w:val="009B5ABE"/>
    <w:rsid w:val="009C3F26"/>
    <w:rsid w:val="009C5E1D"/>
    <w:rsid w:val="009C6F68"/>
    <w:rsid w:val="009D2536"/>
    <w:rsid w:val="009D30FA"/>
    <w:rsid w:val="009D3637"/>
    <w:rsid w:val="009D6B8F"/>
    <w:rsid w:val="009D73B3"/>
    <w:rsid w:val="009E1349"/>
    <w:rsid w:val="009E2006"/>
    <w:rsid w:val="009E21BA"/>
    <w:rsid w:val="009E2F97"/>
    <w:rsid w:val="009E3F02"/>
    <w:rsid w:val="009E43E3"/>
    <w:rsid w:val="009E7E96"/>
    <w:rsid w:val="009F0B20"/>
    <w:rsid w:val="009F0EFE"/>
    <w:rsid w:val="009F1035"/>
    <w:rsid w:val="009F112E"/>
    <w:rsid w:val="009F1736"/>
    <w:rsid w:val="009F664E"/>
    <w:rsid w:val="00A03409"/>
    <w:rsid w:val="00A04BF4"/>
    <w:rsid w:val="00A065E4"/>
    <w:rsid w:val="00A06657"/>
    <w:rsid w:val="00A10143"/>
    <w:rsid w:val="00A10ACE"/>
    <w:rsid w:val="00A139C1"/>
    <w:rsid w:val="00A20097"/>
    <w:rsid w:val="00A21DC4"/>
    <w:rsid w:val="00A318A7"/>
    <w:rsid w:val="00A32D97"/>
    <w:rsid w:val="00A35CFA"/>
    <w:rsid w:val="00A373CD"/>
    <w:rsid w:val="00A45E46"/>
    <w:rsid w:val="00A50245"/>
    <w:rsid w:val="00A51003"/>
    <w:rsid w:val="00A51D54"/>
    <w:rsid w:val="00A54B1E"/>
    <w:rsid w:val="00A62B5A"/>
    <w:rsid w:val="00A65FD1"/>
    <w:rsid w:val="00A671B6"/>
    <w:rsid w:val="00A72ADC"/>
    <w:rsid w:val="00A92AE3"/>
    <w:rsid w:val="00A94DC8"/>
    <w:rsid w:val="00A9585D"/>
    <w:rsid w:val="00A960B0"/>
    <w:rsid w:val="00AA01D6"/>
    <w:rsid w:val="00AA1533"/>
    <w:rsid w:val="00AA285A"/>
    <w:rsid w:val="00AA3E90"/>
    <w:rsid w:val="00AA6A57"/>
    <w:rsid w:val="00AB08D4"/>
    <w:rsid w:val="00AB0F84"/>
    <w:rsid w:val="00AB1C85"/>
    <w:rsid w:val="00AB2DCF"/>
    <w:rsid w:val="00AC103F"/>
    <w:rsid w:val="00AC60D1"/>
    <w:rsid w:val="00AD14A0"/>
    <w:rsid w:val="00AD4422"/>
    <w:rsid w:val="00AD5589"/>
    <w:rsid w:val="00AD5E20"/>
    <w:rsid w:val="00AE101C"/>
    <w:rsid w:val="00AE1425"/>
    <w:rsid w:val="00AE2B47"/>
    <w:rsid w:val="00AE33B8"/>
    <w:rsid w:val="00AF0B9D"/>
    <w:rsid w:val="00AF16AA"/>
    <w:rsid w:val="00AF2D80"/>
    <w:rsid w:val="00AF39E2"/>
    <w:rsid w:val="00AF61C3"/>
    <w:rsid w:val="00B00F33"/>
    <w:rsid w:val="00B03D53"/>
    <w:rsid w:val="00B044DF"/>
    <w:rsid w:val="00B13068"/>
    <w:rsid w:val="00B14799"/>
    <w:rsid w:val="00B15106"/>
    <w:rsid w:val="00B16218"/>
    <w:rsid w:val="00B23092"/>
    <w:rsid w:val="00B3020C"/>
    <w:rsid w:val="00B32724"/>
    <w:rsid w:val="00B347E4"/>
    <w:rsid w:val="00B37088"/>
    <w:rsid w:val="00B44187"/>
    <w:rsid w:val="00B470C4"/>
    <w:rsid w:val="00B51719"/>
    <w:rsid w:val="00B53399"/>
    <w:rsid w:val="00B53A94"/>
    <w:rsid w:val="00B554D2"/>
    <w:rsid w:val="00B55BBA"/>
    <w:rsid w:val="00B57B5E"/>
    <w:rsid w:val="00B6090B"/>
    <w:rsid w:val="00B61220"/>
    <w:rsid w:val="00B61B12"/>
    <w:rsid w:val="00B63C1D"/>
    <w:rsid w:val="00B66B60"/>
    <w:rsid w:val="00B75819"/>
    <w:rsid w:val="00B75CBA"/>
    <w:rsid w:val="00B76EE4"/>
    <w:rsid w:val="00B77E7B"/>
    <w:rsid w:val="00B803FC"/>
    <w:rsid w:val="00B8463D"/>
    <w:rsid w:val="00B85CE3"/>
    <w:rsid w:val="00B90848"/>
    <w:rsid w:val="00B9310B"/>
    <w:rsid w:val="00B9448D"/>
    <w:rsid w:val="00B96BF7"/>
    <w:rsid w:val="00BA0FD3"/>
    <w:rsid w:val="00BA6FBA"/>
    <w:rsid w:val="00BB01DD"/>
    <w:rsid w:val="00BC1A1E"/>
    <w:rsid w:val="00BC1E4F"/>
    <w:rsid w:val="00BC5BB5"/>
    <w:rsid w:val="00BC6C2A"/>
    <w:rsid w:val="00BD04F4"/>
    <w:rsid w:val="00BD2EC1"/>
    <w:rsid w:val="00BE0984"/>
    <w:rsid w:val="00BE1037"/>
    <w:rsid w:val="00BE24DE"/>
    <w:rsid w:val="00BE29AF"/>
    <w:rsid w:val="00BE5FA7"/>
    <w:rsid w:val="00BE79B8"/>
    <w:rsid w:val="00BF232B"/>
    <w:rsid w:val="00BF49EF"/>
    <w:rsid w:val="00BF4E48"/>
    <w:rsid w:val="00C02514"/>
    <w:rsid w:val="00C0500E"/>
    <w:rsid w:val="00C07B27"/>
    <w:rsid w:val="00C14297"/>
    <w:rsid w:val="00C23BF9"/>
    <w:rsid w:val="00C24151"/>
    <w:rsid w:val="00C24CC8"/>
    <w:rsid w:val="00C24FCB"/>
    <w:rsid w:val="00C30FAA"/>
    <w:rsid w:val="00C3189E"/>
    <w:rsid w:val="00C37884"/>
    <w:rsid w:val="00C43186"/>
    <w:rsid w:val="00C43827"/>
    <w:rsid w:val="00C4573C"/>
    <w:rsid w:val="00C5131D"/>
    <w:rsid w:val="00C60F20"/>
    <w:rsid w:val="00C61CCE"/>
    <w:rsid w:val="00C62CC2"/>
    <w:rsid w:val="00C70F5A"/>
    <w:rsid w:val="00C83A55"/>
    <w:rsid w:val="00C85BF0"/>
    <w:rsid w:val="00C87D79"/>
    <w:rsid w:val="00C92D28"/>
    <w:rsid w:val="00CA6438"/>
    <w:rsid w:val="00CB0C4C"/>
    <w:rsid w:val="00CB2087"/>
    <w:rsid w:val="00CB26A4"/>
    <w:rsid w:val="00CB7F8B"/>
    <w:rsid w:val="00CC0811"/>
    <w:rsid w:val="00CC5B7D"/>
    <w:rsid w:val="00CC5C69"/>
    <w:rsid w:val="00CD31C2"/>
    <w:rsid w:val="00CD3AB1"/>
    <w:rsid w:val="00CD6579"/>
    <w:rsid w:val="00CD6C4A"/>
    <w:rsid w:val="00CE14FB"/>
    <w:rsid w:val="00CE15AE"/>
    <w:rsid w:val="00CE2D96"/>
    <w:rsid w:val="00CE6228"/>
    <w:rsid w:val="00CE6B1B"/>
    <w:rsid w:val="00CF4A0C"/>
    <w:rsid w:val="00CF5294"/>
    <w:rsid w:val="00CF6E62"/>
    <w:rsid w:val="00D00064"/>
    <w:rsid w:val="00D0013D"/>
    <w:rsid w:val="00D04A21"/>
    <w:rsid w:val="00D05C20"/>
    <w:rsid w:val="00D10175"/>
    <w:rsid w:val="00D11913"/>
    <w:rsid w:val="00D12D97"/>
    <w:rsid w:val="00D12E64"/>
    <w:rsid w:val="00D1467F"/>
    <w:rsid w:val="00D20023"/>
    <w:rsid w:val="00D209A7"/>
    <w:rsid w:val="00D20BE7"/>
    <w:rsid w:val="00D20E25"/>
    <w:rsid w:val="00D2204C"/>
    <w:rsid w:val="00D257AA"/>
    <w:rsid w:val="00D31672"/>
    <w:rsid w:val="00D32DF1"/>
    <w:rsid w:val="00D339BA"/>
    <w:rsid w:val="00D33FE0"/>
    <w:rsid w:val="00D36388"/>
    <w:rsid w:val="00D37739"/>
    <w:rsid w:val="00D44714"/>
    <w:rsid w:val="00D44E36"/>
    <w:rsid w:val="00D461DB"/>
    <w:rsid w:val="00D513B0"/>
    <w:rsid w:val="00D51832"/>
    <w:rsid w:val="00D53AA5"/>
    <w:rsid w:val="00D613B1"/>
    <w:rsid w:val="00D636DB"/>
    <w:rsid w:val="00D67829"/>
    <w:rsid w:val="00D67C92"/>
    <w:rsid w:val="00D72AD6"/>
    <w:rsid w:val="00D73543"/>
    <w:rsid w:val="00D75540"/>
    <w:rsid w:val="00D75902"/>
    <w:rsid w:val="00D7694A"/>
    <w:rsid w:val="00D76D80"/>
    <w:rsid w:val="00D82A96"/>
    <w:rsid w:val="00D84DDC"/>
    <w:rsid w:val="00D87ED1"/>
    <w:rsid w:val="00D93AFE"/>
    <w:rsid w:val="00D951AF"/>
    <w:rsid w:val="00D95C74"/>
    <w:rsid w:val="00D967F0"/>
    <w:rsid w:val="00D975E7"/>
    <w:rsid w:val="00DA0175"/>
    <w:rsid w:val="00DA04AC"/>
    <w:rsid w:val="00DA1860"/>
    <w:rsid w:val="00DA5084"/>
    <w:rsid w:val="00DA5878"/>
    <w:rsid w:val="00DA6314"/>
    <w:rsid w:val="00DA64DB"/>
    <w:rsid w:val="00DB1126"/>
    <w:rsid w:val="00DB17F7"/>
    <w:rsid w:val="00DB1B08"/>
    <w:rsid w:val="00DB46C3"/>
    <w:rsid w:val="00DB553D"/>
    <w:rsid w:val="00DC41C0"/>
    <w:rsid w:val="00DC5B8F"/>
    <w:rsid w:val="00DC715C"/>
    <w:rsid w:val="00DC76EB"/>
    <w:rsid w:val="00DD1020"/>
    <w:rsid w:val="00DD1F73"/>
    <w:rsid w:val="00DD3692"/>
    <w:rsid w:val="00DD5D45"/>
    <w:rsid w:val="00DE2CB3"/>
    <w:rsid w:val="00DE2CEC"/>
    <w:rsid w:val="00DE2E6F"/>
    <w:rsid w:val="00DE3D73"/>
    <w:rsid w:val="00DE428B"/>
    <w:rsid w:val="00DE4F74"/>
    <w:rsid w:val="00DF24C0"/>
    <w:rsid w:val="00DF5014"/>
    <w:rsid w:val="00DF5D23"/>
    <w:rsid w:val="00E0273B"/>
    <w:rsid w:val="00E03088"/>
    <w:rsid w:val="00E10762"/>
    <w:rsid w:val="00E15EAE"/>
    <w:rsid w:val="00E17B5E"/>
    <w:rsid w:val="00E269D4"/>
    <w:rsid w:val="00E27423"/>
    <w:rsid w:val="00E30F4F"/>
    <w:rsid w:val="00E3115A"/>
    <w:rsid w:val="00E34058"/>
    <w:rsid w:val="00E342B7"/>
    <w:rsid w:val="00E37B09"/>
    <w:rsid w:val="00E42891"/>
    <w:rsid w:val="00E43BF8"/>
    <w:rsid w:val="00E44F0B"/>
    <w:rsid w:val="00E46F87"/>
    <w:rsid w:val="00E53468"/>
    <w:rsid w:val="00E53CBA"/>
    <w:rsid w:val="00E5498D"/>
    <w:rsid w:val="00E60066"/>
    <w:rsid w:val="00E616C0"/>
    <w:rsid w:val="00E74BEA"/>
    <w:rsid w:val="00E76581"/>
    <w:rsid w:val="00E773C4"/>
    <w:rsid w:val="00E85813"/>
    <w:rsid w:val="00E85FF7"/>
    <w:rsid w:val="00E94CD8"/>
    <w:rsid w:val="00EA7801"/>
    <w:rsid w:val="00EB2B80"/>
    <w:rsid w:val="00EB2BD4"/>
    <w:rsid w:val="00EB51B4"/>
    <w:rsid w:val="00EB6293"/>
    <w:rsid w:val="00EB76AE"/>
    <w:rsid w:val="00EC224B"/>
    <w:rsid w:val="00EC4305"/>
    <w:rsid w:val="00EC5BE9"/>
    <w:rsid w:val="00EC7661"/>
    <w:rsid w:val="00ED0E7A"/>
    <w:rsid w:val="00ED3020"/>
    <w:rsid w:val="00ED57B4"/>
    <w:rsid w:val="00EE0D2F"/>
    <w:rsid w:val="00EE57CF"/>
    <w:rsid w:val="00EE6FBD"/>
    <w:rsid w:val="00EF1C04"/>
    <w:rsid w:val="00EF7919"/>
    <w:rsid w:val="00F03C4B"/>
    <w:rsid w:val="00F04145"/>
    <w:rsid w:val="00F05E10"/>
    <w:rsid w:val="00F06079"/>
    <w:rsid w:val="00F173C4"/>
    <w:rsid w:val="00F17D10"/>
    <w:rsid w:val="00F23443"/>
    <w:rsid w:val="00F236BE"/>
    <w:rsid w:val="00F33F3C"/>
    <w:rsid w:val="00F3534D"/>
    <w:rsid w:val="00F40D38"/>
    <w:rsid w:val="00F46176"/>
    <w:rsid w:val="00F4702D"/>
    <w:rsid w:val="00F50A82"/>
    <w:rsid w:val="00F51BB5"/>
    <w:rsid w:val="00F51DF1"/>
    <w:rsid w:val="00F535E7"/>
    <w:rsid w:val="00F55CEF"/>
    <w:rsid w:val="00F56032"/>
    <w:rsid w:val="00F562CC"/>
    <w:rsid w:val="00F617E4"/>
    <w:rsid w:val="00F63D69"/>
    <w:rsid w:val="00F64CBE"/>
    <w:rsid w:val="00F66941"/>
    <w:rsid w:val="00F70B22"/>
    <w:rsid w:val="00F75275"/>
    <w:rsid w:val="00F7612B"/>
    <w:rsid w:val="00F80D9C"/>
    <w:rsid w:val="00F83367"/>
    <w:rsid w:val="00F834A7"/>
    <w:rsid w:val="00F84168"/>
    <w:rsid w:val="00F84461"/>
    <w:rsid w:val="00F85C49"/>
    <w:rsid w:val="00F877B8"/>
    <w:rsid w:val="00F91499"/>
    <w:rsid w:val="00F91756"/>
    <w:rsid w:val="00F91C41"/>
    <w:rsid w:val="00F942A1"/>
    <w:rsid w:val="00F949F2"/>
    <w:rsid w:val="00F96382"/>
    <w:rsid w:val="00F96597"/>
    <w:rsid w:val="00FA0739"/>
    <w:rsid w:val="00FA2F25"/>
    <w:rsid w:val="00FA4594"/>
    <w:rsid w:val="00FA4C44"/>
    <w:rsid w:val="00FA7D1E"/>
    <w:rsid w:val="00FB0360"/>
    <w:rsid w:val="00FB1408"/>
    <w:rsid w:val="00FB3435"/>
    <w:rsid w:val="00FB6812"/>
    <w:rsid w:val="00FD0F26"/>
    <w:rsid w:val="00FD20BF"/>
    <w:rsid w:val="00FD74A4"/>
    <w:rsid w:val="00FE3CBC"/>
    <w:rsid w:val="00FE55A9"/>
    <w:rsid w:val="00FE5F9B"/>
    <w:rsid w:val="00FE7E7C"/>
    <w:rsid w:val="00FF1F6A"/>
    <w:rsid w:val="00FF250C"/>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 w:type="paragraph" w:styleId="FootnoteText">
    <w:name w:val="footnote text"/>
    <w:basedOn w:val="Normal"/>
    <w:link w:val="FootnoteTextChar"/>
    <w:uiPriority w:val="99"/>
    <w:semiHidden/>
    <w:unhideWhenUsed/>
    <w:rsid w:val="00C07B27"/>
  </w:style>
  <w:style w:type="character" w:customStyle="1" w:styleId="FootnoteTextChar">
    <w:name w:val="Footnote Text Char"/>
    <w:basedOn w:val="DefaultParagraphFont"/>
    <w:link w:val="FootnoteText"/>
    <w:uiPriority w:val="99"/>
    <w:semiHidden/>
    <w:rsid w:val="00C07B27"/>
    <w:rPr>
      <w:rFonts w:ascii="Arial" w:hAnsi="Arial" w:cs="Arial"/>
      <w:lang w:bidi="en-US"/>
    </w:rPr>
  </w:style>
  <w:style w:type="character" w:styleId="FootnoteReference">
    <w:name w:val="footnote reference"/>
    <w:basedOn w:val="DefaultParagraphFont"/>
    <w:uiPriority w:val="99"/>
    <w:semiHidden/>
    <w:unhideWhenUsed/>
    <w:rsid w:val="00C07B27"/>
    <w:rPr>
      <w:vertAlign w:val="superscript"/>
    </w:rPr>
  </w:style>
  <w:style w:type="table" w:styleId="TableGrid">
    <w:name w:val="Table Grid"/>
    <w:basedOn w:val="TableNormal"/>
    <w:uiPriority w:val="59"/>
    <w:rsid w:val="0052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01">
      <w:bodyDiv w:val="1"/>
      <w:marLeft w:val="0"/>
      <w:marRight w:val="0"/>
      <w:marTop w:val="0"/>
      <w:marBottom w:val="0"/>
      <w:divBdr>
        <w:top w:val="none" w:sz="0" w:space="0" w:color="auto"/>
        <w:left w:val="none" w:sz="0" w:space="0" w:color="auto"/>
        <w:bottom w:val="none" w:sz="0" w:space="0" w:color="auto"/>
        <w:right w:val="none" w:sz="0" w:space="0" w:color="auto"/>
      </w:divBdr>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459038321">
      <w:bodyDiv w:val="1"/>
      <w:marLeft w:val="0"/>
      <w:marRight w:val="0"/>
      <w:marTop w:val="0"/>
      <w:marBottom w:val="0"/>
      <w:divBdr>
        <w:top w:val="none" w:sz="0" w:space="0" w:color="auto"/>
        <w:left w:val="none" w:sz="0" w:space="0" w:color="auto"/>
        <w:bottom w:val="none" w:sz="0" w:space="0" w:color="auto"/>
        <w:right w:val="none" w:sz="0" w:space="0" w:color="auto"/>
      </w:divBdr>
    </w:div>
    <w:div w:id="575365742">
      <w:bodyDiv w:val="1"/>
      <w:marLeft w:val="0"/>
      <w:marRight w:val="0"/>
      <w:marTop w:val="0"/>
      <w:marBottom w:val="0"/>
      <w:divBdr>
        <w:top w:val="none" w:sz="0" w:space="0" w:color="auto"/>
        <w:left w:val="none" w:sz="0" w:space="0" w:color="auto"/>
        <w:bottom w:val="none" w:sz="0" w:space="0" w:color="auto"/>
        <w:right w:val="none" w:sz="0" w:space="0" w:color="auto"/>
      </w:divBdr>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18457536">
      <w:bodyDiv w:val="1"/>
      <w:marLeft w:val="0"/>
      <w:marRight w:val="0"/>
      <w:marTop w:val="0"/>
      <w:marBottom w:val="0"/>
      <w:divBdr>
        <w:top w:val="none" w:sz="0" w:space="0" w:color="auto"/>
        <w:left w:val="none" w:sz="0" w:space="0" w:color="auto"/>
        <w:bottom w:val="none" w:sz="0" w:space="0" w:color="auto"/>
        <w:right w:val="none" w:sz="0" w:space="0" w:color="auto"/>
      </w:divBdr>
    </w:div>
    <w:div w:id="2029603454">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bssettlement.com/faq" TargetMode="External"/><Relationship Id="rId18" Type="http://schemas.openxmlformats.org/officeDocument/2006/relationships/hyperlink" Target="https://www.bcbssettlement.com/secondblue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cbssettlement.com/" TargetMode="External"/><Relationship Id="rId17" Type="http://schemas.openxmlformats.org/officeDocument/2006/relationships/hyperlink" Target="https://www.bcbssettlement.com/admin/services/connectedapps.cms.extensions/1.0.0.0/asset?id=36668bb7-ef49-45b6-bbd5-93bc9b3e70b5&amp;languageId=1033&amp;inline=true" TargetMode="External"/><Relationship Id="rId2" Type="http://schemas.openxmlformats.org/officeDocument/2006/relationships/customXml" Target="../customXml/item2.xml"/><Relationship Id="rId16" Type="http://schemas.openxmlformats.org/officeDocument/2006/relationships/hyperlink" Target="https://www.bcbssettlement.com/admin/services/connectedapps.cms.extensions/1.0.0.0/asset?id=4a81c01d-f915-4cc4-bec8-3df1d1dda5c5&amp;languageId=1033&amp;inline=tru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cbssettlement.com/admin/services/connectedapps.cms.extensions/1.0.0.0/asset?id=bac08427-3ee3-4547-85c7-cd8fac480acd&amp;languageId=1033&amp;inline=tru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bssettlement.com/admin/services/connectedapps.cms.extensions/1.0.0.0/asset?id=5399b96e-406f-4a1a-89ba-09c960f94107&amp;languageId=1033&amp;inline=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77625388-A7DA-442B-8547-DD08CBFB42F0}">
  <ds:schemaRefs>
    <ds:schemaRef ds:uri="http://schemas.openxmlformats.org/officeDocument/2006/bibliography"/>
  </ds:schemaRefs>
</ds:datastoreItem>
</file>

<file path=customXml/itemProps4.xml><?xml version="1.0" encoding="utf-8"?>
<ds:datastoreItem xmlns:ds="http://schemas.openxmlformats.org/officeDocument/2006/customXml" ds:itemID="{69D09A21-5F47-4691-86F2-18834BAA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2021-05-04T13:16:00Z</dcterms:created>
  <dcterms:modified xsi:type="dcterms:W3CDTF">2021-05-04T13:16:00Z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